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763020d8k.htm"/>
      <w:bookmarkStart w:id="1" w:name="ksd763020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ARIAL" w:hAnsi="ARIAL"/>
          <w:b/>
          <w:sz w:val="36"/>
        </w:rPr>
      </w:pPr>
      <w:r>
        <w:rPr>
          <w:rFonts w:ascii="ARIAL" w:hAnsi="ARIAL"/>
          <w:b/>
          <w:sz w:val="36"/>
        </w:rPr>
        <w:t>UNITED STATES</w:t>
      </w:r>
    </w:p>
    <w:p>
      <w:pPr>
        <w:pStyle w:val="TextBody"/>
        <w:bidi w:val="0"/>
        <w:spacing w:before="0" w:after="0"/>
        <w:jc w:val="center"/>
        <w:rPr>
          <w:rFonts w:ascii="ARIAL" w:hAnsi="ARIAL"/>
          <w:b/>
          <w:sz w:val="36"/>
        </w:rPr>
      </w:pPr>
      <w:r>
        <w:rPr>
          <w:rFonts w:ascii="ARIAL" w:hAnsi="ARIAL"/>
          <w:b/>
          <w:sz w:val="36"/>
        </w:rPr>
        <w:t>SECURITIES AND EXCHANGE COMMISSION</w:t>
      </w:r>
    </w:p>
    <w:p>
      <w:pPr>
        <w:pStyle w:val="TextBody"/>
        <w:bidi w:val="0"/>
        <w:spacing w:before="0" w:after="0"/>
        <w:jc w:val="center"/>
        <w:rPr>
          <w:rFonts w:ascii="ARIAL" w:hAnsi="ARIAL"/>
          <w:b/>
          <w:sz w:val="24"/>
        </w:rPr>
      </w:pPr>
      <w:r>
        <w:rPr>
          <w:rFonts w:ascii="ARIAL" w:hAnsi="ARIAL"/>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ARIAL" w:hAnsi="ARIAL"/>
          <w:b/>
          <w:sz w:val="36"/>
        </w:rPr>
      </w:pPr>
      <w:r>
        <w:rPr>
          <w:rFonts w:ascii="ARIAL" w:hAnsi="ARIAL"/>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ARIAL" w:hAnsi="ARIAL"/>
          <w:b/>
          <w:sz w:val="24"/>
        </w:rPr>
      </w:pPr>
      <w:r>
        <w:rPr>
          <w:rFonts w:ascii="ARIAL" w:hAnsi="ARIAL"/>
          <w:b/>
          <w:sz w:val="24"/>
        </w:rPr>
        <w:t>CURRENT REPORT</w:t>
      </w:r>
    </w:p>
    <w:p>
      <w:pPr>
        <w:pStyle w:val="TextBody"/>
        <w:bidi w:val="0"/>
        <w:spacing w:before="0" w:after="0"/>
        <w:jc w:val="center"/>
        <w:rPr>
          <w:rFonts w:ascii="ARIAL" w:hAnsi="ARIAL"/>
          <w:b/>
          <w:sz w:val="24"/>
        </w:rPr>
      </w:pPr>
      <w:r>
        <w:rPr>
          <w:rFonts w:ascii="ARIAL" w:hAnsi="ARIAL"/>
          <w:b/>
          <w:sz w:val="24"/>
        </w:rPr>
        <w:t>Pursuant to Section 13 or 15(d)</w:t>
      </w:r>
    </w:p>
    <w:p>
      <w:pPr>
        <w:pStyle w:val="TextBody"/>
        <w:bidi w:val="0"/>
        <w:spacing w:before="0" w:after="0"/>
        <w:jc w:val="center"/>
        <w:rPr>
          <w:rFonts w:ascii="ARIAL" w:hAnsi="ARIAL"/>
          <w:b/>
          <w:sz w:val="24"/>
        </w:rPr>
      </w:pPr>
      <w:r>
        <w:rPr>
          <w:rFonts w:ascii="ARIAL" w:hAnsi="ARIAL"/>
          <w:b/>
          <w:sz w:val="24"/>
        </w:rPr>
        <w:t>of the Securities Exchange Act of 1934</w:t>
      </w:r>
    </w:p>
    <w:p>
      <w:pPr>
        <w:pStyle w:val="TextBody"/>
        <w:bidi w:val="0"/>
        <w:spacing w:before="240" w:after="0"/>
        <w:jc w:val="center"/>
        <w:rPr>
          <w:rFonts w:ascii="ARIAL" w:hAnsi="ARIAL"/>
          <w:b/>
          <w:sz w:val="24"/>
        </w:rPr>
      </w:pPr>
      <w:r>
        <w:rPr>
          <w:rFonts w:ascii="ARIAL" w:hAnsi="ARIAL"/>
          <w:b/>
          <w:sz w:val="24"/>
        </w:rPr>
        <w:t>Date of Report (Date of earliest event reported): January 30, 2024</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ARIAL" w:hAnsi="ARIAL"/>
          <w:b/>
          <w:sz w:val="48"/>
        </w:rPr>
      </w:pPr>
      <w:r>
        <w:rPr>
          <w:rFonts w:ascii="ARIAL" w:hAnsi="ARIAL"/>
          <w:b/>
          <w:sz w:val="48"/>
        </w:rPr>
        <w:t xml:space="preserve">SCHLUMBERGER N.V. (SCHLUMBERGER LIMITED) </w:t>
      </w:r>
    </w:p>
    <w:p>
      <w:pPr>
        <w:pStyle w:val="TextBody"/>
        <w:bidi w:val="0"/>
        <w:spacing w:before="0" w:after="0"/>
        <w:jc w:val="center"/>
        <w:rPr>
          <w:rFonts w:ascii="ARIAL" w:hAnsi="ARIAL"/>
          <w:b/>
          <w:sz w:val="20"/>
        </w:rPr>
      </w:pPr>
      <w:r>
        <w:rPr>
          <w:rFonts w:ascii="ARIAL" w:hAnsi="ARIAL"/>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4785" w:type="dxa"/>
        <w:jc w:val="left"/>
        <w:tblInd w:w="0" w:type="dxa"/>
        <w:tblLayout w:type="fixed"/>
        <w:tblCellMar>
          <w:top w:w="0" w:type="dxa"/>
          <w:left w:w="0" w:type="dxa"/>
          <w:bottom w:w="0" w:type="dxa"/>
          <w:right w:w="0" w:type="dxa"/>
        </w:tblCellMar>
      </w:tblPr>
      <w:tblGrid>
        <w:gridCol w:w="2120"/>
        <w:gridCol w:w="60"/>
        <w:gridCol w:w="1085"/>
        <w:gridCol w:w="60"/>
        <w:gridCol w:w="1460"/>
      </w:tblGrid>
      <w:tr>
        <w:trPr/>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283"/>
              <w:jc w:val="center"/>
              <w:rPr>
                <w:b/>
              </w:rPr>
            </w:pPr>
            <w:r>
              <w:rPr>
                <w:b/>
              </w:rPr>
              <w:t xml:space="preserve">Curaçao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b/>
              </w:rPr>
            </w:pPr>
            <w:r>
              <w:rPr>
                <w:b/>
              </w:rPr>
              <w:t>1-4601</w:t>
            </w:r>
          </w:p>
        </w:tc>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center"/>
              <w:rPr>
                <w:b/>
              </w:rPr>
            </w:pPr>
            <w:r>
              <w:rPr>
                <w:b/>
              </w:rPr>
              <w:t>52-0684746</w:t>
            </w:r>
          </w:p>
        </w:tc>
      </w:tr>
      <w:tr>
        <w:trPr/>
        <w:tc>
          <w:tcPr>
            <w:tcW w:w="2120" w:type="dxa"/>
            <w:tcBorders/>
            <w:vAlign w:val="center"/>
          </w:tcPr>
          <w:p>
            <w:pPr>
              <w:pStyle w:val="TableContents"/>
              <w:bidi w:val="0"/>
              <w:spacing w:before="0" w:after="0"/>
              <w:jc w:val="center"/>
              <w:rPr>
                <w:rFonts w:ascii="ARIAL" w:hAnsi="ARIAL"/>
                <w:b/>
                <w:sz w:val="16"/>
              </w:rPr>
            </w:pPr>
            <w:r>
              <w:rPr>
                <w:rFonts w:ascii="ARIAL" w:hAnsi="ARIAL"/>
                <w:b/>
                <w:sz w:val="16"/>
              </w:rPr>
              <w:t>(State or other jurisdiction</w:t>
            </w:r>
          </w:p>
          <w:p>
            <w:pPr>
              <w:pStyle w:val="TableContents"/>
              <w:bidi w:val="0"/>
              <w:spacing w:before="0" w:after="20"/>
              <w:jc w:val="center"/>
              <w:rPr>
                <w:rFonts w:ascii="ARIAL" w:hAnsi="ARIAL"/>
                <w:b/>
                <w:sz w:val="16"/>
              </w:rPr>
            </w:pPr>
            <w:r>
              <w:rPr>
                <w:rFonts w:ascii="ARIAL" w:hAnsi="ARIAL"/>
                <w:b/>
                <w:sz w:val="16"/>
              </w:rPr>
              <w:t>of incorporation)</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0"/>
              <w:jc w:val="center"/>
              <w:rPr>
                <w:rFonts w:ascii="ARIAL" w:hAnsi="ARIAL"/>
                <w:b/>
                <w:sz w:val="16"/>
              </w:rPr>
            </w:pPr>
            <w:r>
              <w:rPr>
                <w:rFonts w:ascii="ARIAL" w:hAnsi="ARIAL"/>
                <w:b/>
                <w:sz w:val="16"/>
              </w:rPr>
              <w:t>(Commission</w:t>
            </w:r>
          </w:p>
          <w:p>
            <w:pPr>
              <w:pStyle w:val="TableContents"/>
              <w:bidi w:val="0"/>
              <w:spacing w:before="0" w:after="20"/>
              <w:jc w:val="center"/>
              <w:rPr>
                <w:rFonts w:ascii="ARIAL" w:hAnsi="ARIAL"/>
                <w:b/>
                <w:sz w:val="16"/>
              </w:rPr>
            </w:pPr>
            <w:r>
              <w:rPr>
                <w:rFonts w:ascii="ARIAL" w:hAnsi="ARIAL"/>
                <w:b/>
                <w:sz w:val="16"/>
              </w:rPr>
              <w:t>File Number)</w:t>
            </w:r>
          </w:p>
        </w:tc>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0"/>
              <w:jc w:val="center"/>
              <w:rPr>
                <w:rFonts w:ascii="ARIAL" w:hAnsi="ARIAL"/>
                <w:b/>
                <w:sz w:val="16"/>
              </w:rPr>
            </w:pPr>
            <w:r>
              <w:rPr>
                <w:rFonts w:ascii="ARIAL" w:hAnsi="ARIAL"/>
                <w:b/>
                <w:sz w:val="16"/>
              </w:rPr>
              <w:t>(IRS Employer</w:t>
            </w:r>
          </w:p>
          <w:p>
            <w:pPr>
              <w:pStyle w:val="TableContents"/>
              <w:bidi w:val="0"/>
              <w:spacing w:before="0" w:after="20"/>
              <w:jc w:val="center"/>
              <w:rPr>
                <w:rFonts w:ascii="ARIAL" w:hAnsi="ARIAL"/>
                <w:b/>
                <w:sz w:val="16"/>
              </w:rPr>
            </w:pPr>
            <w:r>
              <w:rPr>
                <w:rFonts w:ascii="ARIAL" w:hAnsi="ARIAL"/>
                <w:b/>
                <w:sz w:val="16"/>
              </w:rPr>
              <w:t>Identification No.)</w:t>
            </w:r>
          </w:p>
        </w:tc>
      </w:tr>
    </w:tbl>
    <w:p>
      <w:pPr>
        <w:pStyle w:val="TextBody"/>
        <w:bidi w:val="0"/>
        <w:spacing w:before="240" w:after="0"/>
        <w:jc w:val="center"/>
        <w:rPr>
          <w:rFonts w:ascii="ARIAL" w:hAnsi="ARIAL"/>
          <w:b/>
          <w:sz w:val="20"/>
        </w:rPr>
      </w:pPr>
      <w:r>
        <w:rPr>
          <w:rFonts w:ascii="ARIAL" w:hAnsi="ARIAL"/>
          <w:b/>
          <w:sz w:val="20"/>
        </w:rPr>
        <w:t>42 rue Saint-Dominique, Paris, France 75007</w:t>
      </w:r>
    </w:p>
    <w:tbl>
      <w:tblPr>
        <w:tblW w:w="4430" w:type="dxa"/>
        <w:jc w:val="left"/>
        <w:tblInd w:w="0" w:type="dxa"/>
        <w:tblLayout w:type="fixed"/>
        <w:tblCellMar>
          <w:top w:w="0" w:type="dxa"/>
          <w:left w:w="0" w:type="dxa"/>
          <w:bottom w:w="0" w:type="dxa"/>
          <w:right w:w="0" w:type="dxa"/>
        </w:tblCellMar>
      </w:tblPr>
      <w:tblGrid>
        <w:gridCol w:w="4430"/>
      </w:tblGrid>
      <w:tr>
        <w:trPr/>
        <w:tc>
          <w:tcPr>
            <w:tcW w:w="4430" w:type="dxa"/>
            <w:tcBorders/>
            <w:vAlign w:val="center"/>
          </w:tcPr>
          <w:p>
            <w:pPr>
              <w:pStyle w:val="TableContents"/>
              <w:bidi w:val="0"/>
              <w:spacing w:before="0" w:after="283"/>
              <w:jc w:val="left"/>
              <w:rPr>
                <w:sz w:val="4"/>
                <w:szCs w:val="4"/>
              </w:rPr>
            </w:pPr>
            <w:r>
              <w:rPr>
                <w:sz w:val="4"/>
                <w:szCs w:val="4"/>
              </w:rPr>
            </w:r>
          </w:p>
        </w:tc>
      </w:tr>
      <w:tr>
        <w:trPr/>
        <w:tc>
          <w:tcPr>
            <w:tcW w:w="4430" w:type="dxa"/>
            <w:tcBorders/>
            <w:vAlign w:val="center"/>
          </w:tcPr>
          <w:p>
            <w:pPr>
              <w:pStyle w:val="TableContents"/>
              <w:bidi w:val="0"/>
              <w:spacing w:before="0" w:after="0"/>
              <w:jc w:val="center"/>
              <w:rPr>
                <w:rFonts w:ascii="ARIAL" w:hAnsi="ARIAL"/>
                <w:b/>
                <w:sz w:val="20"/>
              </w:rPr>
            </w:pPr>
            <w:r>
              <w:rPr>
                <w:rFonts w:ascii="ARIAL" w:hAnsi="ARIAL"/>
                <w:b/>
                <w:sz w:val="20"/>
              </w:rPr>
              <w:t>5599 San Felipe, Houston, Texas, U.S.A . 77056</w:t>
            </w:r>
          </w:p>
          <w:p>
            <w:pPr>
              <w:pStyle w:val="TableContents"/>
              <w:bidi w:val="0"/>
              <w:spacing w:before="0" w:after="20"/>
              <w:jc w:val="center"/>
              <w:rPr>
                <w:rFonts w:ascii="ARIAL" w:hAnsi="ARIAL"/>
                <w:b/>
                <w:color w:val="FFFFFF"/>
                <w:sz w:val="2"/>
              </w:rPr>
            </w:pPr>
            <w:r>
              <w:rPr>
                <w:rFonts w:ascii="ARIAL" w:hAnsi="ARIAL"/>
                <w:b/>
                <w:color w:val="FFFFFF"/>
                <w:sz w:val="2"/>
              </w:rPr>
              <w:t>(address)</w:t>
            </w:r>
          </w:p>
        </w:tc>
      </w:tr>
    </w:tbl>
    <w:p>
      <w:pPr>
        <w:pStyle w:val="TextBody"/>
        <w:bidi w:val="0"/>
        <w:spacing w:before="0" w:after="0"/>
        <w:jc w:val="center"/>
        <w:rPr>
          <w:rFonts w:ascii="ARIAL" w:hAnsi="ARIAL"/>
          <w:b/>
          <w:sz w:val="20"/>
        </w:rPr>
      </w:pPr>
      <w:r>
        <w:rPr>
          <w:rFonts w:ascii="ARIAL" w:hAnsi="ARIAL"/>
          <w:b/>
          <w:sz w:val="20"/>
        </w:rPr>
        <w:t>62 Buckingham Gate, London, United Kingdom SW1E 6AJ</w:t>
      </w:r>
    </w:p>
    <w:p>
      <w:pPr>
        <w:pStyle w:val="TextBody"/>
        <w:bidi w:val="0"/>
        <w:spacing w:before="0" w:after="0"/>
        <w:jc w:val="center"/>
        <w:rPr>
          <w:rFonts w:ascii="ARIAL" w:hAnsi="ARIAL"/>
          <w:b/>
          <w:sz w:val="20"/>
        </w:rPr>
      </w:pPr>
      <w:r>
        <w:rPr>
          <w:rFonts w:ascii="ARIAL" w:hAnsi="ARIAL"/>
          <w:b/>
          <w:sz w:val="20"/>
        </w:rPr>
        <w:t>Parkstraat 83, The Hague, The Netherlands 2514 JG</w:t>
      </w:r>
    </w:p>
    <w:p>
      <w:pPr>
        <w:pStyle w:val="TextBody"/>
        <w:bidi w:val="0"/>
        <w:spacing w:before="0" w:after="0"/>
        <w:jc w:val="center"/>
        <w:rPr>
          <w:rFonts w:ascii="ARIAL" w:hAnsi="ARIAL"/>
          <w:b/>
          <w:sz w:val="16"/>
        </w:rPr>
      </w:pPr>
      <w:r>
        <w:rPr>
          <w:rFonts w:ascii="ARIAL" w:hAnsi="ARIAL"/>
          <w:b/>
          <w:sz w:val="16"/>
        </w:rPr>
        <w:t>(Addresses of principal executive offices and zip or postal codes)</w:t>
      </w:r>
    </w:p>
    <w:p>
      <w:pPr>
        <w:pStyle w:val="TextBody"/>
        <w:bidi w:val="0"/>
        <w:spacing w:before="240" w:after="0"/>
        <w:jc w:val="center"/>
        <w:rPr>
          <w:rFonts w:ascii="ARIAL" w:hAnsi="ARIAL"/>
          <w:b/>
          <w:sz w:val="20"/>
        </w:rPr>
      </w:pPr>
      <w:r>
        <w:rPr>
          <w:rFonts w:ascii="ARIAL" w:hAnsi="ARIAL"/>
          <w:b/>
          <w:sz w:val="20"/>
        </w:rPr>
        <w:t>Registrant’s telephone number in the United States, including area code: (713) 513-2000</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ARIAL" w:hAnsi="ARIAL"/>
          <w:sz w:val="20"/>
        </w:rPr>
      </w:pPr>
      <w:r>
        <w:rPr>
          <w:rFonts w:ascii="ARIAL" w:hAnsi="ARIAL"/>
          <w:sz w:val="20"/>
        </w:rPr>
        <w:t>Check the appropriate box below if the Form 8-K filing is intended to simultaneously satisfy the filing obligation of the registrant under any of the following provisions (</w:t>
      </w:r>
      <w:r>
        <w:rPr>
          <w:rFonts w:ascii="ARIAL" w:hAnsi="ARIAL"/>
          <w:i/>
          <w:sz w:val="20"/>
        </w:rPr>
        <w:t xml:space="preserve">see </w:t>
      </w:r>
      <w:r>
        <w:rPr>
          <w:rFonts w:ascii="ARIAL" w:hAnsi="ARIAL"/>
          <w:sz w:val="20"/>
        </w:rPr>
        <w:t>General Instruction A.2. below):</w:t>
      </w:r>
    </w:p>
    <w:p>
      <w:pPr>
        <w:pStyle w:val="TextBody"/>
        <w:bidi w:val="0"/>
        <w:spacing w:before="0" w:after="0"/>
        <w:jc w:val="left"/>
        <w:rPr/>
      </w:pPr>
      <w:r>
        <w:rPr/>
        <w:t> </w:t>
      </w:r>
    </w:p>
    <w:tbl>
      <w:tblPr>
        <w:tblW w:w="7990" w:type="dxa"/>
        <w:jc w:val="left"/>
        <w:tblInd w:w="0" w:type="dxa"/>
        <w:tblLayout w:type="fixed"/>
        <w:tblCellMar>
          <w:top w:w="0" w:type="dxa"/>
          <w:left w:w="0" w:type="dxa"/>
          <w:bottom w:w="0" w:type="dxa"/>
          <w:right w:w="0" w:type="dxa"/>
        </w:tblCellMar>
      </w:tblPr>
      <w:tblGrid>
        <w:gridCol w:w="245"/>
        <w:gridCol w:w="7745"/>
      </w:tblGrid>
      <w:tr>
        <w:trPr/>
        <w:tc>
          <w:tcPr>
            <w:tcW w:w="245" w:type="dxa"/>
            <w:tcBorders/>
            <w:vAlign w:val="center"/>
          </w:tcPr>
          <w:p>
            <w:pPr>
              <w:pStyle w:val="TableContents"/>
              <w:bidi w:val="0"/>
              <w:spacing w:before="0" w:after="283"/>
              <w:jc w:val="left"/>
              <w:rPr/>
            </w:pPr>
            <w:r>
              <w:rPr/>
              <w:t>☐</w:t>
            </w:r>
          </w:p>
        </w:tc>
        <w:tc>
          <w:tcPr>
            <w:tcW w:w="7745" w:type="dxa"/>
            <w:tcBorders/>
            <w:vAlign w:val="center"/>
          </w:tcPr>
          <w:p>
            <w:pPr>
              <w:pStyle w:val="TableContents"/>
              <w:bidi w:val="0"/>
              <w:spacing w:before="0" w:after="0"/>
              <w:jc w:val="left"/>
              <w:rPr>
                <w:rFonts w:ascii="ARIAL" w:hAnsi="ARIAL"/>
                <w:sz w:val="20"/>
              </w:rPr>
            </w:pPr>
            <w:r>
              <w:rPr>
                <w:rFonts w:ascii="ARIAL" w:hAnsi="ARIAL"/>
                <w:sz w:val="20"/>
              </w:rPr>
              <w:t>Written communications pursuant to Rule 425 under the Securities Act (17 CFR 230.425)</w:t>
            </w:r>
          </w:p>
        </w:tc>
      </w:tr>
    </w:tbl>
    <w:p>
      <w:pPr>
        <w:pStyle w:val="TextBody"/>
        <w:bidi w:val="0"/>
        <w:spacing w:before="0" w:after="0"/>
        <w:jc w:val="left"/>
        <w:rPr/>
      </w:pPr>
      <w:r>
        <w:rPr/>
        <w:t> </w:t>
      </w:r>
    </w:p>
    <w:tbl>
      <w:tblPr>
        <w:tblW w:w="7975" w:type="dxa"/>
        <w:jc w:val="left"/>
        <w:tblInd w:w="0" w:type="dxa"/>
        <w:tblLayout w:type="fixed"/>
        <w:tblCellMar>
          <w:top w:w="0" w:type="dxa"/>
          <w:left w:w="0" w:type="dxa"/>
          <w:bottom w:w="0" w:type="dxa"/>
          <w:right w:w="0" w:type="dxa"/>
        </w:tblCellMar>
      </w:tblPr>
      <w:tblGrid>
        <w:gridCol w:w="245"/>
        <w:gridCol w:w="7730"/>
      </w:tblGrid>
      <w:tr>
        <w:trPr/>
        <w:tc>
          <w:tcPr>
            <w:tcW w:w="245" w:type="dxa"/>
            <w:tcBorders/>
            <w:vAlign w:val="center"/>
          </w:tcPr>
          <w:p>
            <w:pPr>
              <w:pStyle w:val="TableContents"/>
              <w:bidi w:val="0"/>
              <w:spacing w:before="0" w:after="283"/>
              <w:jc w:val="left"/>
              <w:rPr/>
            </w:pPr>
            <w:r>
              <w:rPr/>
              <w:t>☐</w:t>
            </w:r>
          </w:p>
        </w:tc>
        <w:tc>
          <w:tcPr>
            <w:tcW w:w="7730" w:type="dxa"/>
            <w:tcBorders/>
            <w:vAlign w:val="center"/>
          </w:tcPr>
          <w:p>
            <w:pPr>
              <w:pStyle w:val="TableContents"/>
              <w:bidi w:val="0"/>
              <w:spacing w:before="0" w:after="0"/>
              <w:jc w:val="left"/>
              <w:rPr>
                <w:rFonts w:ascii="ARIAL" w:hAnsi="ARIAL"/>
                <w:sz w:val="20"/>
              </w:rPr>
            </w:pPr>
            <w:r>
              <w:rPr>
                <w:rFonts w:ascii="ARIAL" w:hAnsi="ARIAL"/>
                <w:sz w:val="20"/>
              </w:rPr>
              <w:t>Soliciting material pursuant to Rule 14a-12 under the Exchange Act (17 CFR 240.14a-12)</w:t>
            </w:r>
          </w:p>
        </w:tc>
      </w:tr>
    </w:tbl>
    <w:p>
      <w:pPr>
        <w:pStyle w:val="TextBody"/>
        <w:bidi w:val="0"/>
        <w:spacing w:before="0" w:after="0"/>
        <w:jc w:val="left"/>
        <w:rPr/>
      </w:pPr>
      <w:r>
        <w:rPr/>
        <w:t> </w:t>
      </w:r>
    </w:p>
    <w:tbl>
      <w:tblPr>
        <w:tblW w:w="9910" w:type="dxa"/>
        <w:jc w:val="left"/>
        <w:tblInd w:w="0" w:type="dxa"/>
        <w:tblLayout w:type="fixed"/>
        <w:tblCellMar>
          <w:top w:w="0" w:type="dxa"/>
          <w:left w:w="0" w:type="dxa"/>
          <w:bottom w:w="0" w:type="dxa"/>
          <w:right w:w="0" w:type="dxa"/>
        </w:tblCellMar>
      </w:tblPr>
      <w:tblGrid>
        <w:gridCol w:w="245"/>
        <w:gridCol w:w="9665"/>
      </w:tblGrid>
      <w:tr>
        <w:trPr/>
        <w:tc>
          <w:tcPr>
            <w:tcW w:w="245"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0"/>
              <w:jc w:val="left"/>
              <w:rPr>
                <w:rFonts w:ascii="ARIAL" w:hAnsi="ARIAL"/>
                <w:sz w:val="20"/>
              </w:rPr>
            </w:pPr>
            <w:r>
              <w:rPr>
                <w:rFonts w:ascii="ARIAL" w:hAnsi="ARIAL"/>
                <w:sz w:val="20"/>
              </w:rPr>
              <w:t>Pre-commencement communications pursuant to Rule 14d-2(b) under the Exchange Act (17 CFR 240.14d-2(b))</w:t>
            </w:r>
          </w:p>
        </w:tc>
      </w:tr>
    </w:tbl>
    <w:p>
      <w:pPr>
        <w:pStyle w:val="TextBody"/>
        <w:bidi w:val="0"/>
        <w:spacing w:before="0" w:after="0"/>
        <w:jc w:val="left"/>
        <w:rPr/>
      </w:pPr>
      <w:r>
        <w:rPr/>
        <w:t> </w:t>
      </w:r>
    </w:p>
    <w:tbl>
      <w:tblPr>
        <w:tblW w:w="9910" w:type="dxa"/>
        <w:jc w:val="left"/>
        <w:tblInd w:w="0" w:type="dxa"/>
        <w:tblLayout w:type="fixed"/>
        <w:tblCellMar>
          <w:top w:w="0" w:type="dxa"/>
          <w:left w:w="0" w:type="dxa"/>
          <w:bottom w:w="0" w:type="dxa"/>
          <w:right w:w="0" w:type="dxa"/>
        </w:tblCellMar>
      </w:tblPr>
      <w:tblGrid>
        <w:gridCol w:w="245"/>
        <w:gridCol w:w="9665"/>
      </w:tblGrid>
      <w:tr>
        <w:trPr/>
        <w:tc>
          <w:tcPr>
            <w:tcW w:w="245"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0"/>
              <w:jc w:val="left"/>
              <w:rPr>
                <w:rFonts w:ascii="ARIAL" w:hAnsi="ARIAL"/>
                <w:sz w:val="20"/>
              </w:rPr>
            </w:pPr>
            <w:r>
              <w:rPr>
                <w:rFonts w:ascii="ARIAL" w:hAnsi="ARIAL"/>
                <w:sz w:val="20"/>
              </w:rPr>
              <w:t>Pre-commencement communications pursuant to Rule 13e-4(c) under the Exchange Act (17 CFR 240.13e-4(c))</w:t>
            </w:r>
          </w:p>
        </w:tc>
      </w:tr>
    </w:tbl>
    <w:p>
      <w:pPr>
        <w:pStyle w:val="TextBody"/>
        <w:bidi w:val="0"/>
        <w:spacing w:before="240" w:after="0"/>
        <w:jc w:val="left"/>
        <w:rPr>
          <w:rFonts w:ascii="ARIAL" w:hAnsi="ARIAL"/>
          <w:sz w:val="20"/>
        </w:rPr>
      </w:pPr>
      <w:r>
        <w:rPr>
          <w:rFonts w:ascii="ARIAL" w:hAnsi="ARIAL"/>
          <w:sz w:val="20"/>
        </w:rPr>
        <w:t>Securities registered pursuant to Section 12(b) of the Act:</w:t>
      </w:r>
    </w:p>
    <w:p>
      <w:pPr>
        <w:pStyle w:val="TextBody"/>
        <w:bidi w:val="0"/>
        <w:spacing w:before="0" w:after="0"/>
        <w:jc w:val="left"/>
        <w:rPr/>
      </w:pPr>
      <w:r>
        <w:rPr/>
        <w:t> </w:t>
      </w:r>
    </w:p>
    <w:tbl>
      <w:tblPr>
        <w:tblW w:w="7530" w:type="dxa"/>
        <w:jc w:val="left"/>
        <w:tblInd w:w="0" w:type="dxa"/>
        <w:tblLayout w:type="fixed"/>
        <w:tblCellMar>
          <w:top w:w="0" w:type="dxa"/>
          <w:left w:w="0" w:type="dxa"/>
          <w:bottom w:w="0" w:type="dxa"/>
          <w:right w:w="0" w:type="dxa"/>
        </w:tblCellMar>
      </w:tblPr>
      <w:tblGrid>
        <w:gridCol w:w="3920"/>
        <w:gridCol w:w="60"/>
        <w:gridCol w:w="830"/>
        <w:gridCol w:w="60"/>
        <w:gridCol w:w="2660"/>
      </w:tblGrid>
      <w:tr>
        <w:trPr/>
        <w:tc>
          <w:tcPr>
            <w:tcW w:w="3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3920" w:type="dxa"/>
            <w:tcBorders>
              <w:bottom w:val="single" w:sz="8" w:space="0" w:color="000000"/>
            </w:tcBorders>
            <w:tcMar>
              <w:bottom w:w="28" w:type="dxa"/>
            </w:tcMar>
            <w:vAlign w:val="center"/>
          </w:tcPr>
          <w:p>
            <w:pPr>
              <w:pStyle w:val="TableContents"/>
              <w:bidi w:val="0"/>
              <w:spacing w:before="0" w:after="20"/>
              <w:jc w:val="center"/>
              <w:rPr>
                <w:rFonts w:ascii="ARIAL" w:hAnsi="ARIAL"/>
                <w:b/>
                <w:sz w:val="16"/>
              </w:rPr>
            </w:pPr>
            <w:r>
              <w:rPr>
                <w:rFonts w:ascii="ARIAL" w:hAnsi="ARIAL"/>
                <w:b/>
                <w:sz w:val="16"/>
              </w:rPr>
              <w:t>Title of each class</w:t>
            </w:r>
          </w:p>
        </w:tc>
        <w:tc>
          <w:tcPr>
            <w:tcW w:w="60" w:type="dxa"/>
            <w:tcBorders/>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0"/>
              <w:jc w:val="center"/>
              <w:rPr>
                <w:rFonts w:ascii="ARIAL" w:hAnsi="ARIAL"/>
                <w:b/>
                <w:sz w:val="16"/>
              </w:rPr>
            </w:pPr>
            <w:r>
              <w:rPr>
                <w:rFonts w:ascii="ARIAL" w:hAnsi="ARIAL"/>
                <w:b/>
                <w:sz w:val="16"/>
              </w:rPr>
              <w:t>Trading</w:t>
              <w:b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20"/>
              <w:jc w:val="center"/>
              <w:rPr>
                <w:rFonts w:ascii="ARIAL" w:hAnsi="ARIAL"/>
                <w:b/>
                <w:sz w:val="16"/>
              </w:rPr>
            </w:pPr>
            <w:r>
              <w:rPr>
                <w:rFonts w:ascii="ARIAL" w:hAnsi="ARIAL"/>
                <w:b/>
                <w:sz w:val="16"/>
              </w:rPr>
              <w:t>Name of each exchange on</w:t>
              <w:br/>
              <w:t>which registered</w:t>
            </w:r>
          </w:p>
        </w:tc>
      </w:tr>
      <w:tr>
        <w:trPr/>
        <w:tc>
          <w:tcPr>
            <w:tcW w:w="3920" w:type="dxa"/>
            <w:tcBorders/>
            <w:vAlign w:val="center"/>
          </w:tcPr>
          <w:p>
            <w:pPr>
              <w:pStyle w:val="TableContents"/>
              <w:bidi w:val="0"/>
              <w:spacing w:before="0" w:after="283"/>
              <w:jc w:val="center"/>
              <w:rPr/>
            </w:pPr>
            <w:r>
              <w:rPr/>
              <w:t>common stock, par value $0.01 per share</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SLB</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40" w:after="0"/>
        <w:jc w:val="left"/>
        <w:rPr>
          <w:rFonts w:ascii="ARIAL" w:hAnsi="ARIAL"/>
          <w:sz w:val="20"/>
        </w:rPr>
      </w:pPr>
      <w:r>
        <w:rPr>
          <w:rFonts w:ascii="ARIAL" w:hAnsi="ARIAL"/>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ARIAL" w:hAnsi="ARIAL"/>
          <w:sz w:val="20"/>
        </w:rPr>
      </w:pPr>
      <w:r>
        <w:rPr>
          <w:rFonts w:ascii="ARIAL" w:hAnsi="ARIAL"/>
          <w:sz w:val="20"/>
        </w:rPr>
        <w:t>Emerging growth company ☐</w:t>
      </w:r>
    </w:p>
    <w:p>
      <w:pPr>
        <w:pStyle w:val="TextBody"/>
        <w:bidi w:val="0"/>
        <w:spacing w:before="240" w:after="0"/>
        <w:jc w:val="left"/>
        <w:rPr>
          <w:rFonts w:ascii="ARIAL" w:hAnsi="ARIAL"/>
          <w:sz w:val="20"/>
        </w:rPr>
      </w:pPr>
      <w:r>
        <w:rPr>
          <w:rFonts w:ascii="ARIAL" w:hAnsi="ARIAL"/>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3490" w:type="dxa"/>
        <w:jc w:val="left"/>
        <w:tblInd w:w="0" w:type="dxa"/>
        <w:tblLayout w:type="fixed"/>
        <w:tblCellMar>
          <w:top w:w="0" w:type="dxa"/>
          <w:left w:w="0" w:type="dxa"/>
          <w:bottom w:w="0" w:type="dxa"/>
          <w:right w:w="0" w:type="dxa"/>
        </w:tblCellMar>
      </w:tblPr>
      <w:tblGrid>
        <w:gridCol w:w="965"/>
        <w:gridCol w:w="2525"/>
      </w:tblGrid>
      <w:tr>
        <w:trPr/>
        <w:tc>
          <w:tcPr>
            <w:tcW w:w="965" w:type="dxa"/>
            <w:tcBorders/>
            <w:vAlign w:val="center"/>
          </w:tcPr>
          <w:p>
            <w:pPr>
              <w:pStyle w:val="TableContents"/>
              <w:bidi w:val="0"/>
              <w:spacing w:before="0" w:after="283"/>
              <w:jc w:val="left"/>
              <w:rPr>
                <w:b/>
              </w:rPr>
            </w:pPr>
            <w:r>
              <w:rPr>
                <w:b/>
              </w:rPr>
              <w:t>Item 7.01</w:t>
            </w:r>
          </w:p>
        </w:tc>
        <w:tc>
          <w:tcPr>
            <w:tcW w:w="2525" w:type="dxa"/>
            <w:tcBorders/>
            <w:vAlign w:val="center"/>
          </w:tcPr>
          <w:p>
            <w:pPr>
              <w:pStyle w:val="TableContents"/>
              <w:bidi w:val="0"/>
              <w:spacing w:before="0" w:after="0"/>
              <w:jc w:val="left"/>
              <w:rPr>
                <w:rFonts w:ascii="ARIAL" w:hAnsi="ARIAL"/>
                <w:b/>
                <w:sz w:val="20"/>
              </w:rPr>
            </w:pPr>
            <w:r>
              <w:rPr>
                <w:rFonts w:ascii="ARIAL" w:hAnsi="ARIAL"/>
                <w:b/>
                <w:sz w:val="20"/>
              </w:rPr>
              <w:t xml:space="preserve">Regulation FD Disclosure. </w:t>
            </w:r>
          </w:p>
        </w:tc>
      </w:tr>
    </w:tbl>
    <w:p>
      <w:pPr>
        <w:pStyle w:val="TextBody"/>
        <w:bidi w:val="0"/>
        <w:spacing w:before="120" w:after="0"/>
        <w:jc w:val="left"/>
        <w:rPr>
          <w:rFonts w:ascii="ARIAL" w:hAnsi="ARIAL"/>
          <w:sz w:val="20"/>
        </w:rPr>
      </w:pPr>
      <w:r>
        <w:rPr>
          <w:rFonts w:ascii="ARIAL" w:hAnsi="ARIAL"/>
          <w:sz w:val="20"/>
        </w:rPr>
        <w:t xml:space="preserve">On January 30, 2024, SLB issued a press release containing the following statement from Olivier Le Peuch, SLB Chief Executive Officer: </w:t>
      </w:r>
    </w:p>
    <w:p>
      <w:pPr>
        <w:pStyle w:val="TextBody"/>
        <w:bidi w:val="0"/>
        <w:spacing w:before="120" w:after="0"/>
        <w:jc w:val="left"/>
        <w:rPr/>
      </w:pPr>
      <w:r>
        <w:rPr/>
        <w:t>“</w:t>
      </w:r>
      <w:r>
        <w:rPr>
          <w:rFonts w:ascii="ARIAL" w:hAnsi="ARIAL"/>
          <w:sz w:val="20"/>
        </w:rPr>
        <w:t xml:space="preserve">We acknowledge the decision by Saudi Aramco to maintain its Maximum Sustainable Capacity (MSC) at 12 million barrels per day (MMBD), and not to continue increasing MSC to 13 MMBD. We continue to work very closely with Saudi Aramco, and our understanding is that all ongoing oil and gas projects remain intact and that only two offshore oil increment projects not yet started will be suspended. </w:t>
      </w:r>
    </w:p>
    <w:p>
      <w:pPr>
        <w:pStyle w:val="TextBody"/>
        <w:bidi w:val="0"/>
        <w:spacing w:before="120" w:after="0"/>
        <w:jc w:val="left"/>
        <w:rPr/>
      </w:pPr>
      <w:r>
        <w:rPr/>
        <w:t>“</w:t>
      </w:r>
      <w:r>
        <w:rPr>
          <w:rFonts w:ascii="ARIAL" w:hAnsi="ARIAL"/>
          <w:sz w:val="20"/>
        </w:rPr>
        <w:t xml:space="preserve">Our forecast for significant growth for 2024 in the Kingdom remains intact. Looking ahead, the combination of our revenue mix in the Kingdom, which is weighted toward onshore and the expanding gas market, and our unique market position in other countries in the Middle East will continue to support the multi-year growth cycle in the region. </w:t>
      </w:r>
    </w:p>
    <w:p>
      <w:pPr>
        <w:pStyle w:val="TextBody"/>
        <w:bidi w:val="0"/>
        <w:spacing w:before="120" w:after="0"/>
        <w:jc w:val="left"/>
        <w:rPr/>
      </w:pPr>
      <w:r>
        <w:rPr/>
        <w:t>“</w:t>
      </w:r>
      <w:r>
        <w:rPr>
          <w:rFonts w:ascii="ARIAL" w:hAnsi="ARIAL"/>
          <w:sz w:val="20"/>
        </w:rPr>
        <w:t xml:space="preserve">As we shared during our most recent earnings release, global energy demand continues to increase, and international production is expected to play a key role in meeting supply through the end of this decade. Given this, we are confident in the strength and longevity of this cycle through 2024 and beyond.” </w:t>
      </w:r>
    </w:p>
    <w:p>
      <w:pPr>
        <w:pStyle w:val="TextBody"/>
        <w:bidi w:val="0"/>
        <w:spacing w:before="240" w:after="0"/>
        <w:jc w:val="left"/>
        <w:rPr>
          <w:rFonts w:ascii="ARIAL" w:hAnsi="ARIAL"/>
          <w:sz w:val="20"/>
        </w:rPr>
      </w:pPr>
      <w:r>
        <w:rPr>
          <w:rFonts w:ascii="ARIAL" w:hAnsi="ARIAL"/>
          <w:sz w:val="20"/>
        </w:rPr>
        <w:t xml:space="preserve">A copy of the press release is furnished with this Form 8-K as Exhibit 99 and incorporated into this Item 7.01 by reference. In accordance with General Instruction B.2. of Form 8-K, the information will not be deemed “filed” for purposes of Section 18 of the Exchange Act, nor will it be deemed incorporated by reference in any filing under the Securities Act, except as expressly set forth by specific reference in such a filing. </w:t>
      </w:r>
    </w:p>
    <w:p>
      <w:pPr>
        <w:pStyle w:val="TextBody"/>
        <w:bidi w:val="0"/>
        <w:spacing w:before="360" w:after="0"/>
        <w:jc w:val="left"/>
        <w:rPr>
          <w:rFonts w:ascii="ARIAL" w:hAnsi="ARIAL"/>
          <w:b/>
          <w:sz w:val="20"/>
        </w:rPr>
      </w:pPr>
      <w:r>
        <w:rPr>
          <w:rFonts w:ascii="ARIAL" w:hAnsi="ARIAL"/>
          <w:b/>
          <w:sz w:val="20"/>
        </w:rPr>
        <w:t xml:space="preserve">Cautionary Statement Regarding Forward-Looking Statements </w:t>
      </w:r>
    </w:p>
    <w:p>
      <w:pPr>
        <w:pStyle w:val="TextBody"/>
        <w:bidi w:val="0"/>
        <w:spacing w:before="120" w:after="0"/>
        <w:jc w:val="left"/>
        <w:rPr>
          <w:rFonts w:ascii="ARIAL" w:hAnsi="ARIAL"/>
          <w:sz w:val="20"/>
        </w:rPr>
      </w:pPr>
      <w:r>
        <w:rPr>
          <w:rFonts w:ascii="ARIAL" w:hAnsi="ARIAL"/>
          <w:sz w:val="20"/>
        </w:rPr>
        <w:t xml:space="preserve">This Form 8-K, as well as other statements we make, contains “forward-looking statements” within the meaning of the federal securities laws, which include any statements that are not historical facts. Such statements often contain words such as “expect,” “may,” “can,” “believe,” “predict,” “plan,” “potential,” “projected,” “projections,” “precursor,” “forecast,” “outlook,” “expectations,” “estimate,” “intend,” “anticipate,” “ambition,” “goal,” “target,” “scheduled,” “think,” “should,” “could,” “would,” “will,” “see,” “likely,” and other similar words. Forward-looking statements address matters that are, to varying degrees, uncertain, such as statements about SLB’s financial and performance targets and other forecasts or expectations regarding, or dependent on, its business outlook; growth for SLB as a whole and for each of its Divisions (and for specified business lines, geographic areas, or technologies within each Division); oil and natural gas demand and production growth; oil and natural gas prices; forecasts or expectations regarding the energy transition and global climate change; improvements in operating procedures and technology; capital expenditures by SLB and the oil and gas industry; SLB’s business strategies, including digital and “fit for basin,” as well as the strategies of SLB’s customers; SLB’s capital allocation plans, including dividend plans and share repurchase programs; SLB’s Asset Performance Solutions projects, joint ventures, and other alliances; the impact of the ongoing conflict in Ukraine on global energy supply; future global economic and geopolitical conditions; future liquidity, including free cash flow; and future results of operations, such as margin levels. These statements are subject to risks and uncertainties, including, but not limited to, changing global economic and geopolitical conditions; changes in exploration and production spending by SLB’s customers, and changes in the level of oil and natural gas exploration and development; the results of operations and financial condition of SLB’s customers and suppliers; the inability to achieve SLB’s financial and performance targets and other forecasts and expectations; the inability to achieve SLB’s net-zero carbon emissions goals or interim emissions reduction goals; general economic, geopolitical, and business conditions in key regions of the world; the ongoing conflict in Ukraine; foreign currency risk; inflation; changes in monetary policy by governments; pricing pressure; weather and seasonal factors; unfavorable effects of health pandemics; availability and cost of raw materials; operational modifications, delays, or cancellations; challenges in SLB’s supply chain; production declines; the extent of future charges; the inability to recognize efficiencies and other intended benefits from SLB’s business strategies and initiatives, such as digital or new energy, as well as its cost reduction strategies; changes in government regulations and regulatory requirements, including those related to offshore oil and gas exploration, radioactive sources, explosives, chemicals, and climate-related initiatives; the inability of technology to meet new challenges in exploration; the competitiveness of alternative energy sources or product substitutes; and other risks and uncertainties detailed in SLB’s most recent Forms 10-K, 10-Q, and 8-K filed with or furnished to the Securities and Exchange Commission. If one or more of these or other risks or uncertainties materialize (or the consequences of any such development changes), or should SLB’s underlying </w:t>
      </w:r>
      <w:r>
        <w:br w:type="page"/>
      </w:r>
    </w:p>
    <w:p>
      <w:pPr>
        <w:pStyle w:val="HorizontalLine"/>
        <w:bidi w:val="0"/>
        <w:jc w:val="left"/>
        <w:rPr/>
      </w:pPr>
      <w:r>
        <w:rPr/>
      </w:r>
    </w:p>
    <w:p>
      <w:pPr>
        <w:pStyle w:val="TextBody"/>
        <w:bidi w:val="0"/>
        <w:spacing w:before="0" w:after="0"/>
        <w:jc w:val="left"/>
        <w:rPr>
          <w:rFonts w:ascii="ARIAL" w:hAnsi="ARIAL"/>
          <w:sz w:val="20"/>
        </w:rPr>
      </w:pPr>
      <w:r>
        <w:rPr>
          <w:rFonts w:ascii="ARIAL" w:hAnsi="ARIAL"/>
          <w:sz w:val="20"/>
        </w:rPr>
        <w:t xml:space="preserve">assumptions prove incorrect, actual results or outcomes may vary materially from those reflected in the forward-looking statements. The forward-looking statements speak only as of January 30, 2024, and SLB disclaims any intention or obligation to update publicly or revise such statements, whether as a result of new information, future events, or otherwise. </w:t>
      </w:r>
    </w:p>
    <w:p>
      <w:pPr>
        <w:pStyle w:val="TextBody"/>
        <w:bidi w:val="0"/>
        <w:spacing w:before="0" w:after="0"/>
        <w:jc w:val="left"/>
        <w:rPr/>
      </w:pPr>
      <w:r>
        <w:rPr/>
        <w:t> </w:t>
      </w:r>
    </w:p>
    <w:tbl>
      <w:tblPr>
        <w:tblW w:w="4300" w:type="dxa"/>
        <w:jc w:val="left"/>
        <w:tblInd w:w="0" w:type="dxa"/>
        <w:tblLayout w:type="fixed"/>
        <w:tblCellMar>
          <w:top w:w="0" w:type="dxa"/>
          <w:left w:w="0" w:type="dxa"/>
          <w:bottom w:w="0" w:type="dxa"/>
          <w:right w:w="0" w:type="dxa"/>
        </w:tblCellMar>
      </w:tblPr>
      <w:tblGrid>
        <w:gridCol w:w="965"/>
        <w:gridCol w:w="3335"/>
      </w:tblGrid>
      <w:tr>
        <w:trPr/>
        <w:tc>
          <w:tcPr>
            <w:tcW w:w="965" w:type="dxa"/>
            <w:tcBorders/>
            <w:vAlign w:val="center"/>
          </w:tcPr>
          <w:p>
            <w:pPr>
              <w:pStyle w:val="TableContents"/>
              <w:bidi w:val="0"/>
              <w:spacing w:before="0" w:after="283"/>
              <w:jc w:val="left"/>
              <w:rPr>
                <w:b/>
              </w:rPr>
            </w:pPr>
            <w:r>
              <w:rPr>
                <w:b/>
              </w:rPr>
              <w:t>Item 9.01</w:t>
            </w:r>
          </w:p>
        </w:tc>
        <w:tc>
          <w:tcPr>
            <w:tcW w:w="3335" w:type="dxa"/>
            <w:tcBorders/>
            <w:vAlign w:val="center"/>
          </w:tcPr>
          <w:p>
            <w:pPr>
              <w:pStyle w:val="TableContents"/>
              <w:bidi w:val="0"/>
              <w:spacing w:before="0" w:after="0"/>
              <w:jc w:val="left"/>
              <w:rPr>
                <w:rFonts w:ascii="ARIAL" w:hAnsi="ARIAL"/>
                <w:b/>
                <w:sz w:val="20"/>
              </w:rPr>
            </w:pPr>
            <w:r>
              <w:rPr>
                <w:rFonts w:ascii="ARIAL" w:hAnsi="ARIAL"/>
                <w:b/>
                <w:sz w:val="20"/>
              </w:rPr>
              <w:t xml:space="preserve">Financial Statements and Exhibits. </w:t>
            </w:r>
          </w:p>
        </w:tc>
      </w:tr>
    </w:tbl>
    <w:p>
      <w:pPr>
        <w:pStyle w:val="TextBody"/>
        <w:bidi w:val="0"/>
        <w:spacing w:before="0" w:after="0"/>
        <w:jc w:val="left"/>
        <w:rPr/>
      </w:pPr>
      <w:r>
        <w:rPr/>
        <w:t> </w:t>
      </w:r>
    </w:p>
    <w:tbl>
      <w:tblPr>
        <w:tblW w:w="1990" w:type="dxa"/>
        <w:jc w:val="left"/>
        <w:tblInd w:w="0" w:type="dxa"/>
        <w:tblLayout w:type="fixed"/>
        <w:tblCellMar>
          <w:top w:w="0" w:type="dxa"/>
          <w:left w:w="0" w:type="dxa"/>
          <w:bottom w:w="0" w:type="dxa"/>
          <w:right w:w="0" w:type="dxa"/>
        </w:tblCellMar>
      </w:tblPr>
      <w:tblGrid>
        <w:gridCol w:w="305"/>
        <w:gridCol w:w="1685"/>
      </w:tblGrid>
      <w:tr>
        <w:trPr/>
        <w:tc>
          <w:tcPr>
            <w:tcW w:w="305" w:type="dxa"/>
            <w:tcBorders/>
            <w:vAlign w:val="center"/>
          </w:tcPr>
          <w:p>
            <w:pPr>
              <w:pStyle w:val="TableContents"/>
              <w:bidi w:val="0"/>
              <w:spacing w:before="0" w:after="283"/>
              <w:jc w:val="left"/>
              <w:rPr/>
            </w:pPr>
            <w:r>
              <w:rPr/>
              <w:t>(d)</w:t>
            </w:r>
          </w:p>
        </w:tc>
        <w:tc>
          <w:tcPr>
            <w:tcW w:w="1685" w:type="dxa"/>
            <w:tcBorders/>
            <w:vAlign w:val="center"/>
          </w:tcPr>
          <w:p>
            <w:pPr>
              <w:pStyle w:val="TableContents"/>
              <w:bidi w:val="0"/>
              <w:spacing w:before="0" w:after="0"/>
              <w:jc w:val="left"/>
              <w:rPr/>
            </w:pPr>
            <w:r>
              <w:rPr/>
              <w:t>     </w:t>
            </w:r>
            <w:r>
              <w:rPr>
                <w:rFonts w:ascii="ARIAL" w:hAnsi="ARIAL"/>
                <w:sz w:val="20"/>
              </w:rPr>
              <w:t xml:space="preserve">Exhibits </w:t>
            </w:r>
          </w:p>
        </w:tc>
      </w:tr>
    </w:tbl>
    <w:p>
      <w:pPr>
        <w:pStyle w:val="TextBody"/>
        <w:bidi w:val="0"/>
        <w:spacing w:before="240" w:after="0"/>
        <w:jc w:val="left"/>
        <w:rPr>
          <w:rFonts w:ascii="ARIAL" w:hAnsi="ARIAL"/>
          <w:sz w:val="20"/>
        </w:rPr>
      </w:pPr>
      <w:r>
        <w:rPr>
          <w:rFonts w:ascii="ARIAL" w:hAnsi="ARIAL"/>
          <w:sz w:val="20"/>
        </w:rPr>
        <w:t xml:space="preserve">The exhibit listed below is furnished pursuant to Item 9.01 of this Form 8-K. </w:t>
      </w:r>
    </w:p>
    <w:p>
      <w:pPr>
        <w:pStyle w:val="TextBody"/>
        <w:bidi w:val="0"/>
        <w:spacing w:before="0" w:after="0"/>
        <w:jc w:val="left"/>
        <w:rPr/>
      </w:pPr>
      <w:r>
        <w:rPr/>
        <w:t> </w:t>
      </w:r>
    </w:p>
    <w:tbl>
      <w:tblPr>
        <w:tblW w:w="8200" w:type="dxa"/>
        <w:jc w:val="left"/>
        <w:tblInd w:w="0" w:type="dxa"/>
        <w:tblLayout w:type="fixed"/>
        <w:tblCellMar>
          <w:top w:w="0" w:type="dxa"/>
          <w:left w:w="0" w:type="dxa"/>
          <w:bottom w:w="0" w:type="dxa"/>
          <w:right w:w="0" w:type="dxa"/>
        </w:tblCellMar>
      </w:tblPr>
      <w:tblGrid>
        <w:gridCol w:w="395"/>
        <w:gridCol w:w="120"/>
        <w:gridCol w:w="7685"/>
      </w:tblGrid>
      <w:tr>
        <w:trPr/>
        <w:tc>
          <w:tcPr>
            <w:tcW w:w="3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395" w:type="dxa"/>
            <w:tcBorders/>
            <w:vAlign w:val="center"/>
          </w:tcPr>
          <w:p>
            <w:pPr>
              <w:pStyle w:val="TableContents"/>
              <w:bidi w:val="0"/>
              <w:spacing w:before="0" w:after="283"/>
              <w:jc w:val="left"/>
              <w:rPr/>
            </w:pPr>
            <w:r>
              <w:rPr/>
              <w:t>99</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763020dex99.htm">
              <w:r>
                <w:rPr>
                  <w:rStyle w:val="InternetLink"/>
                </w:rPr>
                <w:t xml:space="preserve">Press Release. </w:t>
              </w:r>
            </w:hyperlink>
          </w:p>
        </w:tc>
      </w:tr>
      <w:tr>
        <w:trPr/>
        <w:tc>
          <w:tcPr>
            <w:tcW w:w="39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ARIAL" w:hAnsi="ARIAL"/>
          <w:b/>
          <w:sz w:val="20"/>
        </w:rPr>
      </w:pPr>
      <w:r>
        <w:rPr>
          <w:rFonts w:ascii="ARIAL" w:hAnsi="ARIAL"/>
          <w:b/>
          <w:sz w:val="20"/>
        </w:rPr>
        <w:t xml:space="preserve">SIGNATURES </w:t>
      </w:r>
    </w:p>
    <w:p>
      <w:pPr>
        <w:pStyle w:val="TextBody"/>
        <w:bidi w:val="0"/>
        <w:spacing w:before="240" w:after="0"/>
        <w:jc w:val="left"/>
        <w:rPr>
          <w:rFonts w:ascii="ARIAL" w:hAnsi="ARIAL"/>
          <w:sz w:val="20"/>
        </w:rPr>
      </w:pPr>
      <w:r>
        <w:rPr>
          <w:rFonts w:ascii="ARIAL" w:hAnsi="ARIAL"/>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3290" w:type="dxa"/>
        <w:jc w:val="left"/>
        <w:tblInd w:w="0" w:type="dxa"/>
        <w:tblLayout w:type="fixed"/>
        <w:tblCellMar>
          <w:top w:w="0" w:type="dxa"/>
          <w:left w:w="0" w:type="dxa"/>
          <w:bottom w:w="0" w:type="dxa"/>
          <w:right w:w="0" w:type="dxa"/>
        </w:tblCellMar>
      </w:tblPr>
      <w:tblGrid>
        <w:gridCol w:w="3290"/>
      </w:tblGrid>
      <w:tr>
        <w:trPr/>
        <w:tc>
          <w:tcPr>
            <w:tcW w:w="3290" w:type="dxa"/>
            <w:tcBorders/>
            <w:vAlign w:val="center"/>
          </w:tcPr>
          <w:p>
            <w:pPr>
              <w:pStyle w:val="TableContents"/>
              <w:bidi w:val="0"/>
              <w:spacing w:before="0" w:after="283"/>
              <w:jc w:val="left"/>
              <w:rPr>
                <w:sz w:val="4"/>
                <w:szCs w:val="4"/>
              </w:rPr>
            </w:pPr>
            <w:r>
              <w:rPr>
                <w:sz w:val="4"/>
                <w:szCs w:val="4"/>
              </w:rPr>
            </w:r>
          </w:p>
        </w:tc>
      </w:tr>
      <w:tr>
        <w:trPr/>
        <w:tc>
          <w:tcPr>
            <w:tcW w:w="3290" w:type="dxa"/>
            <w:tcBorders/>
            <w:vAlign w:val="center"/>
          </w:tcPr>
          <w:p>
            <w:pPr>
              <w:pStyle w:val="TableContents"/>
              <w:bidi w:val="0"/>
              <w:spacing w:before="0" w:after="283"/>
              <w:jc w:val="left"/>
              <w:rPr>
                <w:b/>
              </w:rPr>
            </w:pPr>
            <w:r>
              <w:rPr>
                <w:b/>
              </w:rPr>
              <w:t>SCHLUMBERGER LIMITED</w:t>
            </w:r>
          </w:p>
        </w:tc>
      </w:tr>
      <w:tr>
        <w:trPr/>
        <w:tc>
          <w:tcPr>
            <w:tcW w:w="3290" w:type="dxa"/>
            <w:tcBorders/>
            <w:vAlign w:val="center"/>
          </w:tcPr>
          <w:p>
            <w:pPr>
              <w:pStyle w:val="TableContents"/>
              <w:bidi w:val="0"/>
              <w:spacing w:before="0" w:after="283"/>
              <w:jc w:val="left"/>
              <w:rPr>
                <w:sz w:val="4"/>
                <w:szCs w:val="4"/>
              </w:rPr>
            </w:pPr>
            <w:r>
              <w:rPr>
                <w:sz w:val="4"/>
                <w:szCs w:val="4"/>
              </w:rPr>
            </w:r>
          </w:p>
        </w:tc>
      </w:tr>
      <w:tr>
        <w:trPr/>
        <w:tc>
          <w:tcPr>
            <w:tcW w:w="3290" w:type="dxa"/>
            <w:tcBorders/>
            <w:vAlign w:val="center"/>
          </w:tcPr>
          <w:p>
            <w:pPr>
              <w:pStyle w:val="TableContents"/>
              <w:pBdr>
                <w:bottom w:val="single" w:sz="2" w:space="1" w:color="000000"/>
              </w:pBdr>
              <w:bidi w:val="0"/>
              <w:spacing w:before="0" w:after="20"/>
              <w:jc w:val="left"/>
              <w:rPr>
                <w:rFonts w:ascii="ARIAL" w:hAnsi="ARIAL"/>
                <w:sz w:val="20"/>
              </w:rPr>
            </w:pPr>
            <w:r>
              <w:rPr>
                <w:rFonts w:ascii="ARIAL" w:hAnsi="ARIAL"/>
                <w:sz w:val="20"/>
              </w:rPr>
              <w:t>/s/ Dianne B. Ralston</w:t>
            </w:r>
          </w:p>
        </w:tc>
      </w:tr>
      <w:tr>
        <w:trPr/>
        <w:tc>
          <w:tcPr>
            <w:tcW w:w="3290" w:type="dxa"/>
            <w:tcBorders/>
            <w:vAlign w:val="center"/>
          </w:tcPr>
          <w:p>
            <w:pPr>
              <w:pStyle w:val="TableContents"/>
              <w:bidi w:val="0"/>
              <w:spacing w:before="0" w:after="283"/>
              <w:jc w:val="left"/>
              <w:rPr/>
            </w:pPr>
            <w:r>
              <w:rPr/>
              <w:t>Dianne B. Ralston</w:t>
            </w:r>
          </w:p>
        </w:tc>
      </w:tr>
      <w:tr>
        <w:trPr/>
        <w:tc>
          <w:tcPr>
            <w:tcW w:w="3290" w:type="dxa"/>
            <w:tcBorders/>
            <w:vAlign w:val="center"/>
          </w:tcPr>
          <w:p>
            <w:pPr>
              <w:pStyle w:val="TableContents"/>
              <w:bidi w:val="0"/>
              <w:spacing w:before="0" w:after="283"/>
              <w:jc w:val="left"/>
              <w:rPr/>
            </w:pPr>
            <w:r>
              <w:rPr/>
              <w:t>Chief Legal Officer and Secretary</w:t>
            </w:r>
          </w:p>
        </w:tc>
      </w:tr>
      <w:tr>
        <w:trPr/>
        <w:tc>
          <w:tcPr>
            <w:tcW w:w="3290" w:type="dxa"/>
            <w:tcBorders/>
            <w:vAlign w:val="center"/>
          </w:tcPr>
          <w:p>
            <w:pPr>
              <w:pStyle w:val="TableContents"/>
              <w:bidi w:val="0"/>
              <w:spacing w:before="0" w:after="283"/>
              <w:jc w:val="left"/>
              <w:rPr>
                <w:sz w:val="4"/>
                <w:szCs w:val="4"/>
              </w:rPr>
            </w:pPr>
            <w:r>
              <w:rPr>
                <w:sz w:val="4"/>
                <w:szCs w:val="4"/>
              </w:rPr>
            </w:r>
          </w:p>
        </w:tc>
      </w:tr>
      <w:tr>
        <w:trPr/>
        <w:tc>
          <w:tcPr>
            <w:tcW w:w="3290" w:type="dxa"/>
            <w:tcBorders/>
            <w:vAlign w:val="center"/>
          </w:tcPr>
          <w:p>
            <w:pPr>
              <w:pStyle w:val="TableContents"/>
              <w:bidi w:val="0"/>
              <w:spacing w:before="0" w:after="283"/>
              <w:jc w:val="left"/>
              <w:rPr/>
            </w:pPr>
            <w:r>
              <w:rPr/>
              <w:t>Date: January 30, 2024</w:t>
            </w:r>
          </w:p>
        </w:tc>
      </w:tr>
    </w:tbl>
    <w:p>
      <w:pPr>
        <w:pStyle w:val="TextBody"/>
        <w:bidi w:val="0"/>
        <w:spacing w:before="0" w:after="0"/>
        <w:jc w:val="right"/>
        <w:rPr>
          <w:rFonts w:ascii="ARIAL" w:hAnsi="ARIAL"/>
          <w:b/>
          <w:sz w:val="20"/>
        </w:rPr>
      </w:pPr>
      <w:bookmarkStart w:id="2" w:name="d763020dex99.htm"/>
      <w:bookmarkStart w:id="3" w:name="ksd763020dex99"/>
      <w:bookmarkEnd w:id="2"/>
      <w:bookmarkEnd w:id="3"/>
      <w:r>
        <w:rPr>
          <w:rFonts w:ascii="ARIAL" w:hAnsi="ARIAL"/>
          <w:b/>
          <w:sz w:val="20"/>
        </w:rPr>
        <w:t xml:space="preserve">Exhibit 99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38"/>
        <w:gridCol w:w="123"/>
        <w:gridCol w:w="3070"/>
        <w:gridCol w:w="123"/>
        <w:gridCol w:w="3351"/>
      </w:tblGrid>
      <w:tr>
        <w:trPr/>
        <w:tc>
          <w:tcPr>
            <w:tcW w:w="3538"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07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3538" w:type="dxa"/>
            <w:tcBorders/>
          </w:tcPr>
          <w:p>
            <w:pPr>
              <w:pStyle w:val="TableContents"/>
              <w:bidi w:val="0"/>
              <w:spacing w:before="0" w:after="283"/>
              <w:jc w:val="left"/>
              <w:rPr>
                <w:b/>
              </w:rPr>
            </w:pPr>
            <w:r>
              <w:rPr>
                <w:b/>
              </w:rPr>
              <w:t>News Release</w:t>
            </w:r>
          </w:p>
        </w:tc>
        <w:tc>
          <w:tcPr>
            <w:tcW w:w="123" w:type="dxa"/>
            <w:tcBorders/>
            <w:vAlign w:val="bottom"/>
          </w:tcPr>
          <w:p>
            <w:pPr>
              <w:pStyle w:val="TableContents"/>
              <w:bidi w:val="0"/>
              <w:spacing w:before="0" w:after="283"/>
              <w:jc w:val="left"/>
              <w:rPr/>
            </w:pPr>
            <w:r>
              <w:rPr/>
              <w:t>  </w:t>
            </w:r>
          </w:p>
        </w:tc>
        <w:tc>
          <w:tcPr>
            <w:tcW w:w="307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right"/>
              <w:rPr/>
            </w:pPr>
            <w:r>
              <w:rPr/>
              <w:drawing>
                <wp:inline distT="0" distB="0" distL="0" distR="0">
                  <wp:extent cx="1009650"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09650" cy="609600"/>
                          </a:xfrm>
                          <a:prstGeom prst="rect">
                            <a:avLst/>
                          </a:prstGeom>
                        </pic:spPr>
                      </pic:pic>
                    </a:graphicData>
                  </a:graphic>
                </wp:inline>
              </w:drawing>
            </w:r>
            <w:r>
              <w:rPr/>
              <w:t xml:space="preserve"> </w:t>
            </w:r>
          </w:p>
        </w:tc>
      </w:tr>
    </w:tbl>
    <w:p>
      <w:pPr>
        <w:pStyle w:val="TextBody"/>
        <w:bidi w:val="0"/>
        <w:spacing w:before="240" w:after="0"/>
        <w:jc w:val="left"/>
        <w:rPr>
          <w:rFonts w:ascii="ARIAL" w:hAnsi="ARIAL"/>
          <w:b/>
          <w:color w:val="0014DC"/>
          <w:sz w:val="48"/>
        </w:rPr>
      </w:pPr>
      <w:r>
        <w:rPr>
          <w:rFonts w:ascii="ARIAL" w:hAnsi="ARIAL"/>
          <w:b/>
          <w:color w:val="0014DC"/>
          <w:sz w:val="48"/>
        </w:rPr>
        <w:t xml:space="preserve">SLB Reaffirms 2024 Financial Guidance </w:t>
      </w:r>
    </w:p>
    <w:p>
      <w:pPr>
        <w:pStyle w:val="TextBody"/>
        <w:bidi w:val="0"/>
        <w:spacing w:before="360" w:after="0"/>
        <w:jc w:val="left"/>
        <w:rPr>
          <w:rFonts w:ascii="ARIAL" w:hAnsi="ARIAL"/>
          <w:b/>
          <w:sz w:val="20"/>
        </w:rPr>
      </w:pPr>
      <w:r>
        <w:rPr>
          <w:rFonts w:ascii="ARIAL" w:hAnsi="ARIAL"/>
          <w:b/>
          <w:sz w:val="20"/>
        </w:rPr>
        <w:t xml:space="preserve">Company remains confident in the strength and longevity of the cycle </w:t>
      </w:r>
    </w:p>
    <w:p>
      <w:pPr>
        <w:pStyle w:val="TextBody"/>
        <w:bidi w:val="0"/>
        <w:spacing w:before="240" w:after="0"/>
        <w:jc w:val="left"/>
        <w:rPr>
          <w:rFonts w:ascii="ARIAL" w:hAnsi="ARIAL"/>
          <w:sz w:val="20"/>
        </w:rPr>
      </w:pPr>
      <w:r>
        <w:rPr>
          <w:rFonts w:ascii="ARIAL" w:hAnsi="ARIAL"/>
          <w:b/>
          <w:sz w:val="20"/>
        </w:rPr>
        <w:t>HOUSTON, January 30, 2024</w:t>
      </w:r>
      <w:r>
        <w:rPr>
          <w:rFonts w:ascii="ARIAL" w:hAnsi="ARIAL"/>
          <w:sz w:val="20"/>
        </w:rPr>
        <w:t xml:space="preserve">SLB (NYSE: SLB) today announced that it is reaffirming its full-year 2024 financial guidance. </w:t>
      </w:r>
    </w:p>
    <w:p>
      <w:pPr>
        <w:pStyle w:val="TextBody"/>
        <w:bidi w:val="0"/>
        <w:spacing w:before="240" w:after="0"/>
        <w:jc w:val="left"/>
        <w:rPr>
          <w:rFonts w:ascii="ARIAL" w:hAnsi="ARIAL"/>
          <w:sz w:val="20"/>
        </w:rPr>
      </w:pPr>
      <w:r>
        <w:rPr>
          <w:rFonts w:ascii="ARIAL" w:hAnsi="ARIAL"/>
          <w:sz w:val="20"/>
        </w:rPr>
        <w:t xml:space="preserve">We acknowledge the decision by Saudi Aramco to maintain its Maximum Sustainable Capacity (MSC) at 12 million barrels per day (MMBD), and not to continue increasing MSC to 13 MMBD, said SLB Chief Executive Officer Olivier Le Peuch. We continue to work very closely with Saudi Aramco, and our understanding is that all ongoing oil and gas projects remain intact and that only two offshore oil increment projects not yet started will be suspended. </w:t>
      </w:r>
    </w:p>
    <w:p>
      <w:pPr>
        <w:pStyle w:val="TextBody"/>
        <w:bidi w:val="0"/>
        <w:spacing w:before="240" w:after="0"/>
        <w:jc w:val="left"/>
        <w:rPr>
          <w:rFonts w:ascii="ARIAL" w:hAnsi="ARIAL"/>
          <w:sz w:val="20"/>
        </w:rPr>
      </w:pPr>
      <w:r>
        <w:rPr>
          <w:rFonts w:ascii="ARIAL" w:hAnsi="ARIAL"/>
          <w:sz w:val="20"/>
        </w:rPr>
        <w:t xml:space="preserve">Our forecast for significant growth for 2024 in the Kingdom remains intact. Looking ahead, the combination of our revenue mix in the Kingdom, which is weighted toward onshore and the expanding gas market, and our unique market position in other countries in the Middle East will continue to support the multi-year growth cycle in the region. </w:t>
      </w:r>
    </w:p>
    <w:p>
      <w:pPr>
        <w:pStyle w:val="TextBody"/>
        <w:bidi w:val="0"/>
        <w:spacing w:before="240" w:after="0"/>
        <w:jc w:val="left"/>
        <w:rPr>
          <w:rFonts w:ascii="ARIAL" w:hAnsi="ARIAL"/>
          <w:sz w:val="20"/>
        </w:rPr>
      </w:pPr>
      <w:r>
        <w:rPr>
          <w:rFonts w:ascii="ARIAL" w:hAnsi="ARIAL"/>
          <w:sz w:val="20"/>
        </w:rPr>
        <w:t xml:space="preserve">As we shared during our most recent earnings release, global energy demand continues to increase, and international production is expected to play a key role in meeting supply through the end of this decade. Given this, we are confident in the strength and longevity of this cycle through 2024 and beyond. </w:t>
      </w:r>
    </w:p>
    <w:p>
      <w:pPr>
        <w:pStyle w:val="TextBody"/>
        <w:bidi w:val="0"/>
        <w:spacing w:before="240" w:after="0"/>
        <w:jc w:val="left"/>
        <w:rPr>
          <w:rFonts w:ascii="ARIAL" w:hAnsi="ARIAL"/>
          <w:b/>
          <w:sz w:val="20"/>
        </w:rPr>
      </w:pPr>
      <w:r>
        <w:rPr>
          <w:rFonts w:ascii="ARIAL" w:hAnsi="ARIAL"/>
          <w:b/>
          <w:sz w:val="20"/>
        </w:rPr>
        <w:t xml:space="preserve">About SLB </w:t>
      </w:r>
    </w:p>
    <w:p>
      <w:pPr>
        <w:pStyle w:val="TextBody"/>
        <w:bidi w:val="0"/>
        <w:spacing w:before="120" w:after="0"/>
        <w:jc w:val="left"/>
        <w:rPr>
          <w:rFonts w:ascii="ARIAL" w:hAnsi="ARIAL"/>
          <w:sz w:val="20"/>
        </w:rPr>
      </w:pPr>
      <w:r>
        <w:rPr>
          <w:rFonts w:ascii="ARIAL" w:hAnsi="ARIAL"/>
          <w:sz w:val="20"/>
        </w:rPr>
        <w:t xml:space="preserve">SLB (NYSE: SLB) is a global technology company that drives energy innovation for a balanced planet. With a global footprint in more than 100 countries and employees representing almost twice as many nationalities, we work each day on innovating oil and gas, delivering digital at scale, decarbonizing industries, and developing and scaling new energy systems that accelerate the energy transition. Find out more at slb.com.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18"/>
        <w:gridCol w:w="122"/>
        <w:gridCol w:w="4965"/>
      </w:tblGrid>
      <w:tr>
        <w:trPr/>
        <w:tc>
          <w:tcPr>
            <w:tcW w:w="5118"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965" w:type="dxa"/>
            <w:tcBorders/>
            <w:vAlign w:val="center"/>
          </w:tcPr>
          <w:p>
            <w:pPr>
              <w:pStyle w:val="TableContents"/>
              <w:bidi w:val="0"/>
              <w:spacing w:before="0" w:after="283"/>
              <w:jc w:val="left"/>
              <w:rPr>
                <w:sz w:val="4"/>
                <w:szCs w:val="4"/>
              </w:rPr>
            </w:pPr>
            <w:r>
              <w:rPr>
                <w:sz w:val="4"/>
                <w:szCs w:val="4"/>
              </w:rPr>
            </w:r>
          </w:p>
        </w:tc>
      </w:tr>
      <w:tr>
        <w:trPr/>
        <w:tc>
          <w:tcPr>
            <w:tcW w:w="5118" w:type="dxa"/>
            <w:tcBorders/>
          </w:tcPr>
          <w:p>
            <w:pPr>
              <w:pStyle w:val="TableContents"/>
              <w:bidi w:val="0"/>
              <w:spacing w:before="0" w:after="0"/>
              <w:jc w:val="left"/>
              <w:rPr>
                <w:rFonts w:ascii="ARIAL" w:hAnsi="ARIAL"/>
                <w:sz w:val="20"/>
              </w:rPr>
            </w:pPr>
            <w:r>
              <w:rPr>
                <w:rFonts w:ascii="ARIAL" w:hAnsi="ARIAL"/>
                <w:sz w:val="20"/>
              </w:rPr>
              <w:t>Media</w:t>
            </w:r>
          </w:p>
          <w:p>
            <w:pPr>
              <w:pStyle w:val="TableContents"/>
              <w:bidi w:val="0"/>
              <w:spacing w:before="0" w:after="0"/>
              <w:jc w:val="left"/>
              <w:rPr>
                <w:rFonts w:ascii="ARIAL" w:hAnsi="ARIAL"/>
                <w:sz w:val="20"/>
              </w:rPr>
            </w:pPr>
            <w:r>
              <w:rPr>
                <w:rFonts w:ascii="ARIAL" w:hAnsi="ARIAL"/>
                <w:sz w:val="20"/>
              </w:rPr>
              <w:t xml:space="preserve">Josh Byerly </w:t>
              <w:br/>
              <w:t>Vice President of Communications</w:t>
            </w:r>
          </w:p>
          <w:p>
            <w:pPr>
              <w:pStyle w:val="TableContents"/>
              <w:bidi w:val="0"/>
              <w:spacing w:before="0" w:after="0"/>
              <w:jc w:val="left"/>
              <w:rPr>
                <w:rFonts w:ascii="ARIAL" w:hAnsi="ARIAL"/>
                <w:sz w:val="20"/>
              </w:rPr>
            </w:pPr>
            <w:r>
              <w:rPr>
                <w:rFonts w:ascii="ARIAL" w:hAnsi="ARIAL"/>
                <w:sz w:val="20"/>
              </w:rPr>
              <w:t>Moira Duff</w:t>
            </w:r>
          </w:p>
          <w:p>
            <w:pPr>
              <w:pStyle w:val="TableContents"/>
              <w:bidi w:val="0"/>
              <w:spacing w:before="0" w:after="20"/>
              <w:jc w:val="left"/>
              <w:rPr>
                <w:rFonts w:ascii="ARIAL" w:hAnsi="ARIAL"/>
                <w:sz w:val="20"/>
              </w:rPr>
            </w:pPr>
            <w:r>
              <w:rPr>
                <w:rFonts w:ascii="ARIAL" w:hAnsi="ARIAL"/>
                <w:sz w:val="20"/>
              </w:rPr>
              <w:t xml:space="preserve">Director of External Communications </w:t>
              <w:br/>
              <w:t xml:space="preserve">SLB </w:t>
              <w:br/>
              <w:t xml:space="preserve">Tel: +1 (713) 375-3407 </w:t>
              <w:br/>
              <w:t>Email: media@slb.com</w:t>
            </w:r>
          </w:p>
        </w:tc>
        <w:tc>
          <w:tcPr>
            <w:tcW w:w="122" w:type="dxa"/>
            <w:tcBorders/>
            <w:vAlign w:val="bottom"/>
          </w:tcPr>
          <w:p>
            <w:pPr>
              <w:pStyle w:val="TableContents"/>
              <w:bidi w:val="0"/>
              <w:spacing w:before="0" w:after="283"/>
              <w:jc w:val="left"/>
              <w:rPr/>
            </w:pPr>
            <w:r>
              <w:rPr/>
              <w:t>  </w:t>
            </w:r>
          </w:p>
        </w:tc>
        <w:tc>
          <w:tcPr>
            <w:tcW w:w="4965" w:type="dxa"/>
            <w:tcBorders/>
          </w:tcPr>
          <w:p>
            <w:pPr>
              <w:pStyle w:val="TableContents"/>
              <w:bidi w:val="0"/>
              <w:spacing w:before="0" w:after="283"/>
              <w:jc w:val="left"/>
              <w:rPr/>
            </w:pPr>
            <w:r>
              <w:rPr/>
              <w:t xml:space="preserve">Investors </w:t>
              <w:br/>
              <w:t xml:space="preserve">James R McDonald </w:t>
              <w:br/>
              <w:t xml:space="preserve">SVP of Investor Relations &amp; Industry Affairs </w:t>
              <w:br/>
              <w:t xml:space="preserve">Joy V. Domingo </w:t>
              <w:br/>
              <w:t xml:space="preserve">Director of Investor Relations </w:t>
              <w:br/>
              <w:t xml:space="preserve">SLB </w:t>
              <w:br/>
              <w:t xml:space="preserve">Tel: +1 (713) 375-3535 </w:t>
              <w:br/>
              <w:t>Email: investor-relations@slb.com</w:t>
            </w:r>
          </w:p>
        </w:tc>
      </w:tr>
    </w:tbl>
    <w:p>
      <w:pPr>
        <w:pStyle w:val="TextBody"/>
        <w:bidi w:val="0"/>
        <w:spacing w:before="0" w:after="0"/>
        <w:jc w:val="left"/>
        <w:rPr/>
      </w:pPr>
      <w:r>
        <w:rPr/>
        <w:t> </w:t>
      </w:r>
    </w:p>
    <w:p>
      <w:pPr>
        <w:pStyle w:val="TextBody"/>
        <w:bidi w:val="0"/>
        <w:spacing w:before="0" w:after="0"/>
        <w:jc w:val="left"/>
        <w:rPr>
          <w:rFonts w:ascii="ARIAL" w:hAnsi="ARIAL"/>
          <w:b/>
          <w:sz w:val="16"/>
        </w:rPr>
      </w:pPr>
      <w:r>
        <w:rPr>
          <w:rFonts w:ascii="ARIAL" w:hAnsi="ARIAL"/>
          <w:b/>
          <w:sz w:val="16"/>
        </w:rPr>
        <w:t xml:space="preserve">Slb.com/newsroom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left"/>
        <w:rPr>
          <w:rFonts w:ascii="ARIAL" w:hAnsi="ARIAL"/>
          <w:b/>
          <w:sz w:val="16"/>
        </w:rPr>
      </w:pPr>
      <w:r>
        <w:rPr>
          <w:rFonts w:ascii="ARIAL" w:hAnsi="ARIAL"/>
          <w:b/>
          <w:sz w:val="16"/>
        </w:rPr>
        <w:t xml:space="preserve">Cautionary Statement Regarding Forward-Looking Statements </w:t>
      </w:r>
    </w:p>
    <w:p>
      <w:pPr>
        <w:pStyle w:val="TextBody"/>
        <w:bidi w:val="0"/>
        <w:spacing w:before="120" w:after="0"/>
        <w:jc w:val="left"/>
        <w:rPr>
          <w:rFonts w:ascii="ARIAL" w:hAnsi="ARIAL"/>
          <w:sz w:val="16"/>
        </w:rPr>
      </w:pPr>
      <w:r>
        <w:rPr>
          <w:rFonts w:ascii="ARIAL" w:hAnsi="ARIAL"/>
          <w:sz w:val="16"/>
        </w:rPr>
        <w:t xml:space="preserve">This press release contains forward-looking statements within the meaning of the U.S. federal securities laws  that is, statements about the future, not about past events. Such statements often contain words such as expect, may, can, estimate, intend, anticipate, will, potential, projected and other similar words. Forward-looking statements address matters that are, to varying degrees, uncertain, such as forecasts or expectations regarding the deployment of, or anticipated benefits of, SLBs new technologies and partnerships; statements about goals, plans and projections with respect to sustainability and environmental matters; forecasts or expectations regarding energy transition and global climate change; and improvements in operating procedures and technology. These statements are subject to risks and uncertainties, including, but not limited to, the inability to achieve net-negative carbon emissions goals; the inability to recognize intended benefits of SLBs strategies, initiatives or partnerships; legislative and regulatory initiatives addressing environmental concerns, including initiatives addressing the impact of global climate change; the timing or receipt of regulatory approvals and permits; and other risks and uncertainties detailed in SLBs most recent Forms 10-K, 10-Q and 8-K filed with or furnished to the U.S. Securities and Exchange Commission. If one or more of these or other risks or uncertainties materialize (or the consequences of such a development changes), or should underlying assumptions prove incorrect, actual outcomes may vary materially from those reflected in our forward-looking statements. The forward-looking statements speak only as of the date of this press release, and SLB disclaims any intention or obligation to update publicly or revise such statements, whether as a result of new information, future events or otherwise. </w:t>
      </w:r>
    </w:p>
    <w:p>
      <w:pPr>
        <w:pStyle w:val="TextBody"/>
        <w:bidi w:val="0"/>
        <w:spacing w:before="240" w:after="0"/>
        <w:jc w:val="left"/>
        <w:rPr>
          <w:rFonts w:ascii="ARIAL" w:hAnsi="ARIAL"/>
          <w:b/>
          <w:sz w:val="16"/>
        </w:rPr>
      </w:pPr>
      <w:r>
        <w:rPr>
          <w:rFonts w:ascii="ARIAL" w:hAnsi="ARIAL"/>
          <w:b/>
          <w:sz w:val="16"/>
        </w:rPr>
        <w:t xml:space="preserve">Slb.com/newsroom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1876</Words>
  <Characters>10619</Characters>
  <CharactersWithSpaces>12463</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dc:title>
</cp:coreProperties>
</file>