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24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27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2"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740" w:hanging="38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740" w:hanging="38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740" w:hanging="381"/>
        <w:spacing w:after="0" w:line="268"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740" w:hanging="38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740" w:hanging="38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right="540" w:hanging="352"/>
        <w:spacing w:after="0" w:line="332" w:lineRule="auto"/>
        <w:tabs>
          <w:tab w:leader="none" w:pos="3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740" w:hanging="38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40" w:hanging="38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740" w:hanging="38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740" w:hanging="38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-3015615</wp:posOffset>
            </wp:positionV>
            <wp:extent cx="6809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-2715260</wp:posOffset>
            </wp:positionV>
            <wp:extent cx="6809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-2277745</wp:posOffset>
            </wp:positionV>
            <wp:extent cx="6809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-1978025</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-1660525</wp:posOffset>
            </wp:positionV>
            <wp:extent cx="680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-742950</wp:posOffset>
            </wp:positionV>
            <wp:extent cx="6809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-442595</wp:posOffset>
            </wp:positionV>
            <wp:extent cx="6809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-142875</wp:posOffset>
            </wp:positionV>
            <wp:extent cx="6809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156845</wp:posOffset>
            </wp:positionV>
            <wp:extent cx="6809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ectPr>
          <w:pgSz w:w="11900" w:h="16838" w:orient="portrait"/>
          <w:cols w:equalWidth="0" w:num="1">
            <w:col w:w="11160"/>
          </w:cols>
          <w:pgMar w:left="24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497205</wp:posOffset>
            </wp:positionV>
            <wp:extent cx="14490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 rue Saint-Dominique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75007 Paris, France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April 10, 2013</w:t>
      </w:r>
    </w:p>
    <w:p>
      <w:pPr>
        <w:spacing w:after="0" w:line="57" w:lineRule="exact"/>
        <w:rPr>
          <w:sz w:val="20"/>
          <w:szCs w:val="20"/>
          <w:color w:val="auto"/>
        </w:rPr>
      </w:pPr>
    </w:p>
    <w:p>
      <w:pPr>
        <w:ind w:left="10180"/>
        <w:spacing w:after="0"/>
        <w:tabs>
          <w:tab w:leader="none" w:pos="10900" w:val="left"/>
        </w:tabs>
        <w:rPr>
          <w:sz w:val="20"/>
          <w:szCs w:val="20"/>
          <w:color w:val="auto"/>
        </w:rPr>
      </w:pPr>
      <w:r>
        <w:rPr>
          <w:rFonts w:ascii="Arial" w:cs="Arial" w:eastAsia="Arial" w:hAnsi="Arial"/>
          <w:sz w:val="18"/>
          <w:szCs w:val="18"/>
          <w:color w:val="auto"/>
        </w:rPr>
        <w:t>March [</w:t>
      </w:r>
      <w:r>
        <w:rPr>
          <w:sz w:val="20"/>
          <w:szCs w:val="20"/>
          <w:color w:val="auto"/>
        </w:rPr>
        <w:tab/>
      </w:r>
      <w:r>
        <w:rPr>
          <w:rFonts w:ascii="Arial" w:cs="Arial" w:eastAsia="Arial" w:hAnsi="Arial"/>
          <w:sz w:val="16"/>
          <w:szCs w:val="16"/>
          <w:color w:val="auto"/>
        </w:rPr>
        <w:t>], 2013</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2013 Annual General Meeting of Stockholders of Schlumberger Limited (Schlumberger N.V.) will be held at the Avila Beach Hotel, Penstraat 130,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Willemstad, Curaçao, on Wednesday, April 10, 2013 at 10:30 a.m., Curaçao time, for the following purposes:</w:t>
      </w:r>
    </w:p>
    <w:p>
      <w:pPr>
        <w:spacing w:after="0" w:line="70" w:lineRule="exact"/>
        <w:rPr>
          <w:sz w:val="20"/>
          <w:szCs w:val="20"/>
          <w:color w:val="auto"/>
        </w:rPr>
      </w:pPr>
    </w:p>
    <w:p>
      <w:pPr>
        <w:ind w:left="560" w:hanging="444"/>
        <w:spacing w:after="0"/>
        <w:tabs>
          <w:tab w:leader="none" w:pos="560" w:val="left"/>
        </w:tabs>
        <w:numPr>
          <w:ilvl w:val="3"/>
          <w:numId w:val="5"/>
        </w:numPr>
        <w:rPr>
          <w:rFonts w:ascii="Arial" w:cs="Arial" w:eastAsia="Arial" w:hAnsi="Arial"/>
          <w:sz w:val="18"/>
          <w:szCs w:val="18"/>
          <w:color w:val="auto"/>
        </w:rPr>
      </w:pPr>
      <w:r>
        <w:rPr>
          <w:rFonts w:ascii="Arial" w:cs="Arial" w:eastAsia="Arial" w:hAnsi="Arial"/>
          <w:sz w:val="18"/>
          <w:szCs w:val="18"/>
          <w:color w:val="auto"/>
        </w:rPr>
        <w:t>To elect the 11 directors named in this proxy statement.</w:t>
      </w:r>
    </w:p>
    <w:p>
      <w:pPr>
        <w:spacing w:after="0" w:line="76" w:lineRule="exact"/>
        <w:rPr>
          <w:rFonts w:ascii="Arial" w:cs="Arial" w:eastAsia="Arial" w:hAnsi="Arial"/>
          <w:sz w:val="18"/>
          <w:szCs w:val="18"/>
          <w:color w:val="auto"/>
        </w:rPr>
      </w:pPr>
    </w:p>
    <w:p>
      <w:pPr>
        <w:ind w:left="540" w:hanging="451"/>
        <w:spacing w:after="0"/>
        <w:tabs>
          <w:tab w:leader="none" w:pos="54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Company’s executive compensation.</w:t>
      </w:r>
    </w:p>
    <w:p>
      <w:pPr>
        <w:spacing w:after="0" w:line="76" w:lineRule="exact"/>
        <w:rPr>
          <w:rFonts w:ascii="Arial" w:cs="Arial" w:eastAsia="Arial" w:hAnsi="Arial"/>
          <w:sz w:val="18"/>
          <w:szCs w:val="18"/>
          <w:color w:val="auto"/>
        </w:rPr>
      </w:pPr>
    </w:p>
    <w:p>
      <w:pPr>
        <w:ind w:left="500" w:right="520" w:hanging="451"/>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2012, and to approve the Company’s Consolidated Balance Sheet as at December 31, 2012, its Consolidated Statement of Income for the year ended December 31, 2012, and the declarations of dividends by the Board of Directors in 2012 as reflected in the Company’s 2012 Annual Report to Stockholders.</w:t>
      </w:r>
    </w:p>
    <w:p>
      <w:pPr>
        <w:spacing w:after="0" w:line="45" w:lineRule="exact"/>
        <w:rPr>
          <w:rFonts w:ascii="Arial" w:cs="Arial" w:eastAsia="Arial" w:hAnsi="Arial"/>
          <w:sz w:val="18"/>
          <w:szCs w:val="18"/>
          <w:color w:val="auto"/>
        </w:rPr>
      </w:pPr>
    </w:p>
    <w:p>
      <w:pPr>
        <w:ind w:left="500" w:right="220" w:hanging="451"/>
        <w:spacing w:after="0" w:line="26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2013.</w:t>
      </w:r>
    </w:p>
    <w:p>
      <w:pPr>
        <w:spacing w:after="0" w:line="37" w:lineRule="exact"/>
        <w:rPr>
          <w:rFonts w:ascii="Arial" w:cs="Arial" w:eastAsia="Arial" w:hAnsi="Arial"/>
          <w:sz w:val="18"/>
          <w:szCs w:val="18"/>
          <w:color w:val="auto"/>
        </w:rPr>
      </w:pPr>
    </w:p>
    <w:p>
      <w:pPr>
        <w:ind w:left="540" w:hanging="451"/>
        <w:spacing w:after="0"/>
        <w:tabs>
          <w:tab w:leader="none" w:pos="54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approve the adoption of the 2013 Schlumberger Omnibus Incentive Plan.</w:t>
      </w:r>
    </w:p>
    <w:p>
      <w:pPr>
        <w:spacing w:after="0" w:line="76" w:lineRule="exact"/>
        <w:rPr>
          <w:rFonts w:ascii="Arial" w:cs="Arial" w:eastAsia="Arial" w:hAnsi="Arial"/>
          <w:sz w:val="18"/>
          <w:szCs w:val="18"/>
          <w:color w:val="auto"/>
        </w:rPr>
      </w:pPr>
    </w:p>
    <w:p>
      <w:pPr>
        <w:ind w:left="500" w:hanging="438"/>
        <w:spacing w:after="0"/>
        <w:tabs>
          <w:tab w:leader="none" w:pos="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approve the adoption of an amendment and restatement of the Schlumberger Discounted Stock Purchase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Action will also be taken on such other matters as may properly be brought before the meeting.</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close of business on February 20, 2013 has been fixed as the record date for the meeting. All holders of common stock of record at the close of business on that date are entitled to vote at the meeting.</w:t>
      </w:r>
    </w:p>
    <w:p>
      <w:pPr>
        <w:spacing w:after="0" w:line="24"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10795</wp:posOffset>
            </wp:positionV>
            <wp:extent cx="11061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Secretary</w:t>
      </w:r>
    </w:p>
    <w:p>
      <w:pPr>
        <w:spacing w:after="0" w:line="5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1, 2, 5 or 6 without your instructions.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of Stockholders to Be Held on April 10, 2013:</w:t>
      </w:r>
    </w:p>
    <w:p>
      <w:pPr>
        <w:spacing w:after="0" w:line="113"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This proxy statement, along with the Company’s Annual Report on Form 10-K for the fiscal year ended December 31, 2012 and the Company’s 2012 Annual Report to Stockholders, are available free of charge on the Company’s website at http://investorcenter.slb.com.</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60" w:type="dxa"/>
            <w:vAlign w:val="bottom"/>
            <w:gridSpan w:val="7"/>
          </w:tcPr>
          <w:p>
            <w:pPr>
              <w:ind w:left="4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660" w:type="dxa"/>
            <w:vAlign w:val="bottom"/>
            <w:gridSpan w:val="8"/>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PROXY STATEMENT</w:t>
              </w:r>
            </w:hyperlink>
          </w:p>
        </w:tc>
        <w:tc>
          <w:tcPr>
            <w:tcW w:w="9380" w:type="dxa"/>
            <w:vAlign w:val="bottom"/>
            <w:gridSpan w:val="37"/>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660" w:type="dxa"/>
            <w:vAlign w:val="bottom"/>
            <w:tcBorders>
              <w:bottom w:val="single" w:sz="8" w:color="0000EE"/>
            </w:tcBorders>
            <w:gridSpan w:val="8"/>
            <w:vMerge w:val="continue"/>
          </w:tcPr>
          <w:p>
            <w:pPr>
              <w:spacing w:after="0"/>
              <w:rPr>
                <w:sz w:val="13"/>
                <w:szCs w:val="13"/>
                <w:color w:val="auto"/>
              </w:rPr>
            </w:pPr>
          </w:p>
        </w:tc>
        <w:tc>
          <w:tcPr>
            <w:tcW w:w="9380" w:type="dxa"/>
            <w:vAlign w:val="bottom"/>
            <w:gridSpan w:val="37"/>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General</w:t>
              </w:r>
            </w:hyperlink>
          </w:p>
        </w:tc>
        <w:tc>
          <w:tcPr>
            <w:tcW w:w="10260" w:type="dxa"/>
            <w:vAlign w:val="bottom"/>
            <w:gridSpan w:val="43"/>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08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Items to be Voted on at the Annual Meeting</w:t>
              </w:r>
            </w:hyperlink>
          </w:p>
        </w:tc>
        <w:tc>
          <w:tcPr>
            <w:tcW w:w="77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Record Date;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Shares Outstanding</w:t>
              </w:r>
            </w:hyperlink>
          </w:p>
        </w:tc>
        <w:tc>
          <w:tcPr>
            <w:tcW w:w="120" w:type="dxa"/>
            <w:vAlign w:val="bottom"/>
            <w:tcBorders>
              <w:top w:val="single" w:sz="8" w:color="0000EE"/>
            </w:tcBorders>
            <w:gridSpan w:val="3"/>
          </w:tcPr>
          <w:p>
            <w:pPr>
              <w:spacing w:after="0"/>
              <w:rPr>
                <w:sz w:val="17"/>
                <w:szCs w:val="17"/>
                <w:color w:val="auto"/>
              </w:rPr>
            </w:pPr>
          </w:p>
        </w:tc>
        <w:tc>
          <w:tcPr>
            <w:tcW w:w="932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Quorum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Votes Required to Adopt Proposals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Effect of Abstentions and Broker Non-Votes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Voting Procedures</w:t>
              </w:r>
            </w:hyperlink>
          </w:p>
        </w:tc>
        <w:tc>
          <w:tcPr>
            <w:tcW w:w="1820" w:type="dxa"/>
            <w:vAlign w:val="bottom"/>
            <w:tcBorders>
              <w:top w:val="single" w:sz="8" w:color="0000EE"/>
            </w:tcBorders>
            <w:gridSpan w:val="22"/>
          </w:tcPr>
          <w:p>
            <w:pPr>
              <w:spacing w:after="0"/>
              <w:rPr>
                <w:sz w:val="17"/>
                <w:szCs w:val="17"/>
                <w:color w:val="auto"/>
              </w:rPr>
            </w:pPr>
          </w:p>
        </w:tc>
        <w:tc>
          <w:tcPr>
            <w:tcW w:w="77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Changing Your Vote or Revoking Your Proxy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ITEM 1. ELECTION OF DIRECTORS</w:t>
              </w:r>
            </w:hyperlink>
          </w:p>
        </w:tc>
        <w:tc>
          <w:tcPr>
            <w:tcW w:w="824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Governance Framework — Highlights</w:t>
              </w:r>
            </w:hyperlink>
          </w:p>
        </w:tc>
        <w:tc>
          <w:tcPr>
            <w:tcW w:w="810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Board Independence</w:t>
              </w:r>
            </w:hyperlink>
          </w:p>
        </w:tc>
        <w:tc>
          <w:tcPr>
            <w:tcW w:w="936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 Nominations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Leadership Structure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The Board’s Role in Risk Oversight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6"/>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88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Meetings of the Board of Directors and its Committees</w:t>
              </w:r>
            </w:hyperlink>
          </w:p>
        </w:tc>
        <w:tc>
          <w:tcPr>
            <w:tcW w:w="69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Communication with the Board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Director Attendance at Annual General Meeting</w:t>
              </w:r>
            </w:hyperlink>
          </w:p>
        </w:tc>
        <w:tc>
          <w:tcPr>
            <w:tcW w:w="74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Policies and Procedures for Approval of Related Person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6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Corporate Governance Guidelines and Code of Ethics</w:t>
              </w:r>
            </w:hyperlink>
          </w:p>
        </w:tc>
        <w:tc>
          <w:tcPr>
            <w:tcW w:w="59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ADVISORY RESOLUTION TO APPROVE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78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COMPENSATION DISCUSSION AND ANALYSIS</w:t>
              </w:r>
            </w:hyperlink>
          </w:p>
        </w:tc>
        <w:tc>
          <w:tcPr>
            <w:tcW w:w="2460" w:type="dxa"/>
            <w:vAlign w:val="bottom"/>
            <w:tcBorders>
              <w:top w:val="single" w:sz="8" w:color="0000EE"/>
            </w:tcBorders>
            <w:gridSpan w:val="10"/>
          </w:tcPr>
          <w:p>
            <w:pPr>
              <w:spacing w:after="0"/>
              <w:rPr>
                <w:sz w:val="17"/>
                <w:szCs w:val="17"/>
                <w:color w:val="auto"/>
              </w:rPr>
            </w:pPr>
          </w:p>
        </w:tc>
        <w:tc>
          <w:tcPr>
            <w:tcW w:w="48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COMPENSATION COMMITTEE REPORT</w:t>
              </w:r>
            </w:hyperlink>
          </w:p>
        </w:tc>
        <w:tc>
          <w:tcPr>
            <w:tcW w:w="78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0000EE"/>
            </w:tcBorders>
            <w:gridSpan w:val="40"/>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EXECUTIVE COMPENSATION TABLES AND ACCOMPANYING NARRATIVE</w:t>
              </w:r>
            </w:hyperlink>
          </w:p>
        </w:tc>
        <w:tc>
          <w:tcPr>
            <w:tcW w:w="50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0000EE"/>
            </w:tcBorders>
            <w:gridSpan w:val="34"/>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DIRECTOR COMPENSATION IN FISCAL YEAR 2012</w:t>
              </w:r>
            </w:hyperlink>
          </w:p>
        </w:tc>
        <w:tc>
          <w:tcPr>
            <w:tcW w:w="69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6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Director Stock Ownership Guidelines</w:t>
              </w:r>
            </w:hyperlink>
          </w:p>
        </w:tc>
        <w:tc>
          <w:tcPr>
            <w:tcW w:w="816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ITEM 3. FINANCIAL STATEMENTS</w:t>
              </w:r>
            </w:hyperlink>
          </w:p>
        </w:tc>
        <w:tc>
          <w:tcPr>
            <w:tcW w:w="828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40" w:type="dxa"/>
            <w:vAlign w:val="bottom"/>
            <w:gridSpan w:val="4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4. APPOINTMENT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6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Fees Paid to PricewaterhouseCoopers LLP</w:t>
              </w:r>
            </w:hyperlink>
          </w:p>
        </w:tc>
        <w:tc>
          <w:tcPr>
            <w:tcW w:w="4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96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Audit Committee’s Pre-Approval Policy and Procedures</w:t>
              </w:r>
            </w:hyperlink>
          </w:p>
        </w:tc>
        <w:tc>
          <w:tcPr>
            <w:tcW w:w="68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40" w:type="dxa"/>
            <w:vAlign w:val="bottom"/>
            <w:gridSpan w:val="4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AUDIT COMMITTEE REPORT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200" w:type="dxa"/>
            <w:vAlign w:val="bottom"/>
            <w:gridSpan w:val="4"/>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5. APPROVAL OF THE ADOPTION OF THE 2013 SCHLUMBERGER OMNIBUS INCENTIVE PLAN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EQUITY COMPENSATION PLAN INFORMATION</w:t>
              </w:r>
            </w:hyperlink>
          </w:p>
        </w:tc>
        <w:tc>
          <w:tcPr>
            <w:tcW w:w="4180" w:type="dxa"/>
            <w:vAlign w:val="bottom"/>
            <w:tcBorders>
              <w:top w:val="single" w:sz="8" w:color="0000EE"/>
            </w:tcBorders>
            <w:gridSpan w:val="11"/>
          </w:tcPr>
          <w:p>
            <w:pPr>
              <w:spacing w:after="0"/>
              <w:rPr>
                <w:sz w:val="17"/>
                <w:szCs w:val="17"/>
                <w:color w:val="auto"/>
              </w:rPr>
            </w:pPr>
          </w:p>
        </w:tc>
        <w:tc>
          <w:tcPr>
            <w:tcW w:w="30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1040" w:type="dxa"/>
            <w:vAlign w:val="bottom"/>
            <w:gridSpan w:val="45"/>
          </w:tcPr>
          <w:p>
            <w:pPr>
              <w:spacing w:after="0" w:line="196"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ITEM 6. APPROVAL OF THE AMENDMENT AND RESTATEMENT OF THE SCHLUMBERGER DISCOUNTED STOCK PURCHASE PLAN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460" w:type="dxa"/>
            <w:vAlign w:val="bottom"/>
            <w:tcBorders>
              <w:top w:val="single" w:sz="8" w:color="0000EE"/>
            </w:tcBorders>
            <w:gridSpan w:val="4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STOCK OWNERSHIP INFORMATION</w:t>
              </w:r>
            </w:hyperlink>
          </w:p>
        </w:tc>
        <w:tc>
          <w:tcPr>
            <w:tcW w:w="5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5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Security Ownership by Certain Beneficial Owners</w:t>
              </w:r>
            </w:hyperlink>
          </w:p>
        </w:tc>
        <w:tc>
          <w:tcPr>
            <w:tcW w:w="72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Security Ownership by 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440" w:type="dxa"/>
            <w:vAlign w:val="bottom"/>
            <w:gridSpan w:val="1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2400" w:type="dxa"/>
            <w:vAlign w:val="bottom"/>
            <w:gridSpan w:val="2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2400" w:type="dxa"/>
            <w:vAlign w:val="bottom"/>
            <w:gridSpan w:val="25"/>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2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Stockholder Proposals for 2014 Annual General Meeting</w:t>
              </w:r>
            </w:hyperlink>
          </w:p>
        </w:tc>
        <w:tc>
          <w:tcPr>
            <w:tcW w:w="68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Other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March [</w:t>
      </w:r>
      <w:r>
        <w:rPr>
          <w:sz w:val="20"/>
          <w:szCs w:val="20"/>
          <w:color w:val="auto"/>
        </w:rPr>
        <w:tab/>
      </w:r>
      <w:r>
        <w:rPr>
          <w:rFonts w:ascii="Arial" w:cs="Arial" w:eastAsia="Arial" w:hAnsi="Arial"/>
          <w:sz w:val="16"/>
          <w:szCs w:val="16"/>
          <w:color w:val="auto"/>
        </w:rPr>
        <w:t>],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Schlumberger Limited (Schlumberger N.V.) (“Schlumberger” or the “Company”) of proxies to be voted at its 2013 annual general meeting of stockholders, which will be held at the Avila Beach Hotel, Penstraat 130, Willemstad, Curaçao, on Wednesday, April 10, 2013 beginning at 10:30 a.m., Curaçao time. To gain admittance to the meeting, stockholders of record and beneficial owners as of February 20, 2013 must present a passport or other government-issued identification bearing a photograph and, for beneficial owners, proof of ownership, such as the top half of the proxy card or voting instruction card that was sent to you with this proxy statement.</w:t>
      </w:r>
    </w:p>
    <w:p>
      <w:pPr>
        <w:spacing w:after="0" w:line="3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approximate mailing date of this proxy statement is March [ ], 2013.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 The Schlumberger 2012 Annual Report to Stockholders is provided concurrently with this proxy statement, and stockholders should refer to its contents in considering agenda Item 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to be Voted on at the Annual Meeting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agenda for the 2013 annual general meeting includes the following items: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8"/>
              </w:rPr>
              <w:t>Agenda Item</w:t>
            </w:r>
          </w:p>
        </w:tc>
        <w:tc>
          <w:tcPr>
            <w:tcW w:w="4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c>
          <w:tcPr>
            <w:tcW w:w="0" w:type="dxa"/>
            <w:vAlign w:val="bottom"/>
          </w:tcPr>
          <w:p>
            <w:pPr>
              <w:spacing w:after="0"/>
              <w:rPr>
                <w:sz w:val="1"/>
                <w:szCs w:val="1"/>
                <w:color w:val="auto"/>
              </w:rPr>
            </w:pPr>
          </w:p>
        </w:tc>
      </w:tr>
      <w:tr>
        <w:trPr>
          <w:trHeight w:val="168"/>
        </w:trPr>
        <w:tc>
          <w:tcPr>
            <w:tcW w:w="7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1420" w:type="dxa"/>
            <w:vAlign w:val="bottom"/>
            <w:gridSpan w:val="2"/>
          </w:tcPr>
          <w:p>
            <w:pPr>
              <w:jc w:val="center"/>
              <w:ind w:left="332"/>
              <w:spacing w:after="0" w:line="148" w:lineRule="exact"/>
              <w:rPr>
                <w:sz w:val="20"/>
                <w:szCs w:val="20"/>
                <w:color w:val="auto"/>
              </w:rPr>
            </w:pPr>
            <w:r>
              <w:rPr>
                <w:rFonts w:ascii="Arial" w:cs="Arial" w:eastAsia="Arial" w:hAnsi="Arial"/>
                <w:sz w:val="14"/>
                <w:szCs w:val="14"/>
                <w:b w:val="1"/>
                <w:bCs w:val="1"/>
                <w:color w:val="auto"/>
                <w:w w:val="86"/>
              </w:rPr>
              <w:t>Recommendation</w:t>
            </w:r>
          </w:p>
        </w:tc>
        <w:tc>
          <w:tcPr>
            <w:tcW w:w="0" w:type="dxa"/>
            <w:vAlign w:val="bottom"/>
          </w:tcPr>
          <w:p>
            <w:pPr>
              <w:spacing w:after="0"/>
              <w:rPr>
                <w:sz w:val="1"/>
                <w:szCs w:val="1"/>
                <w:color w:val="auto"/>
              </w:rPr>
            </w:pPr>
          </w:p>
        </w:tc>
      </w:tr>
      <w:tr>
        <w:trPr>
          <w:trHeight w:val="189"/>
        </w:trPr>
        <w:tc>
          <w:tcPr>
            <w:tcW w:w="7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8280" w:type="dxa"/>
            <w:vAlign w:val="bottom"/>
          </w:tcPr>
          <w:p>
            <w:pPr>
              <w:spacing w:after="0" w:line="188" w:lineRule="exact"/>
              <w:rPr>
                <w:sz w:val="20"/>
                <w:szCs w:val="20"/>
                <w:color w:val="auto"/>
              </w:rPr>
            </w:pPr>
            <w:r>
              <w:rPr>
                <w:rFonts w:ascii="Arial" w:cs="Arial" w:eastAsia="Arial" w:hAnsi="Arial"/>
                <w:sz w:val="18"/>
                <w:szCs w:val="18"/>
                <w:i w:val="1"/>
                <w:iCs w:val="1"/>
                <w:color w:val="auto"/>
              </w:rPr>
              <w:t>Item 1</w:t>
            </w:r>
            <w:r>
              <w:rPr>
                <w:rFonts w:ascii="Arial" w:cs="Arial" w:eastAsia="Arial" w:hAnsi="Arial"/>
                <w:sz w:val="18"/>
                <w:szCs w:val="18"/>
                <w:color w:val="auto"/>
              </w:rPr>
              <w:t>: Election of 11 directors</w:t>
            </w:r>
          </w:p>
        </w:tc>
        <w:tc>
          <w:tcPr>
            <w:tcW w:w="4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Item 2</w:t>
            </w:r>
            <w:r>
              <w:rPr>
                <w:rFonts w:ascii="Arial" w:cs="Arial" w:eastAsia="Arial" w:hAnsi="Arial"/>
                <w:sz w:val="18"/>
                <w:szCs w:val="18"/>
                <w:color w:val="auto"/>
              </w:rPr>
              <w:t>: Advisory resolution to approve executive compensation</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8320" w:type="dxa"/>
            <w:vAlign w:val="bottom"/>
            <w:gridSpan w:val="2"/>
          </w:tcPr>
          <w:p>
            <w:pPr>
              <w:spacing w:after="0"/>
              <w:rPr>
                <w:sz w:val="20"/>
                <w:szCs w:val="20"/>
                <w:color w:val="auto"/>
              </w:rPr>
            </w:pPr>
            <w:r>
              <w:rPr>
                <w:rFonts w:ascii="Arial" w:cs="Arial" w:eastAsia="Arial" w:hAnsi="Arial"/>
                <w:sz w:val="18"/>
                <w:szCs w:val="18"/>
                <w:i w:val="1"/>
                <w:iCs w:val="1"/>
                <w:color w:val="auto"/>
                <w:w w:val="97"/>
              </w:rPr>
              <w:t>Item 3</w:t>
            </w:r>
            <w:r>
              <w:rPr>
                <w:rFonts w:ascii="Arial" w:cs="Arial" w:eastAsia="Arial" w:hAnsi="Arial"/>
                <w:sz w:val="18"/>
                <w:szCs w:val="18"/>
                <w:color w:val="auto"/>
                <w:w w:val="97"/>
              </w:rPr>
              <w:t>: Approval of the Company’s Consolidated Balance Sheet as at December 31, 2012, its Consolidated</w:t>
            </w:r>
          </w:p>
        </w:tc>
        <w:tc>
          <w:tcPr>
            <w:tcW w:w="4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4"/>
              </w:rPr>
              <w:t>Statement of Income for the year ended December 31, 2012, and the declarations of dividends by the Board of</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Directors in 2012</w:t>
            </w:r>
          </w:p>
        </w:tc>
        <w:tc>
          <w:tcPr>
            <w:tcW w:w="40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Item </w:t>
            </w:r>
            <w:r>
              <w:rPr>
                <w:rFonts w:ascii="Arial" w:cs="Arial" w:eastAsia="Arial" w:hAnsi="Arial"/>
                <w:sz w:val="18"/>
                <w:szCs w:val="18"/>
                <w:color w:val="auto"/>
              </w:rPr>
              <w:t>4: Appointment of PricewaterhouseCoopers LLP as the Company’s independent auditor</w:t>
            </w: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Item </w:t>
            </w:r>
            <w:r>
              <w:rPr>
                <w:rFonts w:ascii="Arial" w:cs="Arial" w:eastAsia="Arial" w:hAnsi="Arial"/>
                <w:sz w:val="18"/>
                <w:szCs w:val="18"/>
                <w:color w:val="auto"/>
              </w:rPr>
              <w:t>5: Approval of adoption of the 2013 Schlumberger Omnibus Incentive Plan</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8320" w:type="dxa"/>
            <w:vAlign w:val="bottom"/>
            <w:gridSpan w:val="2"/>
          </w:tcPr>
          <w:p>
            <w:pPr>
              <w:spacing w:after="0"/>
              <w:rPr>
                <w:sz w:val="20"/>
                <w:szCs w:val="20"/>
                <w:color w:val="auto"/>
              </w:rPr>
            </w:pPr>
            <w:r>
              <w:rPr>
                <w:rFonts w:ascii="Arial" w:cs="Arial" w:eastAsia="Arial" w:hAnsi="Arial"/>
                <w:sz w:val="18"/>
                <w:szCs w:val="18"/>
                <w:i w:val="1"/>
                <w:iCs w:val="1"/>
                <w:color w:val="auto"/>
                <w:w w:val="92"/>
              </w:rPr>
              <w:t xml:space="preserve">Item </w:t>
            </w:r>
            <w:r>
              <w:rPr>
                <w:rFonts w:ascii="Arial" w:cs="Arial" w:eastAsia="Arial" w:hAnsi="Arial"/>
                <w:sz w:val="18"/>
                <w:szCs w:val="18"/>
                <w:color w:val="auto"/>
                <w:w w:val="92"/>
              </w:rPr>
              <w:t>6: Approval of adoption of an amendment and restatement of the Schlumberger Discounted Stock Purchase</w:t>
            </w:r>
          </w:p>
        </w:tc>
        <w:tc>
          <w:tcPr>
            <w:tcW w:w="4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Plan</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Proxies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Each stockholder of record at the close of business on the record date, February 20, 2013, is entitled to one vote for each director nominee and one vote for each of the other proposals to be voted on with respect to each share registered in the stockholder’s name. A stockholder of record is a person or entity who held shares on that date </w:t>
      </w:r>
      <w:r>
        <w:rPr>
          <w:rFonts w:ascii="Arial" w:cs="Arial" w:eastAsia="Arial" w:hAnsi="Arial"/>
          <w:sz w:val="16"/>
          <w:szCs w:val="16"/>
          <w:i w:val="1"/>
          <w:iCs w:val="1"/>
          <w:color w:val="auto"/>
        </w:rPr>
        <w:t>registered</w:t>
      </w:r>
      <w:r>
        <w:rPr>
          <w:rFonts w:ascii="Arial" w:cs="Arial" w:eastAsia="Arial" w:hAnsi="Arial"/>
          <w:sz w:val="16"/>
          <w:szCs w:val="16"/>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Curaçao and, as provided by Curaçao law, meetings of stockholders are held in Curaçao. Because many stockholders cannot personally attend the meeting, it is necessary that a large number be represented by proxy.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77" w:lineRule="exact"/>
        <w:rPr>
          <w:sz w:val="20"/>
          <w:szCs w:val="20"/>
          <w:color w:val="auto"/>
        </w:rPr>
      </w:pPr>
    </w:p>
    <w:p>
      <w:pPr>
        <w:ind w:left="460"/>
        <w:spacing w:after="0"/>
        <w:tabs>
          <w:tab w:leader="none" w:pos="3440" w:val="left"/>
        </w:tabs>
        <w:rPr>
          <w:sz w:val="20"/>
          <w:szCs w:val="20"/>
          <w:color w:val="auto"/>
        </w:rPr>
      </w:pPr>
      <w:r>
        <w:rPr>
          <w:rFonts w:ascii="Arial" w:cs="Arial" w:eastAsia="Arial" w:hAnsi="Arial"/>
          <w:sz w:val="18"/>
          <w:szCs w:val="18"/>
          <w:color w:val="auto"/>
        </w:rPr>
        <w:t>On February 20, 2013, there were [</w:t>
      </w:r>
      <w:r>
        <w:rPr>
          <w:sz w:val="20"/>
          <w:szCs w:val="20"/>
          <w:color w:val="auto"/>
        </w:rPr>
        <w:tab/>
      </w:r>
      <w:r>
        <w:rPr>
          <w:rFonts w:ascii="Arial" w:cs="Arial" w:eastAsia="Arial" w:hAnsi="Arial"/>
          <w:sz w:val="15"/>
          <w:szCs w:val="15"/>
          <w:color w:val="auto"/>
        </w:rPr>
        <w:t>] shares of common stock of Schlumberger outstanding and entitled to vote.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Holders of at least one-half of the outstanding shares entitling the holders thereof to vote at the meeting must be present in person or by proxy to constitute a quorum for the taking of any action at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to Adopt Proposals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be elected, director nominees must receive a majority of votes cast (the number of shares voted “for” a director nominee must exceed the number of votes cast “against” that nominee). Approval of each of the other matters on the agenda also requires the affirmative vote of the majority of votes cast. In addition, with respect to Items 5 and 6, the New York Stock Exchange (the “NYSE”) stockholder approval rules require that the total votes cast as to each such item also represent over 50% of all shares entitled to vote on the proposal.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Abstentions and Broker Non-Votes</w:t>
      </w:r>
    </w:p>
    <w:p>
      <w:pPr>
        <w:spacing w:after="0" w:line="1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Abstentions and proxies submitted by brokers that do not indicate a vote because they do not have discretionary voting authority and have not received instructions from the </w:t>
      </w:r>
      <w:r>
        <w:rPr>
          <w:rFonts w:ascii="Arial" w:cs="Arial" w:eastAsia="Arial" w:hAnsi="Arial"/>
          <w:sz w:val="15"/>
          <w:szCs w:val="15"/>
          <w:i w:val="1"/>
          <w:iCs w:val="1"/>
          <w:color w:val="auto"/>
        </w:rPr>
        <w:t>beneficial</w:t>
      </w:r>
      <w:r>
        <w:rPr>
          <w:rFonts w:ascii="Arial" w:cs="Arial" w:eastAsia="Arial" w:hAnsi="Arial"/>
          <w:sz w:val="15"/>
          <w:szCs w:val="15"/>
          <w:color w:val="auto"/>
        </w:rPr>
        <w:t xml:space="preserve"> owner of the shares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Brokers holding shares must vote according to specific instructions they receive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 of those shares. If brokers do not receive specific instructions, brokers may in some cases vote the shares in their discretion. However, the NYSE precludes brokers from exercising voting discretion on certain proposals without specific instructions from the beneficial owner, as follows:</w:t>
      </w:r>
    </w:p>
    <w:p>
      <w:pPr>
        <w:spacing w:after="0" w:line="5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Discretionary Items</w:t>
      </w:r>
      <w:r>
        <w:rPr>
          <w:rFonts w:ascii="Arial" w:cs="Arial" w:eastAsia="Arial" w:hAnsi="Arial"/>
          <w:sz w:val="18"/>
          <w:szCs w:val="18"/>
          <w:color w:val="auto"/>
        </w:rPr>
        <w:t>. Under NYSE rules, brokers will have discretion to vote on Items 3 (financial statements) and 4 (appointment of auditors)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Nondiscretionary Items</w:t>
      </w:r>
      <w:r>
        <w:rPr>
          <w:rFonts w:ascii="Arial" w:cs="Arial" w:eastAsia="Arial" w:hAnsi="Arial"/>
          <w:sz w:val="16"/>
          <w:szCs w:val="16"/>
          <w:color w:val="auto"/>
        </w:rPr>
        <w:t>. Brokers cannot vote on Items 1 (election of directors), 2 (advisory vote to approve executive compensation), 5 (adoption of 2013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Schlumberger Omnibus Incentive Plan) or 6 (amendment and restatement of the Company’s Discounted Stock Purchase Plan) without instructions from the </w:t>
      </w:r>
      <w:r>
        <w:rPr>
          <w:rFonts w:ascii="Arial" w:cs="Arial" w:eastAsia="Arial" w:hAnsi="Arial"/>
          <w:sz w:val="16"/>
          <w:szCs w:val="16"/>
          <w:i w:val="1"/>
          <w:iCs w:val="1"/>
          <w:color w:val="auto"/>
        </w:rPr>
        <w:t xml:space="preserve">beneficial </w:t>
      </w:r>
      <w:r>
        <w:rPr>
          <w:rFonts w:ascii="Arial" w:cs="Arial" w:eastAsia="Arial" w:hAnsi="Arial"/>
          <w:sz w:val="16"/>
          <w:szCs w:val="16"/>
          <w:color w:val="auto"/>
        </w:rPr>
        <w:t>owners. Therefore, if your shares are held in “street name” by a broker and you do not instruct your broker how to vote on the election of directors,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advisory vote to approve executive compensation, the adoption of the 2013 Schlumberger Omnibus Incentive Plan or the approval of an amendment and restatement of the Company’s Discounted Stock Purchase Plan, your broker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able to vote for you on those matters.</w:t>
      </w:r>
    </w:p>
    <w:p>
      <w:pPr>
        <w:spacing w:after="0" w:line="3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Abstentions and broker non-votes will not be tabulated in determining the outcome of the vote on the election of directors or on any of the other proposals and do not count in determining the total votes cast on Items 5 and 6 for purposes of NYSE stockholder approval rules.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the internet at the following internet address: http://www.proxyvote.com;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completing and mailing their proxy card.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9, 2013. The internet and telephone voting procedures have been designed to authenticate stockholders and to allow you to vote your shares and to confirm that your instructions have been properly recorded.</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providing your voting instructions promptly, you may save the Company the expense of a second mailing.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proxy card but do not direct how to vote on each item, the persons named as proxies will vote as the Board recommends on each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Your Vote or Revoking Your Proxy</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If you are a stockholder of record, you can change your vote or revoke your proxy at any time before the polls close by timely delivery of a properly executed, later-dated proxy (including an internet or telephone vote) or by voting by ballot at the meeting. If you hold shares through a broker, bank or other nominee, you must follow the instructions of your broker, bank or other nominee to change or revoke your voting instructions.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ELECTION OF DIRECTORS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All of our directors are elected annually at our annual general meeting of stockholders. Our stockholders are requested to elect a Board of Directors of 11 members,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2012 annual general meeting. All of the nominees for election have consented to being named in this proxy statement and to serve if elected. If any nominee is unable or unwilling to serve, the Board of Directors may designate a substitute nominee or reduce the size of the Board of Directors. If the Board designates a substitute nominee, proxies may be voted for that substitute nominee. The Board knows of no reason why any nominee will be unable or unwilling to serve if elected.</w:t>
      </w:r>
    </w:p>
    <w:p>
      <w:pPr>
        <w:spacing w:after="0" w:line="3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Shares represented by executed proxies will be voted, if authority to do so is not withheld, for the election of each of the 11 nominees named below. If you hold your shares in “street name,” you should know that your broker will not vote your shares for the 11 nominees listed below without your specific voting instructions.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Each director nominee must receive a majority of the votes cast to be elected. </w:t>
      </w:r>
      <w:r>
        <w:rPr>
          <w:rFonts w:ascii="Arial" w:cs="Arial" w:eastAsia="Arial" w:hAnsi="Arial"/>
          <w:sz w:val="16"/>
          <w:szCs w:val="16"/>
          <w:i w:val="1"/>
          <w:iCs w:val="1"/>
          <w:color w:val="auto"/>
        </w:rPr>
        <w:t>Brokers do not have discretion to vote on this proposal without your</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instruction. If you do not instruct your broker how to vote on this proposal, your broker will deliver a non-vote on this proposal.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3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PETER L.S. CURRIE, 56, has been a director of the Company since 2010. He has been President of Currie Capital LLC, a private investment firm, since April 2004. Mr. Currie served as a director of Clearwire Corporation, a wireless internet service provider, from 2005 to June 2011 and was a member of both its compensation committee and its audit committee, which he chaired. From 2006 to 2010, he was a director of Sun Microsystems, a network computing infrastructure product and service company, and a member of its audit committee. Mr. Currie has also served on the boards of CNET Networks, Inc. from December 2005 to June 2008, where he was on the audit committee; and Safeco Corporation from July 2005 to September 2008, where he also served on the nominating and governance committee and on the audit committee, which he chaired during his last year on the committee. Mr. Currie also is a director at several private companies including Twitter, Inc., where he chairs both the audit committee and the nominating and governance committee. Mr. Currie brings to the Board strong financial and operational expertise as a result of his extensive board and committee experience at both public and private companies; experience serving as Chief Financial Officer of two public companies (McCaw Cellular Communications Inc. and Netscape Communications Corp.); and experience serving in senior positions in investment banking, venture capital and private equity.</w:t>
      </w:r>
    </w:p>
    <w:p>
      <w:pPr>
        <w:spacing w:after="0" w:line="4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TONY ISAAC, 71, retired, has been a director of the Company since 2003, and is the non-executive Chairman of the Board. He was the former Chief Executive of The BOC Group plc, an international group with three business segments consisting of Gases and Related Products, Vacuum Technology and Supply Chain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Solutions, from September 1999 to October 2006, when he retired. Since October 2000, Mr. Isaac has served on the board of GDF SUEZ Energy International (formerly known as International Power plc), an independent power producer, and served as chairman of its audit committee from February 2011 to August 2012. He is also the senior non-executive director of the Hogg Robinson Group, a corporate travel services company, where he serves on its remuneration and nomination committees, and is chairman of its audit committee. Mr. Isaac brings to the Board extensive experience serving on boards of large, multinational companies. As a former chief executive, Mr. Isaac also has valuable experience in the operation of a worldwide business faced with a myriad of international business and political issues. Mr. Isaac’s experience as senior non-executive director of all boards on which he has served makes him an effective non-executive Chairman of the Board.</w:t>
      </w:r>
    </w:p>
    <w:p>
      <w:pPr>
        <w:spacing w:after="0" w:line="3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K. VAMAN KAMATH, 65, has been a director of the Company since 2010. He has been the non-executive Chairman of the Board of ICICI Bank Limited, a banking institution, since May 2009, and was Managing Director and Chief Executive Officer of ICICI Bank Limited from 2002 to May 2009. He chairs its Credit, Risk and Customer Service Committees, and is a member of its Fraud Monitoring, Information Technology Strategy and its Board Governance, Remuneration and Nomination committees. Mr. Kamath has been the non-executive Chairman of the Board of Infosys Limited, an information technology services company, since August 2011, and has served on its board of directors since May 2009. Mr. Kamath also served on Infosys’ audit and nomination committees, and was chairman of its compensation committee, in each case until October 2011. He was also a director of Lupin Limited, a pharmaceutical company, from January 2010 to November 2011 and of Great Eastern Shipping Co. Limited, a shipping company, from May 2010 to November 2011.</w:t>
      </w:r>
    </w:p>
    <w:p>
      <w:pPr>
        <w:spacing w:after="0" w:line="254" w:lineRule="auto"/>
        <w:rPr>
          <w:sz w:val="20"/>
          <w:szCs w:val="20"/>
          <w:color w:val="auto"/>
        </w:rPr>
      </w:pPr>
      <w:r>
        <w:rPr>
          <w:rFonts w:ascii="Arial" w:cs="Arial" w:eastAsia="Arial" w:hAnsi="Arial"/>
          <w:sz w:val="18"/>
          <w:szCs w:val="18"/>
          <w:color w:val="auto"/>
        </w:rPr>
        <w:t>Mr. Kamath brings to the Board a deep understanding of India (a large and critical market for Schlumberger) and of Asia generally, both of which are of immense value to the Board. As a banker with more than 40 years’ experience, Mr. Kamath has extensive CEO experience and expertise in corporate finance, international banking, financial reporting, and mergers and acquisitions. Mr. Kamath’s leadership abilities and experience in India and Asia enable him to make valuable contributions to the Board.</w:t>
      </w:r>
    </w:p>
    <w:p>
      <w:pPr>
        <w:spacing w:after="0" w:line="63"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PAAL KIBSGAARD, 45, has been a director of the Company since 2011 and has served as Chief Executive Officer of the Company since August 2011. He was the Company’s Chief Operating Officer from February 2010 to July 2011, and President of the Reservoir Characterization Group from May 2009 to February 2010. Prior to that, Mr. Kibsgaard served as Vice President, Engineering, Manufacturing and Sustaining, from November 2007 to May 2009, and as Vice President of Personnel from April 2006 to November 2007. Mr. Kibsgaard brings to the Board a thorough knowledge of the Company’s operational activities worldwide as a result of his service in various global leadership positions in the Company. Mr. Kibsgaard has been with the Company since 1997, and began his career as a reservoir engineer. He has held numerous operational and administrative management positions within the Company in the Middle East, Europe and the U.S., and brings a valuable operational perspective to the Board. The Board believes that Mr. Kibsgaard’s service as Chief Executive Officer offers an important link between management and the Board, enabling the Board to perform its oversight function with the benefit of his perspectives on the Company’s business.</w:t>
      </w:r>
    </w:p>
    <w:p>
      <w:pPr>
        <w:spacing w:after="0" w:line="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NIKOLAY KUDRYAVTSEV, 62, has been a director of the Company since 2007. Since June 1997, he has been the Rector of the Moscow Institute of Physics and Technology, the most prestigious institute of theoretical and applied physics in Russia. In 2012, Mr. Kudryavtsev was elected chairman of the Board of Rectors of the city of Moscow and Moscow region. Mr. Kudryavtsev brings to the Board valuable management and finance experience,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3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ADRIAN LAJOUS, 69, has been a director of the Company since 2002. Since January 2011, he has served as President of Petrométrica, an energy consulting company. From 2001 to September 2012, he was an outside consultant serving as Senior Energy Advisor to McKinsey &amp; Company, a consulting firm. Mr. Lajous is a director of Ternium, S.A. (since 2006), a flat and long steel producer, and serves on its audit committee. He is also a director of Trinity Industries, Inc. (since 2006), a volume producer of freight and tank railcars, and serves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on its audit and its finance and risk management committees. From 1994 to 1999, Mr. Lajous was Chief Executive Officer of Petróleos Mexicanos (“Pemex”), Mexico’s national oil company. He served as Director General of Pemex and Chairman of the Board of the Pemex group of operating companies from 1994 to 1999. Mr. Lajous brings to the Board his extensive knowledge of and experience in the energy industry and its participants, as well as a deep understanding of operations in difficult political and regulatory environments. He also has significant knowledge of the issues affecting the international oil and gas industry, particularly in Mexico and Latin America. Through his service on the boards of Pemex and Ternium S.A., he has valuable experience in governance, compensation and audit issues.</w:t>
      </w:r>
    </w:p>
    <w:p>
      <w:pPr>
        <w:spacing w:after="0" w:line="6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MICHAEL E. MARKS, 62, has been a director of the Company since 2005. He has been a Managing Partner of Riverwood Capital, LLC (formerly Bigwood Capital, LLC), a private equity firm, since March 2007. From January 2007 to January 2008, Mr. Marks was a Senior Advisor to Kohlberg Kravis Roberts &amp; Co., a private equity firm, and was a Member of that firm from January 2006 to January 2007. From 1994 to 2006, Mr. Marks served as the Chief Executive Officer of Flextronics, Inc., a leading producer of advanced electronic manufacturing services. Mr. Marks also served as a director of Flextronics from 1991 to 2008. He was appointed Chairman of the Board of Flextronics effective upon his retirement as Chief Executive Officer in 2006 and served in that role until his retirement from the board of Flextronics in 2008, and he previously served as Chairman of the Board of Flextronics from 1993 to 2003. Mr. Marks has been a director of SanDisk, a memory products company, since 2003 and became chairman of its board in January 2011. He is also a member of its compensation committee and is chairman of its nominating and governance committee. From 2007 to 2010, he was a director at Sun Microsystems, a network computing infrastructure product and service company, and was a member of its audit committee. Until December 2010, Mr. Marks was a director of Calix (since 2009), a provider of broadband communications access systems and software. Mr. Marks brings to the Board his familiarity with world-class manufacturing from the field level to the boardroom based on his experience at Flextronics, and because he has run a large, diversified global corporation with many of the same issues that Schlumberger faces. As a former chief executive and as a public company director at various other companies, Mr. Marks has been involved in succession planning, compensation, employee management and the evaluation of acquisition opportunities. Almost all companies of which Mr. Marks has been a director have been involved in some form of technology business, and this experience is especially relevant to Schlumberger’s technology-oriented business and the fact that many of its acquisition targets are technology companies.</w:t>
      </w:r>
    </w:p>
    <w:p>
      <w:pPr>
        <w:spacing w:after="0" w:line="45"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LUBNA S. OLAYAN, 57, has been a director of the Company since 2011. She has been the deputy chairperson and Chief Executive Officer of Riyadh-based Olayan Financing Company, the holding entity for The Olayan Group’s operations in the Kingdom of Saudi Arabia and the Middle East, since 1986. Since 2001, Ms. Olayan has been a Principal of The Olayan Group, a private multinational enterprise engaged in manufacturing, distribution and services. She is a member of the Board of Directors of Olayan Investment Company Establishment, the parent company of The Olayan Group. In her capacity as CEO of Olayan Financing Company, Ms. Olayan is responsible for The Olayan Group’s operating businesses and investments in Saudi Arabia and the Middle East. These include more than 40 companies engaged in product manufacturing, distribution and services, often in partnership with leading multinationals. Ms. Olayan also serves as a non-executive director and member of various corporate and advisory boards. Since December 2004, Ms. Olayan has been a Director of Saudi Hollandi Bank, becoming the first woman to join the board of a Saudi publicly-listed company, and is a member of its executive committee and its nomination and remuneration committee. Ms. Olayan served as a non-executive director of WPP plc, a public company and one of the largest communication services businesses in the world, from March 2005 to June 2012, and was a member of its nomination committee. Ms. Olayan is also a member of the International Advisory Boards of Rolls Royce Group plc (since 2006), Akbank (since 2008) and the National Bank of Kuwait (since 2010). Ms. Olayan also serves on the boards of various non-governmental organizations, including the Asia Business Council, Al Fanar (venture philanthropy) and the Down’s Syndrome Charitable Association in Saudi Arabia, and on the boards of various educational institutions, including Cornell University and King Abdullah University of Science and Technology. Ms. Olayan brings to the Board proven leadership abilities and experience in Saudi Arabia and the Middle East, which enable her to make valuable contributions to the Board. Ms. Olayan has extensive business experience in Saudi Arabia and the Middle East and a deep understanding of those areas, which are critical to the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Board benefits from her extensive CEO experience and expertise in corporate finance, international banking, distribution and manufacturing. Ms. Olayan also brings a critical international perspective on business and global best practices. Ms. Olayan’s service on the Boards of Trustees of Cornell University and of King Abdullah University of Science and Technology, and her connections to the scientific community and her experience in university relations, also are of great value to Schlumberger and its efforts in technology leadership and employee recruiting and retention.</w:t>
      </w:r>
    </w:p>
    <w:p>
      <w:pPr>
        <w:spacing w:after="0" w:line="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LEO RAFAEL REIF, 62, has been a director of the Company since 2007. Mr. Reif has served as President of the Massachusetts Institute of Technology (“MIT”) since July 2012. He previously served as MIT’s Provost, Chief Academic Officer and Chief Budget Officer, from August 2005 to July 2012.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Mr. Reif brings to the Board valuable management and finance expertise.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oversight of the Company’s strategy.</w:t>
      </w:r>
    </w:p>
    <w:p>
      <w:pPr>
        <w:spacing w:after="0" w:line="3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TORE I. SANDVOLD, 65, has been a director of the Company since 2004. He has been executive Chairman of Sandvold Energy AS, an advisory company in the energy industry, since September 2002. Mr. Sandvold is a director of Teekay Corporation (since 2003), a leading provider of international crude oil and petroleum product transportation services, where he is a member of its nominating and governance committee. From 2001 to 2002, Mr. Sandvold served as executive Chairman of Petoro AS, the Norwegian state-owned oil company. Mr. Sandvold brings to the Board experience working in the area of energy policy for more than 35 years, and he has broad experience in developing domestic and international energy policies for Norway as a career civil servant. He also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3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HENRI SEYDOUX, 52, has been a director of the Company since 2009. Since 1994, he has been Chairman and Chief Executive Officer of Parrot S.A., a global wireless products manufacturer. Mr. Seydoux is an entrepreneur with great initiative. He founded Parrot S.A. in 1994 as a private company and took it public in 2007. As the chief executive of a dynamic and innovative technology company, Mr. Seydoux brings to the Board entrepreneurial drive and management skills. He also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while fostering innovation.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guidelines that the Board believes are consistent with Schlumberger’s values, promote the effective functioning of the Board, its committees and the Company. These guidelines are on our website at http://www.slb.com/about/guiding_principles/corpgovernance/corpgov_guidelines.aspx.</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Framework—Highlights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highlights of our corporate governance practices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Independence; Committees Structure</w:t>
      </w:r>
    </w:p>
    <w:p>
      <w:pPr>
        <w:spacing w:after="0" w:line="90" w:lineRule="exact"/>
        <w:rPr>
          <w:sz w:val="20"/>
          <w:szCs w:val="20"/>
          <w:color w:val="auto"/>
        </w:rPr>
      </w:pPr>
    </w:p>
    <w:p>
      <w:pPr>
        <w:ind w:left="780" w:right="8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director nominees are independent of the Company and management, except for our CEO. This is substantially above the NYSE requirement that a majority of directors be independent.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Isaac, an independent member of the Board, serves as Chairman of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independent directors meet regularly in executive session.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Only independent directors serve on our Audit, Compensation, Finance, Nominating and Governance and Science and Technology Committees.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Majority Voting; Stockholder Authority</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majority vote standard for uncontested director elections.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our directors are elected annually. We do not have a classified board.</w:t>
      </w:r>
    </w:p>
    <w:p>
      <w:pPr>
        <w:spacing w:after="0" w:line="90"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or more stockholders representing 10% or more of outstanding shares can call a special stockholders meeting by following the procedural requirements set forth in our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Stock Ownership Guidelines</w:t>
      </w:r>
    </w:p>
    <w:p>
      <w:pPr>
        <w:spacing w:after="0" w:line="90" w:lineRule="exact"/>
        <w:rPr>
          <w:sz w:val="20"/>
          <w:szCs w:val="20"/>
          <w:color w:val="auto"/>
        </w:rPr>
      </w:pPr>
    </w:p>
    <w:p>
      <w:pPr>
        <w:ind w:left="780" w:right="8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executive stock ownership guidelines, designed to align executive and stockholder interests. For a description of the guidelines applicable to our executive officers and other senior members of management, see “Compensation Discussion and Analysis—Executive Stock Ownership Guidelines.”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full Board of Directors directly oversees risk management for the Company.</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reviews and assesses financial reporting risk. It also reviews all significant finance-related violations of Company policies brought to its attention, and once per year reviews and assesses summaries of all finance-related violations.</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Finance Committee oversees finance-related risks on a quarterly basis and recommends guidelines to control cash, pension investments, banking relationships and currency exposures.</w:t>
      </w:r>
    </w:p>
    <w:p>
      <w:pPr>
        <w:spacing w:after="0" w:line="50" w:lineRule="exact"/>
        <w:rPr>
          <w:rFonts w:ascii="Arial" w:cs="Arial" w:eastAsia="Arial" w:hAnsi="Arial"/>
          <w:sz w:val="18"/>
          <w:szCs w:val="18"/>
          <w:color w:val="auto"/>
        </w:rPr>
      </w:pPr>
    </w:p>
    <w:p>
      <w:pPr>
        <w:ind w:left="780" w:right="26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Compensation Committee reviews and assesses the Company’s overall compensation program and its effectiveness at linking executive pay to performance, aligning the interests of our executives and our stockholders and providing for appropriate incentives.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and Governance Committee oversees compliance-related risk and the Company’s Ethics and Compliance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Policy</w:t>
      </w:r>
    </w:p>
    <w:p>
      <w:pPr>
        <w:spacing w:after="0" w:line="90" w:lineRule="exact"/>
        <w:rPr>
          <w:sz w:val="20"/>
          <w:szCs w:val="20"/>
          <w:color w:val="auto"/>
        </w:rPr>
      </w:pPr>
    </w:p>
    <w:p>
      <w:pPr>
        <w:ind w:left="5680" w:right="3220" w:hanging="5226"/>
        <w:spacing w:after="0" w:line="440" w:lineRule="auto"/>
        <w:tabs>
          <w:tab w:leader="none" w:pos="7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Political Contributions</w:t>
      </w:r>
    </w:p>
    <w:p>
      <w:pPr>
        <w:spacing w:after="0" w:line="90" w:lineRule="exact"/>
        <w:rPr>
          <w:sz w:val="20"/>
          <w:szCs w:val="20"/>
          <w:color w:val="auto"/>
        </w:rPr>
      </w:pPr>
    </w:p>
    <w:p>
      <w:pPr>
        <w:ind w:left="780" w:right="4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Schlumberger has a long-standing policy prohibiting the contribution of Schlumberger funds or assets to political parties or organizations, or their leaders, or to candidates for any public office.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Schlumberger’s Corporate Governance Guidelines provide that at least a majority of the Board will consist of independent directors. This standard reflects the NYSE corporate governance listing standards. In addition, each member of the Audit Committee meets the heightened independence standards required for audit committee members under the NYSE’s listing standards.</w:t>
      </w:r>
    </w:p>
    <w:p>
      <w:pPr>
        <w:spacing w:after="0" w:line="5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The Board of Directors has determined that each director nominee listed above under “Election of Directors” is “independent” under the published listing standards of the NYSE, except Mr. Kibsgaard, who is our CEO and therefore does not qualify as independent. The Board previously determined that</w:t>
      </w:r>
    </w:p>
    <w:p>
      <w:pPr>
        <w:jc w:val="both"/>
        <w:spacing w:after="0" w:line="255" w:lineRule="auto"/>
        <w:rPr>
          <w:sz w:val="20"/>
          <w:szCs w:val="20"/>
          <w:color w:val="auto"/>
        </w:rPr>
      </w:pPr>
      <w:r>
        <w:rPr>
          <w:rFonts w:ascii="Arial" w:cs="Arial" w:eastAsia="Arial" w:hAnsi="Arial"/>
          <w:sz w:val="18"/>
          <w:szCs w:val="18"/>
          <w:color w:val="auto"/>
        </w:rPr>
        <w:t>Andrew Gould, our former CEO who served as Chairman of the Board until the 2012 annual general meeting and did not stand for re-election, was not considered to be independent. In addition, the Board of Directors determined that Philippe Camus, who also served as director until the 2012 annual general meeting and did not stand for re-election, was independent.</w:t>
      </w:r>
    </w:p>
    <w:p>
      <w:pPr>
        <w:spacing w:after="0" w:line="6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NYSE listing standards include objective tests that can disqualify a director from being treated as independent, as well as a subjective test, under which the Board must affirmatively determine that each independent director has no material relationship with Schlumberger or management. In making its independence determinations, the Board considered all material relationships with each director and each new director nominee, and all transactions since the start of 2010 between Schlumberger and each current director and director nominee and members of their immediate families or entities associated with them.</w:t>
      </w:r>
    </w:p>
    <w:p>
      <w:pPr>
        <w:spacing w:after="0" w:line="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contemplated by NYSE rules then in effect, the Company adopted categorical standards in 2004 to assist the Board in making independence determinations. Under the rules then in effect, relationships that fell within the categorical standards were not required to be disclosed in the proxy statement and their impact on independence was not required to be separately discussed. A relationship falls within these current categorical standards if it:</w:t>
      </w:r>
    </w:p>
    <w:p>
      <w:pPr>
        <w:spacing w:after="0" w:line="26" w:lineRule="exact"/>
        <w:rPr>
          <w:sz w:val="20"/>
          <w:szCs w:val="20"/>
          <w:color w:val="auto"/>
        </w:rPr>
      </w:pPr>
    </w:p>
    <w:p>
      <w:pPr>
        <w:ind w:left="780" w:right="9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SEC Regulation S-K, but under that item does not require disclosure; or</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but the contributions did not exceed the greater of $1 million or 2% of the organization’s gross revenue in any of the last 3 years.</w:t>
      </w:r>
    </w:p>
    <w:p>
      <w:pPr>
        <w:spacing w:after="0" w:line="51"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None of the non-employee directors was disqualified from “independent” status under the objective NYSE listing standards. In making its subjective determination that each non-employee director is independent, the Board reviewed additional information provided by the directors and the Company with regard to any business or personal activities or associations as they may relate to Schlumberger and Schlumberger’s management. The Board considered the transactions in the context of the NYSE’s objective listing standards, the categorical standards noted above and, for directors serving on committees, the additional standards established for members of audit committees, and the SEC and U.S. Internal Revenue Service standards for compensation committee members. Based on all of the foregoing, the Board made a subjective determination as required by NYSE rules that, because of the nature of the transaction, the director’s relationship with the entity and/or the amount involved, no relationships exist that, in the opinion of the Board, would impair the director’s independence.</w:t>
      </w:r>
    </w:p>
    <w:p>
      <w:pPr>
        <w:spacing w:after="0" w:line="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Board’s independence determinations included a review of transactions with entities associated with the independent directors or members of their immediate family. In making its independence determinations, the Board considered that Mr. Isaac, Mr. Kamath, Mr. Kudryavtsev, Mr. Lajous, Ms. Olayan and Mr. Camus (who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served on the Board until April 2012) each have served as directors, trustees, outside consultants or advisory board members at companies and universities that have had business dealings with the Company, all of which were ordinary course business transactions involving significantly less than 1% of either company’s annual revenues. The Board also considered that the Company has made charitable contributions to The Massachusetts Institute of Technology, of which Mr. Reif is the President, and to The Moscow Institute of Physics and Technology, of which Mr. Kudryavtsev is the Rector, which likewise were significantly less than the greater of $1 million or 2% of that organization’s consolidated gross revenues for any of the past three years, and from which the directors received no personal benefit.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Consideration of new Board candidates typically involves a series of internal discussions, review of information concerning candidates, and interviews with selected candidates. Board members typically suggest candidates for nomination to the Board.</w:t>
      </w:r>
    </w:p>
    <w:p>
      <w:pPr>
        <w:spacing w:after="0" w:line="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Chair, Nominating and Governance Committee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3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Nominating and Governance Committee also believes that the Board should include appropriate expertise and reflect gender, cultural and geographical diversity, in light of the entire Board’s current composition and range of diversity. Schlumberger has more than 118,000 employees worldwide, representing more than 140 nationalities, and values gender, cultural and geographical diversity in its directors as well. Two of the Company’s current directors are women. Of the 11 director nominees, three are citizens of the United States of America; two are citizens of Norway; and one director nominee is a citizen of each of France, Great Britain, Russia, Mexico, India and Saudi Arabia. The Company’s very diverse Board also evidences the Board’s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commitment to have directors who represent countries where Schlumberger operates. In addition, the exceptionally broad and diverse experience of Board members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recognizes that one of its key responsibilities is to evaluate and determine an appropriate board leadership structure so as to ensure independent oversight of management. The Board believes that there is no single, generally accepted board leadership structure that is appropriate for all companies, and that the right structure may vary for a single company as circumstances change. As such, our independent directors consider the Board’s leadership structure at least annually.</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independent members of the Board have determined that the appointment of an independent, non-executive Chairman of the Board is an appropriate board leadership structure at this time because it allows our CEO to focus on leading the Company’s complex international business operations while providing the Board experienced and independent leadership. The independent members of the Board appointed Tony Isaac as the independent, non-executive Chairman of the Board in April 2012. Mr. Isaac, who previously served as the Board’s lead independent director, continues to fulfill the responsibilities he performed as lead independent director, including setting the agendas for, and presiding over executive sessions of non-management directors, as well as serving as Chairman. In light of Mr. Isaac’s appointment as the independent, non-executive Chairman of the Board, the Board no longer has a designated lead independent director. The Board may modify this structure from time to time to best address the Company’s unique circumstances, to advance the best interests of all stockholders, as and when appropriate. In the event that the Company modifies this leadership structure in the future and appoints a lead independent director, that director’s responsibilities would, as previously, be expected to include setting the agenda for all Board meetings (together with the Chairman), setting the agenda for and leading all executive meetings of the independent directors, and providing consolidated feedback, as appropriate, from those meetings to the Chairman and CEO. The lead independent director would also have authority to call meetings of the Board of Directors in executive session; facilitate discussions, outside of scheduled Board meetings, among the independent directors on key issues as appropriate; and serve as a non-exclusive liaison with the Chairman and CEO, in consultation with the other independent directors.</w:t>
      </w:r>
    </w:p>
    <w:p>
      <w:pPr>
        <w:spacing w:after="0" w:line="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Schlumberger’s current governance practices provide for strong independent leadership, active participation by independent directors and independent evaluation of, and communication with, many members of senior management. These governance practices are reflected in our Corporate Governance Guidelines and our various committee charters, which are available on our website. The Board believes that its risk oversight programs, discussed immediately below, would be effective under a variety of board leadership frameworks and therefore do not materially affect the Board’s choice of leadership structure.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role that the Board fulfills in risk oversight is set out in our Corporate Governance Guidelines. The Board assesses major risks facing the Company and options for their mitigation, in order to promote the Company’s stockholders’ and other stakeholders’ interests in the long-term health and the overall success of the Company and its financial strength.</w:t>
      </w:r>
    </w:p>
    <w:p>
      <w:pPr>
        <w:spacing w:after="0" w:line="59"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full Board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The ERC ensures that the Company identifies all potential material risks facing the Company and implements appropriate mitigation measures. The Company’s risk identification is performed at two levels: the ERC performs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corporate-level risk mapping exercise, which involves the CEO and several other members of senior management, and while maintaining oversight, delegates operational (field-level) risk assessment and management to the Company’s various Areas, Technologies and Functions and to its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periodically presents to the full Board a comprehensive report as to its risk mapping efforts for that year.</w:t>
      </w:r>
    </w:p>
    <w:p>
      <w:pPr>
        <w:spacing w:after="0" w:line="3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addition, each of our Board committees considers the risks within its areas of responsibilities. For example, the Finance Committee considers finance-related risks on a quarterly basis and recommends guidelines to control cash, pension investments, banking relationships and currency exposures. The Compensation Committee reviews and assesses the Company’s overall compensation program and its effectiveness at linking executive pay to performance, aligning the interests of our executives and our stockholders and providing for appropriate incentives. The Nominating and Governance Committee oversees compliance-related risk and reviews and discusses the Company’s Compliance and Ethics program’s quarterly statistical report and the various allegations, disciplinary actions and training statistics brought to its attention. The Audit Committee reviews and assesses risks related to financial reporting. The Audit Committee also discusses all significant finance-related violations of Company policies brought to its attention from time to time,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significant violations of the Company’s Code of Ethics and related corporate policies are reported to the Nominating and Governance Committee and, as appropriate, are reported to the full Board. Once a year, the Deputy General Counsel, Compliance delivers to the full Board a comprehensive Annual Compliance Report. The risks identified within the Compliance and Ethics program are incorporated into the ERC’s enterprise risk management program described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its Committees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2012, the Board of Directors held six meetings. Schlumberger has an Audit, a Compensation, a Nominating and Governance, a Finance, and a Science and Technology Committee. During 2012, the Audit Committee met five times; the Compensation Committee met five times; the Finance Committee met three times; the Nominating and Governance Committee met four times; and the Science and Technology Committee met one time.</w:t>
      </w:r>
    </w:p>
    <w:p>
      <w:pPr>
        <w:spacing w:after="0" w:line="2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Each of our directors attended at least 75% of the meetings of the Board and the committees on which they served in 2012.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Committees of the Board of Directors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8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1620" w:type="dxa"/>
            <w:vAlign w:val="bottom"/>
            <w:tcBorders>
              <w:top w:val="single" w:sz="8" w:color="auto"/>
              <w:right w:val="single" w:sz="8" w:color="auto"/>
            </w:tcBorders>
            <w:shd w:val="clear" w:color="auto" w:fill="D8D8D8"/>
          </w:tcPr>
          <w:p>
            <w:pPr>
              <w:spacing w:after="0"/>
              <w:rPr>
                <w:sz w:val="12"/>
                <w:szCs w:val="12"/>
                <w:color w:val="auto"/>
              </w:rPr>
            </w:pPr>
          </w:p>
        </w:tc>
        <w:tc>
          <w:tcPr>
            <w:tcW w:w="1820" w:type="dxa"/>
            <w:vAlign w:val="bottom"/>
            <w:tcBorders>
              <w:top w:val="single" w:sz="8" w:color="auto"/>
              <w:right w:val="single" w:sz="8" w:color="auto"/>
            </w:tcBorders>
            <w:shd w:val="clear" w:color="auto" w:fill="D8D8D8"/>
          </w:tcPr>
          <w:p>
            <w:pPr>
              <w:spacing w:after="0"/>
              <w:rPr>
                <w:sz w:val="12"/>
                <w:szCs w:val="12"/>
                <w:color w:val="auto"/>
              </w:rPr>
            </w:pPr>
          </w:p>
        </w:tc>
        <w:tc>
          <w:tcPr>
            <w:tcW w:w="1680" w:type="dxa"/>
            <w:vAlign w:val="bottom"/>
            <w:tcBorders>
              <w:top w:val="single" w:sz="8" w:color="auto"/>
              <w:right w:val="single" w:sz="8" w:color="auto"/>
            </w:tcBorders>
            <w:shd w:val="clear" w:color="auto" w:fill="D8D8D8"/>
          </w:tcPr>
          <w:p>
            <w:pPr>
              <w:jc w:val="center"/>
              <w:ind w:left="28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640" w:type="dxa"/>
            <w:vAlign w:val="bottom"/>
            <w:tcBorders>
              <w:top w:val="single" w:sz="8" w:color="auto"/>
              <w:right w:val="single" w:sz="8" w:color="auto"/>
            </w:tcBorders>
            <w:shd w:val="clear" w:color="auto" w:fill="D8D8D8"/>
          </w:tcPr>
          <w:p>
            <w:pPr>
              <w:spacing w:after="0"/>
              <w:rPr>
                <w:sz w:val="12"/>
                <w:szCs w:val="12"/>
                <w:color w:val="auto"/>
              </w:rPr>
            </w:pPr>
          </w:p>
        </w:tc>
        <w:tc>
          <w:tcPr>
            <w:tcW w:w="1800" w:type="dxa"/>
            <w:vAlign w:val="bottom"/>
            <w:tcBorders>
              <w:top w:val="single" w:sz="8" w:color="auto"/>
              <w:right w:val="single" w:sz="8" w:color="auto"/>
            </w:tcBorders>
            <w:shd w:val="clear" w:color="auto" w:fill="D8D8D8"/>
          </w:tcPr>
          <w:p>
            <w:pPr>
              <w:spacing w:after="0"/>
              <w:rPr>
                <w:sz w:val="12"/>
                <w:szCs w:val="12"/>
                <w:color w:val="auto"/>
              </w:rPr>
            </w:pPr>
          </w:p>
        </w:tc>
      </w:tr>
      <w:tr>
        <w:trPr>
          <w:trHeight w:val="149"/>
        </w:trPr>
        <w:tc>
          <w:tcPr>
            <w:tcW w:w="2880" w:type="dxa"/>
            <w:vAlign w:val="bottom"/>
            <w:tcBorders>
              <w:left w:val="single" w:sz="8" w:color="auto"/>
              <w:right w:val="single" w:sz="8" w:color="auto"/>
            </w:tcBorders>
            <w:shd w:val="clear" w:color="auto" w:fill="D8D8D8"/>
          </w:tcPr>
          <w:p>
            <w:pPr>
              <w:spacing w:after="0"/>
              <w:rPr>
                <w:sz w:val="12"/>
                <w:szCs w:val="12"/>
                <w:color w:val="auto"/>
              </w:rPr>
            </w:pPr>
          </w:p>
        </w:tc>
        <w:tc>
          <w:tcPr>
            <w:tcW w:w="1620" w:type="dxa"/>
            <w:vAlign w:val="bottom"/>
            <w:tcBorders>
              <w:right w:val="single" w:sz="8" w:color="auto"/>
            </w:tcBorders>
            <w:shd w:val="clear" w:color="auto" w:fill="D8D8D8"/>
          </w:tcPr>
          <w:p>
            <w:pPr>
              <w:spacing w:after="0"/>
              <w:rPr>
                <w:sz w:val="12"/>
                <w:szCs w:val="12"/>
                <w:color w:val="auto"/>
              </w:rPr>
            </w:pPr>
          </w:p>
        </w:tc>
        <w:tc>
          <w:tcPr>
            <w:tcW w:w="1820" w:type="dxa"/>
            <w:vAlign w:val="bottom"/>
            <w:tcBorders>
              <w:right w:val="single" w:sz="8" w:color="auto"/>
            </w:tcBorders>
            <w:shd w:val="clear" w:color="auto" w:fill="D8D8D8"/>
          </w:tcPr>
          <w:p>
            <w:pPr>
              <w:spacing w:after="0"/>
              <w:rPr>
                <w:sz w:val="12"/>
                <w:szCs w:val="12"/>
                <w:color w:val="auto"/>
              </w:rPr>
            </w:pPr>
          </w:p>
        </w:tc>
        <w:tc>
          <w:tcPr>
            <w:tcW w:w="1680" w:type="dxa"/>
            <w:vAlign w:val="bottom"/>
            <w:tcBorders>
              <w:right w:val="single" w:sz="8" w:color="auto"/>
            </w:tcBorders>
            <w:shd w:val="clear" w:color="auto" w:fill="D8D8D8"/>
          </w:tcPr>
          <w:p>
            <w:pPr>
              <w:ind w:left="920"/>
              <w:spacing w:after="0" w:line="149" w:lineRule="exact"/>
              <w:rPr>
                <w:sz w:val="20"/>
                <w:szCs w:val="20"/>
                <w:color w:val="auto"/>
              </w:rPr>
            </w:pPr>
            <w:r>
              <w:rPr>
                <w:rFonts w:ascii="Arial" w:cs="Arial" w:eastAsia="Arial" w:hAnsi="Arial"/>
                <w:sz w:val="14"/>
                <w:szCs w:val="14"/>
                <w:b w:val="1"/>
                <w:bCs w:val="1"/>
                <w:color w:val="auto"/>
              </w:rPr>
              <w:t>and</w:t>
            </w:r>
          </w:p>
        </w:tc>
        <w:tc>
          <w:tcPr>
            <w:tcW w:w="1640" w:type="dxa"/>
            <w:vAlign w:val="bottom"/>
            <w:tcBorders>
              <w:right w:val="single" w:sz="8" w:color="auto"/>
            </w:tcBorders>
            <w:shd w:val="clear" w:color="auto" w:fill="D8D8D8"/>
          </w:tcPr>
          <w:p>
            <w:pPr>
              <w:spacing w:after="0"/>
              <w:rPr>
                <w:sz w:val="12"/>
                <w:szCs w:val="12"/>
                <w:color w:val="auto"/>
              </w:rPr>
            </w:pPr>
          </w:p>
        </w:tc>
        <w:tc>
          <w:tcPr>
            <w:tcW w:w="1800" w:type="dxa"/>
            <w:vAlign w:val="bottom"/>
            <w:tcBorders>
              <w:right w:val="single" w:sz="8" w:color="auto"/>
            </w:tcBorders>
            <w:shd w:val="clear" w:color="auto" w:fill="D8D8D8"/>
          </w:tcPr>
          <w:p>
            <w:pPr>
              <w:jc w:val="center"/>
              <w:ind w:left="202"/>
              <w:spacing w:after="0" w:line="149" w:lineRule="exact"/>
              <w:rPr>
                <w:sz w:val="20"/>
                <w:szCs w:val="20"/>
                <w:color w:val="auto"/>
              </w:rPr>
            </w:pPr>
            <w:r>
              <w:rPr>
                <w:rFonts w:ascii="Arial" w:cs="Arial" w:eastAsia="Arial" w:hAnsi="Arial"/>
                <w:sz w:val="14"/>
                <w:szCs w:val="14"/>
                <w:b w:val="1"/>
                <w:bCs w:val="1"/>
                <w:color w:val="auto"/>
                <w:w w:val="83"/>
              </w:rPr>
              <w:t>Science and</w:t>
            </w:r>
          </w:p>
        </w:tc>
      </w:tr>
      <w:tr>
        <w:trPr>
          <w:trHeight w:val="149"/>
        </w:trPr>
        <w:tc>
          <w:tcPr>
            <w:tcW w:w="2880" w:type="dxa"/>
            <w:vAlign w:val="bottom"/>
            <w:tcBorders>
              <w:left w:val="single" w:sz="8" w:color="auto"/>
              <w:right w:val="single" w:sz="8" w:color="auto"/>
            </w:tcBorders>
            <w:shd w:val="clear" w:color="auto" w:fill="D8D8D8"/>
          </w:tcPr>
          <w:p>
            <w:pPr>
              <w:spacing w:after="0"/>
              <w:rPr>
                <w:sz w:val="12"/>
                <w:szCs w:val="12"/>
                <w:color w:val="auto"/>
              </w:rPr>
            </w:pPr>
          </w:p>
        </w:tc>
        <w:tc>
          <w:tcPr>
            <w:tcW w:w="1620" w:type="dxa"/>
            <w:vAlign w:val="bottom"/>
            <w:tcBorders>
              <w:right w:val="single" w:sz="8" w:color="auto"/>
            </w:tcBorders>
            <w:shd w:val="clear" w:color="auto" w:fill="D8D8D8"/>
          </w:tcPr>
          <w:p>
            <w:pPr>
              <w:jc w:val="center"/>
              <w:ind w:left="279"/>
              <w:spacing w:after="0" w:line="149" w:lineRule="exact"/>
              <w:rPr>
                <w:sz w:val="20"/>
                <w:szCs w:val="20"/>
                <w:color w:val="auto"/>
              </w:rPr>
            </w:pPr>
            <w:r>
              <w:rPr>
                <w:rFonts w:ascii="Arial" w:cs="Arial" w:eastAsia="Arial" w:hAnsi="Arial"/>
                <w:sz w:val="14"/>
                <w:szCs w:val="14"/>
                <w:b w:val="1"/>
                <w:bCs w:val="1"/>
                <w:color w:val="auto"/>
                <w:w w:val="94"/>
              </w:rPr>
              <w:t>Audit</w:t>
            </w:r>
          </w:p>
        </w:tc>
        <w:tc>
          <w:tcPr>
            <w:tcW w:w="1820" w:type="dxa"/>
            <w:vAlign w:val="bottom"/>
            <w:tcBorders>
              <w:right w:val="single" w:sz="8" w:color="auto"/>
            </w:tcBorders>
            <w:shd w:val="clear" w:color="auto" w:fill="D8D8D8"/>
          </w:tcPr>
          <w:p>
            <w:pPr>
              <w:jc w:val="center"/>
              <w:ind w:left="279"/>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80" w:type="dxa"/>
            <w:vAlign w:val="bottom"/>
            <w:tcBorders>
              <w:right w:val="single" w:sz="8" w:color="auto"/>
            </w:tcBorders>
            <w:shd w:val="clear" w:color="auto" w:fill="D8D8D8"/>
          </w:tcPr>
          <w:p>
            <w:pPr>
              <w:jc w:val="center"/>
              <w:ind w:left="30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640" w:type="dxa"/>
            <w:vAlign w:val="bottom"/>
            <w:tcBorders>
              <w:right w:val="single" w:sz="8" w:color="auto"/>
            </w:tcBorders>
            <w:shd w:val="clear" w:color="auto" w:fill="D8D8D8"/>
          </w:tcPr>
          <w:p>
            <w:pPr>
              <w:jc w:val="center"/>
              <w:ind w:left="298"/>
              <w:spacing w:after="0" w:line="149" w:lineRule="exact"/>
              <w:rPr>
                <w:sz w:val="20"/>
                <w:szCs w:val="20"/>
                <w:color w:val="auto"/>
              </w:rPr>
            </w:pPr>
            <w:r>
              <w:rPr>
                <w:rFonts w:ascii="Arial" w:cs="Arial" w:eastAsia="Arial" w:hAnsi="Arial"/>
                <w:sz w:val="14"/>
                <w:szCs w:val="14"/>
                <w:b w:val="1"/>
                <w:bCs w:val="1"/>
                <w:color w:val="auto"/>
                <w:w w:val="86"/>
              </w:rPr>
              <w:t>Finance</w:t>
            </w:r>
          </w:p>
        </w:tc>
        <w:tc>
          <w:tcPr>
            <w:tcW w:w="1800" w:type="dxa"/>
            <w:vAlign w:val="bottom"/>
            <w:tcBorders>
              <w:right w:val="single" w:sz="8" w:color="auto"/>
            </w:tcBorders>
            <w:shd w:val="clear" w:color="auto" w:fill="D8D8D8"/>
          </w:tcPr>
          <w:p>
            <w:pPr>
              <w:jc w:val="center"/>
              <w:ind w:left="182"/>
              <w:spacing w:after="0" w:line="149" w:lineRule="exact"/>
              <w:rPr>
                <w:sz w:val="20"/>
                <w:szCs w:val="20"/>
                <w:color w:val="auto"/>
              </w:rPr>
            </w:pPr>
            <w:r>
              <w:rPr>
                <w:rFonts w:ascii="Arial" w:cs="Arial" w:eastAsia="Arial" w:hAnsi="Arial"/>
                <w:sz w:val="14"/>
                <w:szCs w:val="14"/>
                <w:b w:val="1"/>
                <w:bCs w:val="1"/>
                <w:color w:val="auto"/>
                <w:w w:val="83"/>
              </w:rPr>
              <w:t>Technology</w:t>
            </w:r>
          </w:p>
        </w:tc>
      </w:tr>
      <w:tr>
        <w:trPr>
          <w:trHeight w:val="175"/>
        </w:trPr>
        <w:tc>
          <w:tcPr>
            <w:tcW w:w="28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Name of Director</w:t>
            </w:r>
          </w:p>
        </w:tc>
        <w:tc>
          <w:tcPr>
            <w:tcW w:w="1620" w:type="dxa"/>
            <w:vAlign w:val="bottom"/>
            <w:tcBorders>
              <w:bottom w:val="single" w:sz="8" w:color="auto"/>
              <w:right w:val="single" w:sz="8" w:color="auto"/>
            </w:tcBorders>
            <w:shd w:val="clear" w:color="auto" w:fill="D8D8D8"/>
          </w:tcPr>
          <w:p>
            <w:pPr>
              <w:jc w:val="center"/>
              <w:ind w:left="279"/>
              <w:spacing w:after="0"/>
              <w:rPr>
                <w:sz w:val="20"/>
                <w:szCs w:val="20"/>
                <w:color w:val="auto"/>
              </w:rPr>
            </w:pPr>
            <w:r>
              <w:rPr>
                <w:rFonts w:ascii="Arial" w:cs="Arial" w:eastAsia="Arial" w:hAnsi="Arial"/>
                <w:sz w:val="14"/>
                <w:szCs w:val="14"/>
                <w:b w:val="1"/>
                <w:bCs w:val="1"/>
                <w:color w:val="auto"/>
                <w:w w:val="85"/>
              </w:rPr>
              <w:t>Committee</w:t>
            </w:r>
          </w:p>
        </w:tc>
        <w:tc>
          <w:tcPr>
            <w:tcW w:w="1820" w:type="dxa"/>
            <w:vAlign w:val="bottom"/>
            <w:tcBorders>
              <w:bottom w:val="single" w:sz="8" w:color="auto"/>
              <w:right w:val="single" w:sz="8" w:color="auto"/>
            </w:tcBorders>
            <w:shd w:val="clear" w:color="auto" w:fill="D8D8D8"/>
          </w:tcPr>
          <w:p>
            <w:pPr>
              <w:jc w:val="center"/>
              <w:ind w:left="299"/>
              <w:spacing w:after="0"/>
              <w:rPr>
                <w:sz w:val="20"/>
                <w:szCs w:val="20"/>
                <w:color w:val="auto"/>
              </w:rPr>
            </w:pPr>
            <w:r>
              <w:rPr>
                <w:rFonts w:ascii="Arial" w:cs="Arial" w:eastAsia="Arial" w:hAnsi="Arial"/>
                <w:sz w:val="14"/>
                <w:szCs w:val="14"/>
                <w:b w:val="1"/>
                <w:bCs w:val="1"/>
                <w:color w:val="auto"/>
                <w:w w:val="88"/>
              </w:rPr>
              <w:t>Committee</w:t>
            </w:r>
          </w:p>
        </w:tc>
        <w:tc>
          <w:tcPr>
            <w:tcW w:w="1680" w:type="dxa"/>
            <w:vAlign w:val="bottom"/>
            <w:tcBorders>
              <w:bottom w:val="single" w:sz="8" w:color="auto"/>
              <w:right w:val="single" w:sz="8" w:color="auto"/>
            </w:tcBorders>
            <w:shd w:val="clear" w:color="auto" w:fill="D8D8D8"/>
          </w:tcPr>
          <w:p>
            <w:pPr>
              <w:jc w:val="center"/>
              <w:ind w:left="281"/>
              <w:spacing w:after="0"/>
              <w:rPr>
                <w:sz w:val="20"/>
                <w:szCs w:val="20"/>
                <w:color w:val="auto"/>
              </w:rPr>
            </w:pPr>
            <w:r>
              <w:rPr>
                <w:rFonts w:ascii="Arial" w:cs="Arial" w:eastAsia="Arial" w:hAnsi="Arial"/>
                <w:sz w:val="14"/>
                <w:szCs w:val="14"/>
                <w:b w:val="1"/>
                <w:bCs w:val="1"/>
                <w:color w:val="auto"/>
                <w:w w:val="88"/>
              </w:rPr>
              <w:t>Committee</w:t>
            </w:r>
          </w:p>
        </w:tc>
        <w:tc>
          <w:tcPr>
            <w:tcW w:w="1640" w:type="dxa"/>
            <w:vAlign w:val="bottom"/>
            <w:tcBorders>
              <w:bottom w:val="single" w:sz="8" w:color="auto"/>
              <w:right w:val="single" w:sz="8" w:color="auto"/>
            </w:tcBorders>
            <w:shd w:val="clear" w:color="auto" w:fill="D8D8D8"/>
          </w:tcPr>
          <w:p>
            <w:pPr>
              <w:jc w:val="center"/>
              <w:ind w:left="298"/>
              <w:spacing w:after="0"/>
              <w:rPr>
                <w:sz w:val="20"/>
                <w:szCs w:val="20"/>
                <w:color w:val="auto"/>
              </w:rPr>
            </w:pPr>
            <w:r>
              <w:rPr>
                <w:rFonts w:ascii="Arial" w:cs="Arial" w:eastAsia="Arial" w:hAnsi="Arial"/>
                <w:sz w:val="14"/>
                <w:szCs w:val="14"/>
                <w:b w:val="1"/>
                <w:bCs w:val="1"/>
                <w:color w:val="auto"/>
                <w:w w:val="85"/>
              </w:rPr>
              <w:t>Committee</w:t>
            </w:r>
          </w:p>
        </w:tc>
        <w:tc>
          <w:tcPr>
            <w:tcW w:w="1800" w:type="dxa"/>
            <w:vAlign w:val="bottom"/>
            <w:tcBorders>
              <w:bottom w:val="single" w:sz="8" w:color="auto"/>
              <w:right w:val="single" w:sz="8" w:color="auto"/>
            </w:tcBorders>
            <w:shd w:val="clear" w:color="auto" w:fill="D8D8D8"/>
          </w:tcPr>
          <w:p>
            <w:pPr>
              <w:jc w:val="center"/>
              <w:ind w:left="182"/>
              <w:spacing w:after="0"/>
              <w:rPr>
                <w:sz w:val="20"/>
                <w:szCs w:val="20"/>
                <w:color w:val="auto"/>
              </w:rPr>
            </w:pPr>
            <w:r>
              <w:rPr>
                <w:rFonts w:ascii="Arial" w:cs="Arial" w:eastAsia="Arial" w:hAnsi="Arial"/>
                <w:sz w:val="14"/>
                <w:szCs w:val="14"/>
                <w:b w:val="1"/>
                <w:bCs w:val="1"/>
                <w:color w:val="auto"/>
                <w:w w:val="85"/>
              </w:rPr>
              <w:t>Committee</w:t>
            </w: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Peter L.S. Currie</w:t>
            </w:r>
          </w:p>
        </w:tc>
        <w:tc>
          <w:tcPr>
            <w:tcW w:w="16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w w:val="88"/>
              </w:rPr>
              <w:t>Chair</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Tony Isaac</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Chair</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 Vaman Kamath</w:t>
            </w:r>
          </w:p>
        </w:tc>
        <w:tc>
          <w:tcPr>
            <w:tcW w:w="16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w w:val="88"/>
              </w:rPr>
              <w:t>Chair</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Paal Kibsgaard</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Nikolay Kudryavtsev</w:t>
            </w:r>
          </w:p>
        </w:tc>
        <w:tc>
          <w:tcPr>
            <w:tcW w:w="16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ind w:left="202"/>
              <w:spacing w:after="0"/>
              <w:rPr>
                <w:sz w:val="20"/>
                <w:szCs w:val="20"/>
                <w:color w:val="auto"/>
              </w:rPr>
            </w:pPr>
            <w:r>
              <w:rPr>
                <w:rFonts w:ascii="Arial" w:cs="Arial" w:eastAsia="Arial" w:hAnsi="Arial"/>
                <w:sz w:val="18"/>
                <w:szCs w:val="18"/>
                <w:color w:val="auto"/>
                <w:w w:val="99"/>
              </w:rPr>
              <w:t>X</w:t>
            </w: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Adrian Lajous</w:t>
            </w:r>
          </w:p>
        </w:tc>
        <w:tc>
          <w:tcPr>
            <w:tcW w:w="16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E. Marks</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w w:val="88"/>
              </w:rPr>
              <w:t>Chair</w:t>
            </w:r>
          </w:p>
        </w:tc>
        <w:tc>
          <w:tcPr>
            <w:tcW w:w="16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Elizabeth A. Moler</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Lubna S. Olayan</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Leo Rafael Reif</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ind w:left="202"/>
              <w:spacing w:after="0"/>
              <w:rPr>
                <w:sz w:val="20"/>
                <w:szCs w:val="20"/>
                <w:color w:val="auto"/>
              </w:rPr>
            </w:pPr>
            <w:r>
              <w:rPr>
                <w:rFonts w:ascii="Arial" w:cs="Arial" w:eastAsia="Arial" w:hAnsi="Arial"/>
                <w:sz w:val="18"/>
                <w:szCs w:val="18"/>
                <w:color w:val="auto"/>
                <w:w w:val="92"/>
              </w:rPr>
              <w:t>Chair</w:t>
            </w: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Tore I. Sandvold</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X</w:t>
            </w: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Henri Seydoux</w:t>
            </w:r>
          </w:p>
        </w:tc>
        <w:tc>
          <w:tcPr>
            <w:tcW w:w="16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800" w:type="dxa"/>
            <w:vAlign w:val="bottom"/>
            <w:tcBorders>
              <w:bottom w:val="single" w:sz="8" w:color="auto"/>
              <w:right w:val="single" w:sz="8" w:color="auto"/>
            </w:tcBorders>
          </w:tcPr>
          <w:p>
            <w:pPr>
              <w:jc w:val="center"/>
              <w:ind w:left="202"/>
              <w:spacing w:after="0"/>
              <w:rPr>
                <w:sz w:val="20"/>
                <w:szCs w:val="20"/>
                <w:color w:val="auto"/>
              </w:rPr>
            </w:pPr>
            <w:r>
              <w:rPr>
                <w:rFonts w:ascii="Arial" w:cs="Arial" w:eastAsia="Arial" w:hAnsi="Arial"/>
                <w:sz w:val="18"/>
                <w:szCs w:val="18"/>
                <w:color w:val="auto"/>
                <w:w w:val="99"/>
              </w:rPr>
              <w:t>X</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Audit Committee consists of four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62"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113" w:lineRule="exact"/>
        <w:rPr>
          <w:rFonts w:ascii="Arial" w:cs="Arial" w:eastAsia="Arial" w:hAnsi="Arial"/>
          <w:sz w:val="16"/>
          <w:szCs w:val="16"/>
          <w:color w:val="auto"/>
        </w:rPr>
      </w:pPr>
    </w:p>
    <w:p>
      <w:pPr>
        <w:ind w:left="780" w:right="3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with the Company’s independent registered public accounting firm the scope and results of its audit, and any audit issues or difficulties and management’s response;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90"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spacing w:after="0" w:line="5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459" w:right="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7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50" w:lineRule="exact"/>
        <w:rPr>
          <w:rFonts w:ascii="Arial" w:cs="Arial" w:eastAsia="Arial" w:hAnsi="Arial"/>
          <w:sz w:val="18"/>
          <w:szCs w:val="18"/>
          <w:color w:val="auto"/>
        </w:rPr>
      </w:pPr>
    </w:p>
    <w:p>
      <w:pPr>
        <w:ind w:left="780" w:right="240" w:hanging="326"/>
        <w:spacing w:after="0" w:line="357" w:lineRule="auto"/>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90" w:lineRule="exact"/>
        <w:rPr>
          <w:sz w:val="20"/>
          <w:szCs w:val="20"/>
          <w:color w:val="auto"/>
        </w:rPr>
      </w:pPr>
    </w:p>
    <w:p>
      <w:pPr>
        <w:ind w:right="100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is accountable to the Audit Committee. The Audit Committee pre-approves all engagements, including the fees and terms for the integrated audit of the Company’s consolidated financial statements.</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of Directors has determined that each Committee member has sufficient knowledge in financial and auditing matters to serve on the Committee. In addition, the Board of Directors has determined that Messrs. Currie, Kamath and Lajous each qualify as an “audit committee financial expert” under applicable SEC rules. The Audit Committee operates pursuant to a written charter, which is available on the Company’s website at http://www.slb.com/about/guiding_principles/corpgovernance/audit_committee.aspx.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consists of four directors, each of whom meets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62" w:lineRule="exact"/>
        <w:rPr>
          <w:sz w:val="20"/>
          <w:szCs w:val="20"/>
          <w:color w:val="auto"/>
        </w:rPr>
      </w:pPr>
    </w:p>
    <w:p>
      <w:pPr>
        <w:ind w:left="780" w:right="6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equity incentives;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is compared;</w:t>
      </w:r>
    </w:p>
    <w:p>
      <w:pPr>
        <w:spacing w:after="0" w:line="90" w:lineRule="exact"/>
        <w:rPr>
          <w:rFonts w:ascii="Arial" w:cs="Arial" w:eastAsia="Arial" w:hAnsi="Arial"/>
          <w:sz w:val="18"/>
          <w:szCs w:val="18"/>
          <w:color w:val="auto"/>
        </w:rPr>
      </w:pPr>
    </w:p>
    <w:p>
      <w:pPr>
        <w:ind w:left="780" w:right="7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incentive compensation and equity-based plans, and advise management and the Board of Directors on the design and structure of the Company’s compensation and benefits programs and policies, and recommend changes to the Board;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113" w:lineRule="exact"/>
        <w:rPr>
          <w:rFonts w:ascii="Arial" w:cs="Arial" w:eastAsia="Arial" w:hAnsi="Arial"/>
          <w:sz w:val="16"/>
          <w:szCs w:val="16"/>
          <w:color w:val="auto"/>
        </w:rPr>
      </w:pPr>
    </w:p>
    <w:p>
      <w:pPr>
        <w:ind w:left="780" w:right="76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Schlumberger’s Corporate Governance Guidelines;</w:t>
      </w:r>
    </w:p>
    <w:p>
      <w:pPr>
        <w:spacing w:after="0" w:line="50" w:lineRule="exact"/>
        <w:rPr>
          <w:rFonts w:ascii="Arial" w:cs="Arial" w:eastAsia="Arial" w:hAnsi="Arial"/>
          <w:sz w:val="18"/>
          <w:szCs w:val="18"/>
          <w:color w:val="auto"/>
        </w:rPr>
      </w:pPr>
    </w:p>
    <w:p>
      <w:pPr>
        <w:ind w:left="780" w:right="46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ensure continued competitiveness and consistency with established Company compensation philosophy, corporate strategy and objectives, and alignment with stockholder interests;</w:t>
      </w:r>
    </w:p>
    <w:p>
      <w:pPr>
        <w:spacing w:after="0" w:line="4" w:lineRule="exact"/>
        <w:rPr>
          <w:rFonts w:ascii="Arial" w:cs="Arial" w:eastAsia="Arial" w:hAnsi="Arial"/>
          <w:sz w:val="16"/>
          <w:szCs w:val="16"/>
          <w:color w:val="auto"/>
        </w:rPr>
      </w:pPr>
    </w:p>
    <w:p>
      <w:pPr>
        <w:ind w:left="780" w:right="6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submit a Compensation Committee Report recommending to the Board that the CD&amp;A be included in the Company’s annual proxy statement.</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Role of the Independent Consultant. </w:t>
      </w:r>
      <w:r>
        <w:rPr>
          <w:rFonts w:ascii="Arial" w:cs="Arial" w:eastAsia="Arial" w:hAnsi="Arial"/>
          <w:sz w:val="16"/>
          <w:szCs w:val="16"/>
          <w:color w:val="auto"/>
        </w:rPr>
        <w:t>The Compensation Committee has retained Pay Governance LLC (“Pay Governance”) as its independent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July and October meetings. One of the purposes of the July meeting is to assess compensation decisions made in January of that year in light of comparative data to date; one of the purposes of the October meeting is to prepare for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 The Compensation Committee has also retained Pay Governance as an independent consulting firm with respect to director compensation matters. Pay Governance prepares an analysis of competitive non-employee director compensation levels and market trends using the same peer groups as those used in the executive compensation review.</w:t>
      </w:r>
    </w:p>
    <w:p>
      <w:pPr>
        <w:spacing w:after="0" w:line="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Compensation Committee has assessed the independence of Pay Governance pursuant to SEC rules and concluded that its work did not raise any conflict of interest that would prevent Pay Governance from independently representing the Compensation Committee.</w:t>
      </w:r>
    </w:p>
    <w:p>
      <w:pPr>
        <w:spacing w:after="0" w:line="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Procedure for Determining Executive Compensation; Role of Management. </w:t>
      </w:r>
      <w:r>
        <w:rPr>
          <w:rFonts w:ascii="Arial" w:cs="Arial" w:eastAsia="Arial" w:hAnsi="Arial"/>
          <w:sz w:val="16"/>
          <w:szCs w:val="16"/>
          <w:color w:val="auto"/>
        </w:rPr>
        <w:t>The Compensation Committee evaluates all elements of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Analysis—Framework for Setting Executive Compensation in 2012—Relative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Event</w:t>
            </w:r>
          </w:p>
        </w:tc>
        <w:tc>
          <w:tcPr>
            <w:tcW w:w="5480" w:type="dxa"/>
            <w:vAlign w:val="bottom"/>
          </w:tcPr>
          <w:p>
            <w:pPr>
              <w:spacing w:after="0"/>
              <w:rPr>
                <w:sz w:val="20"/>
                <w:szCs w:val="20"/>
                <w:color w:val="auto"/>
              </w:rPr>
            </w:pPr>
            <w:r>
              <w:rPr>
                <w:rFonts w:ascii="Arial" w:cs="Arial" w:eastAsia="Arial" w:hAnsi="Arial"/>
                <w:sz w:val="14"/>
                <w:szCs w:val="14"/>
                <w:b w:val="1"/>
                <w:bCs w:val="1"/>
                <w:color w:val="auto"/>
              </w:rPr>
              <w:t>Timing</w:t>
            </w:r>
          </w:p>
        </w:tc>
      </w:tr>
      <w:tr>
        <w:trPr>
          <w:trHeight w:val="216"/>
        </w:trPr>
        <w:tc>
          <w:tcPr>
            <w:tcW w:w="20" w:type="dxa"/>
            <w:vAlign w:val="bottom"/>
          </w:tcPr>
          <w:p>
            <w:pPr>
              <w:spacing w:after="0"/>
              <w:rPr>
                <w:sz w:val="18"/>
                <w:szCs w:val="18"/>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Establish Company financial objective(s)</w:t>
            </w:r>
          </w:p>
        </w:tc>
        <w:tc>
          <w:tcPr>
            <w:tcW w:w="220" w:type="dxa"/>
            <w:vAlign w:val="bottom"/>
          </w:tcPr>
          <w:p>
            <w:pPr>
              <w:spacing w:after="0"/>
              <w:rPr>
                <w:sz w:val="18"/>
                <w:szCs w:val="18"/>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January of each fiscal year for current year</w:t>
            </w:r>
          </w:p>
        </w:tc>
      </w:tr>
      <w:tr>
        <w:trPr>
          <w:trHeight w:val="316"/>
        </w:trPr>
        <w:tc>
          <w:tcPr>
            <w:tcW w:w="5940" w:type="dxa"/>
            <w:vAlign w:val="bottom"/>
            <w:gridSpan w:val="3"/>
          </w:tcPr>
          <w:p>
            <w:pPr>
              <w:spacing w:after="0"/>
              <w:rPr>
                <w:sz w:val="20"/>
                <w:szCs w:val="20"/>
                <w:color w:val="auto"/>
              </w:rPr>
            </w:pPr>
            <w:r>
              <w:rPr>
                <w:rFonts w:ascii="Arial" w:cs="Arial" w:eastAsia="Arial" w:hAnsi="Arial"/>
                <w:sz w:val="18"/>
                <w:szCs w:val="18"/>
                <w:color w:val="auto"/>
              </w:rPr>
              <w:t>Establish executive officer personal objectives</w:t>
            </w:r>
          </w:p>
        </w:tc>
        <w:tc>
          <w:tcPr>
            <w:tcW w:w="5480" w:type="dxa"/>
            <w:vAlign w:val="bottom"/>
          </w:tcPr>
          <w:p>
            <w:pPr>
              <w:spacing w:after="0"/>
              <w:rPr>
                <w:sz w:val="20"/>
                <w:szCs w:val="20"/>
                <w:color w:val="auto"/>
              </w:rPr>
            </w:pPr>
            <w:r>
              <w:rPr>
                <w:rFonts w:ascii="Arial" w:cs="Arial" w:eastAsia="Arial" w:hAnsi="Arial"/>
                <w:sz w:val="18"/>
                <w:szCs w:val="18"/>
                <w:color w:val="auto"/>
              </w:rPr>
              <w:t>Early in the first quarter of the fiscal year for current year</w:t>
            </w:r>
          </w:p>
        </w:tc>
      </w:tr>
      <w:tr>
        <w:trPr>
          <w:trHeight w:val="318"/>
        </w:trPr>
        <w:tc>
          <w:tcPr>
            <w:tcW w:w="5940" w:type="dxa"/>
            <w:vAlign w:val="bottom"/>
            <w:gridSpan w:val="3"/>
          </w:tcPr>
          <w:p>
            <w:pPr>
              <w:spacing w:after="0"/>
              <w:rPr>
                <w:sz w:val="20"/>
                <w:szCs w:val="20"/>
                <w:color w:val="auto"/>
              </w:rPr>
            </w:pPr>
            <w:r>
              <w:rPr>
                <w:rFonts w:ascii="Arial" w:cs="Arial" w:eastAsia="Arial" w:hAnsi="Arial"/>
                <w:sz w:val="18"/>
                <w:szCs w:val="18"/>
                <w:color w:val="auto"/>
                <w:w w:val="90"/>
              </w:rPr>
              <w:t>Perform competitive assessment to determine how Schlumberger’s compensation</w:t>
            </w:r>
          </w:p>
        </w:tc>
        <w:tc>
          <w:tcPr>
            <w:tcW w:w="5480" w:type="dxa"/>
            <w:vAlign w:val="bottom"/>
          </w:tcPr>
          <w:p>
            <w:pPr>
              <w:spacing w:after="0"/>
              <w:rPr>
                <w:sz w:val="20"/>
                <w:szCs w:val="20"/>
                <w:color w:val="auto"/>
              </w:rPr>
            </w:pPr>
            <w:r>
              <w:rPr>
                <w:rFonts w:ascii="Arial" w:cs="Arial" w:eastAsia="Arial" w:hAnsi="Arial"/>
                <w:sz w:val="18"/>
                <w:szCs w:val="18"/>
                <w:color w:val="auto"/>
              </w:rPr>
              <w:t>July of each fiscal year for current year</w:t>
            </w: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decisions compared to decisions made by companies included in the</w:t>
            </w:r>
          </w:p>
        </w:tc>
        <w:tc>
          <w:tcPr>
            <w:tcW w:w="5480" w:type="dxa"/>
            <w:vAlign w:val="bottom"/>
          </w:tcPr>
          <w:p>
            <w:pPr>
              <w:spacing w:after="0"/>
              <w:rPr>
                <w:sz w:val="18"/>
                <w:szCs w:val="18"/>
                <w:color w:val="auto"/>
              </w:rPr>
            </w:pPr>
          </w:p>
        </w:tc>
      </w:tr>
      <w:tr>
        <w:trPr>
          <w:trHeight w:val="222"/>
        </w:trPr>
        <w:tc>
          <w:tcPr>
            <w:tcW w:w="5940" w:type="dxa"/>
            <w:vAlign w:val="bottom"/>
            <w:gridSpan w:val="3"/>
          </w:tcPr>
          <w:p>
            <w:pPr>
              <w:spacing w:after="0"/>
              <w:rPr>
                <w:sz w:val="20"/>
                <w:szCs w:val="20"/>
                <w:color w:val="auto"/>
              </w:rPr>
            </w:pPr>
            <w:r>
              <w:rPr>
                <w:rFonts w:ascii="Arial" w:cs="Arial" w:eastAsia="Arial" w:hAnsi="Arial"/>
                <w:sz w:val="18"/>
                <w:szCs w:val="18"/>
                <w:color w:val="auto"/>
              </w:rPr>
              <w:t>compensation surveys</w:t>
            </w:r>
          </w:p>
        </w:tc>
        <w:tc>
          <w:tcPr>
            <w:tcW w:w="5480" w:type="dxa"/>
            <w:vAlign w:val="bottom"/>
          </w:tcPr>
          <w:p>
            <w:pPr>
              <w:spacing w:after="0"/>
              <w:rPr>
                <w:sz w:val="19"/>
                <w:szCs w:val="19"/>
                <w:color w:val="auto"/>
              </w:rPr>
            </w:pPr>
          </w:p>
        </w:tc>
      </w:tr>
      <w:tr>
        <w:trPr>
          <w:trHeight w:val="318"/>
        </w:trPr>
        <w:tc>
          <w:tcPr>
            <w:tcW w:w="5940" w:type="dxa"/>
            <w:vAlign w:val="bottom"/>
            <w:gridSpan w:val="3"/>
          </w:tcPr>
          <w:p>
            <w:pPr>
              <w:spacing w:after="0"/>
              <w:rPr>
                <w:sz w:val="20"/>
                <w:szCs w:val="20"/>
                <w:color w:val="auto"/>
              </w:rPr>
            </w:pPr>
            <w:r>
              <w:rPr>
                <w:rFonts w:ascii="Arial" w:cs="Arial" w:eastAsia="Arial" w:hAnsi="Arial"/>
                <w:sz w:val="18"/>
                <w:szCs w:val="18"/>
                <w:color w:val="auto"/>
                <w:w w:val="94"/>
              </w:rPr>
              <w:t>Independent compensation consultant provides analysis for the Compensation</w:t>
            </w:r>
          </w:p>
        </w:tc>
        <w:tc>
          <w:tcPr>
            <w:tcW w:w="5480" w:type="dxa"/>
            <w:vAlign w:val="bottom"/>
          </w:tcPr>
          <w:p>
            <w:pPr>
              <w:spacing w:after="0"/>
              <w:rPr>
                <w:sz w:val="20"/>
                <w:szCs w:val="20"/>
                <w:color w:val="auto"/>
              </w:rPr>
            </w:pPr>
            <w:r>
              <w:rPr>
                <w:rFonts w:ascii="Arial" w:cs="Arial" w:eastAsia="Arial" w:hAnsi="Arial"/>
                <w:sz w:val="18"/>
                <w:szCs w:val="18"/>
                <w:color w:val="auto"/>
              </w:rPr>
              <w:t>October of each year for compensation in the following fiscal year</w:t>
            </w:r>
          </w:p>
        </w:tc>
      </w:tr>
      <w:tr>
        <w:trPr>
          <w:trHeight w:val="222"/>
        </w:trPr>
        <w:tc>
          <w:tcPr>
            <w:tcW w:w="5940" w:type="dxa"/>
            <w:vAlign w:val="bottom"/>
            <w:gridSpan w:val="3"/>
          </w:tcPr>
          <w:p>
            <w:pPr>
              <w:spacing w:after="0"/>
              <w:rPr>
                <w:sz w:val="20"/>
                <w:szCs w:val="20"/>
                <w:color w:val="auto"/>
              </w:rPr>
            </w:pPr>
            <w:r>
              <w:rPr>
                <w:rFonts w:ascii="Arial" w:cs="Arial" w:eastAsia="Arial" w:hAnsi="Arial"/>
                <w:sz w:val="18"/>
                <w:szCs w:val="18"/>
                <w:color w:val="auto"/>
              </w:rPr>
              <w:t>Committee to evaluate executive compensation</w:t>
            </w:r>
          </w:p>
        </w:tc>
        <w:tc>
          <w:tcPr>
            <w:tcW w:w="548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370" w:lineRule="auto"/>
        <w:rPr>
          <w:sz w:val="20"/>
          <w:szCs w:val="20"/>
          <w:color w:val="auto"/>
        </w:rPr>
      </w:pPr>
      <w:r>
        <w:rPr>
          <w:rFonts w:ascii="Arial" w:cs="Arial" w:eastAsia="Arial" w:hAnsi="Arial"/>
          <w:sz w:val="15"/>
          <w:szCs w:val="15"/>
          <w:color w:val="auto"/>
        </w:rPr>
        <w:t>Evaluate executive performance (achievement of objectives established in previous fiscal year) and recommend compensation based on those results</w:t>
      </w:r>
    </w:p>
    <w:p>
      <w:pPr>
        <w:spacing w:after="0" w:line="20" w:lineRule="exact"/>
        <w:rPr>
          <w:sz w:val="20"/>
          <w:szCs w:val="20"/>
          <w:color w:val="auto"/>
        </w:rPr>
      </w:pPr>
      <w:r>
        <w:rPr>
          <w:sz w:val="20"/>
          <w:szCs w:val="20"/>
          <w:color w:val="auto"/>
        </w:rPr>
        <w:br w:type="column"/>
      </w:r>
    </w:p>
    <w:p>
      <w:pPr>
        <w:ind w:right="160"/>
        <w:spacing w:after="0" w:line="306" w:lineRule="auto"/>
        <w:rPr>
          <w:sz w:val="20"/>
          <w:szCs w:val="20"/>
          <w:color w:val="auto"/>
        </w:rPr>
      </w:pPr>
      <w:r>
        <w:rPr>
          <w:rFonts w:ascii="Arial" w:cs="Arial" w:eastAsia="Arial" w:hAnsi="Arial"/>
          <w:sz w:val="16"/>
          <w:szCs w:val="16"/>
          <w:color w:val="auto"/>
        </w:rPr>
        <w:t>Results approved in January of each fiscal year for annual cash incentive compensation with respect to prior year. The incentive earned in prior fiscal year is paid in February of the current fiscal year.</w:t>
      </w:r>
    </w:p>
    <w:p>
      <w:pPr>
        <w:spacing w:after="0" w:line="53" w:lineRule="exact"/>
        <w:rPr>
          <w:sz w:val="20"/>
          <w:szCs w:val="20"/>
          <w:color w:val="auto"/>
        </w:rPr>
      </w:pPr>
    </w:p>
    <w:p>
      <w:pPr>
        <w:sectPr>
          <w:pgSz w:w="11900" w:h="16838" w:orient="portrait"/>
          <w:cols w:equalWidth="0" w:num="2">
            <w:col w:w="5220" w:space="720"/>
            <w:col w:w="5480"/>
          </w:cols>
          <w:pgMar w:left="240" w:top="459" w:right="239" w:bottom="1440" w:gutter="0" w:footer="0" w:header="0"/>
          <w:type w:val="continuous"/>
        </w:sectPr>
      </w:pPr>
    </w:p>
    <w:p>
      <w:pPr>
        <w:ind w:left="5940" w:right="160" w:hanging="5928"/>
        <w:spacing w:after="0" w:line="268" w:lineRule="auto"/>
        <w:tabs>
          <w:tab w:leader="none" w:pos="5920" w:val="left"/>
        </w:tabs>
        <w:rPr>
          <w:sz w:val="20"/>
          <w:szCs w:val="20"/>
          <w:color w:val="auto"/>
        </w:rPr>
      </w:pPr>
      <w:r>
        <w:rPr>
          <w:rFonts w:ascii="Arial" w:cs="Arial" w:eastAsia="Arial" w:hAnsi="Arial"/>
          <w:sz w:val="18"/>
          <w:szCs w:val="18"/>
          <w:color w:val="auto"/>
        </w:rPr>
        <w:t>Review and recommend executive base salary and determine equity-based grants</w:t>
        <w:tab/>
        <w:t>January of each fiscal year for base salary for that year and for equity-based grants</w:t>
      </w:r>
    </w:p>
    <w:p>
      <w:pPr>
        <w:spacing w:after="0" w:line="51" w:lineRule="exact"/>
        <w:rPr>
          <w:sz w:val="20"/>
          <w:szCs w:val="20"/>
          <w:color w:val="auto"/>
        </w:rPr>
      </w:pPr>
    </w:p>
    <w:p>
      <w:pPr>
        <w:ind w:right="2720" w:firstLine="456"/>
        <w:spacing w:after="0" w:line="332" w:lineRule="auto"/>
        <w:rPr>
          <w:sz w:val="20"/>
          <w:szCs w:val="20"/>
          <w:color w:val="auto"/>
        </w:rPr>
      </w:pPr>
      <w:r>
        <w:rPr>
          <w:rFonts w:ascii="Arial" w:cs="Arial" w:eastAsia="Arial" w:hAnsi="Arial"/>
          <w:sz w:val="16"/>
          <w:szCs w:val="16"/>
          <w:color w:val="auto"/>
        </w:rPr>
        <w:t>The Compensation Committee operates pursuant to a written charter, which is available on the Company’s website at http://www.slb.com/about/guiding_principles/corpgovernance/compensation_committee.aspx.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Nominating and Governance Committee consists of five directors, each of whom meets the independence requirements of the NYSE’s listing standards. The authority and responsibilities of the Nominating and Governance Committee include the following:</w:t>
      </w:r>
    </w:p>
    <w:p>
      <w:pPr>
        <w:spacing w:after="0" w:line="5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113"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spacing w:after="0" w:line="50" w:lineRule="exact"/>
        <w:rPr>
          <w:rFonts w:ascii="Arial" w:cs="Arial" w:eastAsia="Arial" w:hAnsi="Arial"/>
          <w:sz w:val="18"/>
          <w:szCs w:val="18"/>
          <w:color w:val="auto"/>
        </w:rPr>
      </w:pPr>
    </w:p>
    <w:p>
      <w:pPr>
        <w:ind w:left="780" w:right="42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Company’s Corporate Governance Guidelines and recommend changes as it deems appropriate in those guidelines, in the corporate governance provisions of the Company’s By-Laws and in the policies and practices of the Board;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113"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90" w:lineRule="exact"/>
        <w:rPr>
          <w:sz w:val="20"/>
          <w:szCs w:val="20"/>
          <w:color w:val="auto"/>
        </w:rPr>
      </w:pPr>
    </w:p>
    <w:p>
      <w:pPr>
        <w:ind w:right="1700" w:firstLine="456"/>
        <w:spacing w:after="0" w:line="268"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51"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90" w:lineRule="exact"/>
        <w:rPr>
          <w:rFonts w:ascii="Arial" w:cs="Arial" w:eastAsia="Arial" w:hAnsi="Arial"/>
          <w:sz w:val="18"/>
          <w:szCs w:val="18"/>
          <w:color w:val="auto"/>
        </w:rPr>
      </w:pPr>
    </w:p>
    <w:p>
      <w:pPr>
        <w:ind w:left="1480" w:right="820" w:hanging="446"/>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 the investor relations and stockholder services of the Company;</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review and approve any acquisitions covered by such delegation;</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90" w:lineRule="exact"/>
        <w:rPr>
          <w:sz w:val="20"/>
          <w:szCs w:val="20"/>
          <w:color w:val="auto"/>
        </w:rPr>
      </w:pPr>
    </w:p>
    <w:p>
      <w:pPr>
        <w:ind w:right="3160" w:firstLine="456"/>
        <w:spacing w:after="0" w:line="332" w:lineRule="auto"/>
        <w:rPr>
          <w:sz w:val="20"/>
          <w:szCs w:val="20"/>
          <w:color w:val="auto"/>
        </w:rPr>
      </w:pPr>
      <w:r>
        <w:rPr>
          <w:rFonts w:ascii="Arial" w:cs="Arial" w:eastAsia="Arial" w:hAnsi="Arial"/>
          <w:sz w:val="16"/>
          <w:szCs w:val="16"/>
          <w:color w:val="auto"/>
        </w:rPr>
        <w:t>The Finance Committee operates pursuant to a written charter, which is available on the Company’s website at http://www.slb.com/about/guiding_principles/corpgovernance/finance_committee.aspx.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Science and Technology Committee advises the Board and management on matters involving the Company’s research and development programs. The authority and responsibilities of the Science and Technology Committee include the following:</w:t>
      </w:r>
    </w:p>
    <w:p>
      <w:pPr>
        <w:spacing w:after="0" w:line="51" w:lineRule="exact"/>
        <w:rPr>
          <w:sz w:val="20"/>
          <w:szCs w:val="20"/>
          <w:color w:val="auto"/>
        </w:rPr>
      </w:pPr>
    </w:p>
    <w:p>
      <w:pPr>
        <w:ind w:left="780" w:right="4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evaluate and advise the Board and management regarding the long-term strategic goals and objectives and the quality and direction of the Company’s research and development programs;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2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and advise the Board and management on the Company’s major technology positions and strategies relative to emerging technologies and changing market requirements;</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 and evaluate trends in research and development, and recommend to the Board and management emerging technologies for building the Company’s technological strength;</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 approaches to acquiring and maintaining technology 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advise the Board and management on the scientific aspects of major acquisitions and business development transactions;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assist the Board with its oversight responsibility for enterprise risk management in areas affecting the Company’s research and development.</w:t>
      </w:r>
    </w:p>
    <w:p>
      <w:pPr>
        <w:spacing w:after="0" w:line="113" w:lineRule="exact"/>
        <w:rPr>
          <w:sz w:val="20"/>
          <w:szCs w:val="20"/>
          <w:color w:val="auto"/>
        </w:rPr>
      </w:pPr>
    </w:p>
    <w:p>
      <w:pPr>
        <w:ind w:right="2000" w:firstLine="456"/>
        <w:spacing w:after="0" w:line="268" w:lineRule="auto"/>
        <w:rPr>
          <w:sz w:val="20"/>
          <w:szCs w:val="20"/>
          <w:color w:val="auto"/>
        </w:rPr>
      </w:pPr>
      <w:r>
        <w:rPr>
          <w:rFonts w:ascii="Arial" w:cs="Arial" w:eastAsia="Arial" w:hAnsi="Arial"/>
          <w:sz w:val="18"/>
          <w:szCs w:val="18"/>
          <w:color w:val="auto"/>
        </w:rPr>
        <w:t>The Science and Technology Committee operates pursuant to a written charter, which is available on the Company’s website at http://www.slb.com/about/guiding_principles/corpgovernance/tech_committee.aspx.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Board has established a process for all interested parties, including stockholders and other security holders, to send communications, other than sales-related communications, to one or more of its members, including to the independent or non-management directors as a group. Interested parties may contact the Board or any Schlumberger director (including the Chairman of the Board) by writing to them at the following address: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General Meeting</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Board’s policy regarding director attendance at the annual general meeting of stockholders is that directors are welcome, but not required, to attend, and that the Company will make all appropriate arrangements for directors who choose to attend. None of the directors attended the annual general meeting of stockholders in 2012, which was held in Curaçao as required by Curaçao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5% stockholder of the Company since the beginning of the previous fiscal year, and their immediate family members. The policy applies to any transaction in which:</w:t>
      </w:r>
    </w:p>
    <w:p>
      <w:pPr>
        <w:spacing w:after="0" w:line="26"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SEC Regulation S-K.</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2012, there were no related person transactions under the relevant standards.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Ethics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http://www.slb.com/about/guiding_principles.aspx.</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2. ADVISORY RESOLUTION TO APPROVE EXECUTIVE COMPENSATION</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asking stockholders to approve, on an advisory basis,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59"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motivate progress toward Company-wide financial and personal objectives while balancing rewards for short-term and long-term performance;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urge stockholders to read the “Compensation Discussion and Analysis” beginning on page 21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39 through 53,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3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accordance with Section 14A of the Exchange Act, and as a matter of good corporate governance, we are asking stockholders to approve the following advisory resolution at the 2013 annual general meeting of stockholders:</w:t>
      </w:r>
    </w:p>
    <w:p>
      <w:pPr>
        <w:spacing w:after="0" w:line="51" w:lineRule="exact"/>
        <w:rPr>
          <w:sz w:val="20"/>
          <w:szCs w:val="20"/>
          <w:color w:val="auto"/>
        </w:rPr>
      </w:pPr>
    </w:p>
    <w:p>
      <w:pPr>
        <w:ind w:left="460" w:right="40" w:firstLine="438"/>
        <w:spacing w:after="0" w:line="306" w:lineRule="auto"/>
        <w:rPr>
          <w:sz w:val="20"/>
          <w:szCs w:val="20"/>
          <w:color w:val="auto"/>
        </w:rPr>
      </w:pPr>
      <w:r>
        <w:rPr>
          <w:rFonts w:ascii="Arial" w:cs="Arial" w:eastAsia="Arial" w:hAnsi="Arial"/>
          <w:sz w:val="16"/>
          <w:szCs w:val="16"/>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2013 annual general meeting of stockholders.</w:t>
      </w:r>
    </w:p>
    <w:p>
      <w:pPr>
        <w:spacing w:after="0" w:line="2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adopted a policy providing for an annual “say-on-pay” advisory votes. Unless the Board of Directors modifies its policy on the frequency of holding “say-on-pay” advisory votes, the next “say-on-pay” advisory vote will occur in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A majority of the votes cast is required to approve this Item 2. </w:t>
      </w:r>
      <w:r>
        <w:rPr>
          <w:rFonts w:ascii="Arial" w:cs="Arial" w:eastAsia="Arial" w:hAnsi="Arial"/>
          <w:sz w:val="18"/>
          <w:szCs w:val="18"/>
          <w:i w:val="1"/>
          <w:iCs w:val="1"/>
          <w:color w:val="auto"/>
        </w:rPr>
        <w:t>Brokers do not have discretion to vote on this proposal without your instruction. If you do</w:t>
      </w:r>
      <w:r>
        <w:rPr>
          <w:rFonts w:ascii="Arial" w:cs="Arial" w:eastAsia="Arial" w:hAnsi="Arial"/>
          <w:sz w:val="18"/>
          <w:szCs w:val="18"/>
          <w:color w:val="auto"/>
        </w:rPr>
        <w:t xml:space="preserve"> </w:t>
      </w:r>
      <w:r>
        <w:rPr>
          <w:rFonts w:ascii="Arial" w:cs="Arial" w:eastAsia="Arial" w:hAnsi="Arial"/>
          <w:sz w:val="18"/>
          <w:szCs w:val="18"/>
          <w:i w:val="1"/>
          <w:iCs w:val="1"/>
          <w:color w:val="auto"/>
        </w:rPr>
        <w:t>not instruct your broker how to vote on this proposal, your broker will deliver a non-vote on this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Compensation Discussion and Analysis (“CD&amp;A”) describes Schlumberger’s compensation policies and practices as they relate to our executive officers identified in the Summary Compensation Table below (the “named executive officers” or the “NEOs”). The purpose of the CD&amp;A is to explain what the elements of compensation are; why our Compensation Committee selects these elements; and how the Compensation Committee determines the relative size of each element of compensation. Included in this CD&amp;A are decisions made in 2012 affecting 2012 base salaries and long-term equity incentives (“LTIs”), as well as annual cash incentive awards earned in 2012 but paid in February 2013.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Executive Summary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Overview</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Schlumberger delivered strong results in 2012, with all three of our Product Groups recording double-digit revenue growth amid an uncertain and challenging world macroeconomic environment. Highlights of our performance include:</w:t>
      </w:r>
    </w:p>
    <w:p>
      <w:pPr>
        <w:spacing w:after="0" w:line="51"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had record full-year revenue of $42.15 billion in 2012, an increase of 14% over full-year 2011;</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international revenue grew by $4 billion, or 16%;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North America revenue grew by 9% over 2011, a result of strong offshore activity in the Gulf of Mexico amid a challenging land market; and</w:t>
      </w:r>
    </w:p>
    <w:p>
      <w:pPr>
        <w:spacing w:after="0" w:line="113"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increased our annual dividend per share by 10% in 2012, from $1.00 per share to $1.10 per share, and returned approximately $2.4 billion to our stockholders in 2012 through dividends and stock repurchases.</w:t>
      </w:r>
    </w:p>
    <w:p>
      <w:pPr>
        <w:spacing w:after="0" w:line="51" w:lineRule="exact"/>
        <w:rPr>
          <w:sz w:val="20"/>
          <w:szCs w:val="20"/>
          <w:color w:val="auto"/>
        </w:rPr>
      </w:pPr>
    </w:p>
    <w:p>
      <w:pPr>
        <w:ind w:right="200" w:firstLine="456"/>
        <w:spacing w:after="0" w:line="357" w:lineRule="auto"/>
        <w:rPr>
          <w:sz w:val="20"/>
          <w:szCs w:val="20"/>
          <w:color w:val="auto"/>
        </w:rPr>
      </w:pPr>
      <w:r>
        <w:rPr>
          <w:rFonts w:ascii="Arial" w:cs="Arial" w:eastAsia="Arial" w:hAnsi="Arial"/>
          <w:sz w:val="15"/>
          <w:szCs w:val="15"/>
          <w:color w:val="auto"/>
        </w:rPr>
        <w:t>Schlumberger management also took several other key operational, strategic and economic measures in 2012 to continue to better position the Company for the long-term. Schlumberger’s executives achieved the following goals, among others, many of which were also aligned with their individual objectives:</w:t>
      </w:r>
    </w:p>
    <w:p>
      <w:pPr>
        <w:ind w:left="780" w:right="24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November 2012, Schlumberger entered into a key strategic agreement with Cameron International Corporation with respect to the formation of a joint venture to manufacture and develop products, systems and services for the subsea oil and gas market;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Schlumberger’s technology leadership by investing approximately $1.2 billion in research and engineering;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retaining valuable technical employees;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implement mechanisms necessary to keep costs in line with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Program Overview</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Schlumberger’s success in delivering strong stockholder returns is a result of attracting, developing and retaining the best talent globally. A competitive compensation package is critical to this objective and to this end, the Compensation Committee generally seeks to compensate our named executive officers between the 50th and 75th percentiles of the Company’s two executive compensation peer groups. This range is only a guide, and the Compensation Committee retains the flexibility to set elements of target compensation at higher percentiles for strong business performance, for retention, for key skills in critical demand, and for positions that are of high internal value. The Committee also may pay above the 75th percentile for performance that significantly exceeds the Company’s and an individual’s goals, or for purposes of retention, motivation or reward. Elements of our executives’ total direct compensation and actual payments may be below median as a result of our pay-for-performance philosophy, as discussed below with respect to the Company’s annual cash incentive.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executive compensation program is multi-faceted and is designed to achieve a number of goals, as detailed in this CD&amp;A. The following is a summary of some of our compensation practices and policies that demonstrate important aspects of Schlumberger’s culture and values.</w:t>
      </w:r>
    </w:p>
    <w:p>
      <w:pPr>
        <w:spacing w:after="0" w:line="4" w:lineRule="exact"/>
        <w:rPr>
          <w:sz w:val="20"/>
          <w:szCs w:val="20"/>
          <w:color w:val="auto"/>
        </w:rPr>
      </w:pPr>
    </w:p>
    <w:p>
      <w:pPr>
        <w:ind w:left="780" w:right="1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primary elements of our compensation program are base salary; annual cash incentive, which is based upon performance against pre-established financial and individual goals; and long-term equity incentives.</w:t>
      </w:r>
    </w:p>
    <w:p>
      <w:pPr>
        <w:spacing w:after="0" w:line="5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portion of executive pay is in the form of variable compensation that is at risk, in order to align executive compensation with the Company’s business strategy and create long-term stockholder value.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maintain no employment, severance or change-in-control agreements for our named executive officers.</w:t>
      </w:r>
    </w:p>
    <w:p>
      <w:pPr>
        <w:spacing w:after="0" w:line="90" w:lineRule="exact"/>
        <w:rPr>
          <w:rFonts w:ascii="Arial" w:cs="Arial" w:eastAsia="Arial" w:hAnsi="Arial"/>
          <w:sz w:val="18"/>
          <w:szCs w:val="18"/>
          <w:color w:val="auto"/>
        </w:rPr>
      </w:pPr>
    </w:p>
    <w:p>
      <w:pPr>
        <w:ind w:left="780" w:right="20" w:hanging="326"/>
        <w:spacing w:after="0" w:line="323" w:lineRule="auto"/>
        <w:tabs>
          <w:tab w:leader="none" w:pos="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executive stock ownership guidelines provide that our CEO must own shares of our common stock equal to at least 6 times his annual base salary; our executive vice presidents, including our CFO, must own at least 3 times their annual base salary; and all other executive officers (non-EVP) must own at least 2 times their annual base salary. In addition, our stock ownership guidelines require each executive to hold 50% of the net shares acquired upon the exercise of stock options until the executive satisfies his or her ownership requirement, and impose a five-year deadline on compliance.</w:t>
      </w:r>
    </w:p>
    <w:p>
      <w:pPr>
        <w:spacing w:after="0" w:line="16" w:lineRule="exact"/>
        <w:rPr>
          <w:rFonts w:ascii="Arial" w:cs="Arial" w:eastAsia="Arial" w:hAnsi="Arial"/>
          <w:sz w:val="15"/>
          <w:szCs w:val="15"/>
          <w:color w:val="auto"/>
        </w:rPr>
      </w:pPr>
    </w:p>
    <w:p>
      <w:pPr>
        <w:ind w:left="780" w:right="760" w:hanging="326"/>
        <w:spacing w:after="0" w:line="33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Executives are offered very limited perquisites and do not participate in any executive pension or insurance plans other than those providing supplemental benefits (available to all eligible employees) to cover income that exceeds regulatory limits.</w:t>
      </w:r>
    </w:p>
    <w:p>
      <w:pPr>
        <w:spacing w:after="0" w:line="4" w:lineRule="exact"/>
        <w:rPr>
          <w:rFonts w:ascii="Arial" w:cs="Arial" w:eastAsia="Arial" w:hAnsi="Arial"/>
          <w:sz w:val="16"/>
          <w:szCs w:val="16"/>
          <w:color w:val="auto"/>
        </w:rPr>
      </w:pPr>
    </w:p>
    <w:p>
      <w:pPr>
        <w:ind w:left="780" w:right="3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 compensation recovery, or “clawback,” policy that allows our Board to recoup performance-based cash awards in the event of specified restatements of financial results.</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including trading in options, puts, calls, or other derivative instruments related to our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Commencing in 2013, we will be granting performance stock units to certain of our executive officers, including our named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Decisions for 2012</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main elements and goals of Schlumberger’s executive compensation program did not change from fiscal year 2011. The Compensation Committee continued to focus on achieving the right mix and level of compensation to retain and motivate our top executives through a year that was marked by uncertain business conditions.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actions taken by the Compensation Committee in 2012:</w:t>
      </w:r>
    </w:p>
    <w:p>
      <w:pPr>
        <w:spacing w:after="0" w:line="90" w:lineRule="exact"/>
        <w:rPr>
          <w:sz w:val="20"/>
          <w:szCs w:val="20"/>
          <w:color w:val="auto"/>
        </w:rPr>
      </w:pPr>
    </w:p>
    <w:p>
      <w:pPr>
        <w:ind w:left="780" w:right="1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January 2012, the Compensation Committee, following a compensation review, determined not to increase the base salary of any named executive officer.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Payout of the financial incentive in February 2013 for performance in 2012 was 85% of target, well below the maximum 300% potential payout.</w:t>
      </w:r>
    </w:p>
    <w:p>
      <w:pPr>
        <w:spacing w:after="0" w:line="113"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Compensation Committee approved grants of stock options to the NEOs in January 2012 generally at levels between the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 of the Company’s two peer groups.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keeping with the Company’s pay-for-performance culture, Schlumberger’s long-standing compensation philosophy is to pay senior executives and professional-level employees for performance that is evaluated against personal and Company financial goals that are established at the beginning of the calendar year and reviewed at the end of the year against actual performance. Schlumberger’s compensation program is driven by the need 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recruit, develop, motivate and retain top talent both in the short-term and long-term by establishing compensation at levels that are competitive and to promote the Company’s values of people, technology and profitability. Promotion from within the Company is a key principle at Schlumberger, and all executive officers, including the named executive officers, have reached their current positions through career development with the Company. Schlumberger sees diversity of its work force as both a very important part of its cultural philosophy and a business imperative, as it enables the Company to serve clients anywhere in the world. Schlumberger believes its use of a consistent approach to compensation at all levels is a strong factor in achieving a diverse workforce comprising top global talent. While the amount of compensation may be different, the components of a professional-level employee’s compensation package are the same and are applied using broadly the same methodology. Exceptions to this principle are generally due to local (i.e., country-specific) requirements.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Schlumberger’s compensation program is designed so that the higher an executive’s position in the Company, the larger the proportion of compensation that is contingent on positive stock price performance, the Company’s financial performance and/or individual performance, described as “at-risk” compensation. The Company believes that having a significant portion of executive compensation at-risk more closely aligns the interests of its executives with the long-term interests of Schlumberger and its stockholders. Accordingly, our named executive officers receive a greater percentage of their compensation through at-risk pay tied to Company performance than our other executives.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Schlumberger’s executive compensation program consists of three primary elements, comprising the executives’ total direct compensation:</w:t>
      </w:r>
    </w:p>
    <w:p>
      <w:pPr>
        <w:spacing w:after="0" w:line="113"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cash incentives based upon Company and individual performance;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These elements allow the Company to remain competitive and retain and motivate top executive talent with current and potential future financial rewards. At the same time, this relatively simple compensation program is applied and communicated consistently to our exempt employees of more than 140 nationalities working in approximately 80 countries globally.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Framework for Setting Executive Compensation in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Goals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90" w:lineRule="exact"/>
        <w:rPr>
          <w:sz w:val="20"/>
          <w:szCs w:val="20"/>
          <w:color w:val="auto"/>
        </w:rPr>
      </w:pPr>
    </w:p>
    <w:p>
      <w:pPr>
        <w:ind w:left="780" w:right="3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cash incentive awards should reflect progress toward Company-wide financial and personal objectives;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 option awards should encourage the creation of long-term stockholder value; and</w:t>
      </w:r>
    </w:p>
    <w:p>
      <w:pPr>
        <w:spacing w:after="0" w:line="9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policies should encourage executives to hold stock through stock option awards and stock ownership guidelines that align their interests with those of our other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Executive Compensation</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Compensation Committee of Schlumberger’s Board of Directors reviews and recommends executive officer compensation. The specific duties and responsibilities of the Compensation Committee are described in the section of this proxy statement entitled “Corporate Governance—Board Committees— Compensation Committee”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71" w:lineRule="exact"/>
        <w:rPr>
          <w:sz w:val="20"/>
          <w:szCs w:val="20"/>
          <w:color w:val="auto"/>
        </w:rPr>
      </w:pPr>
    </w:p>
    <w:p>
      <w:pPr>
        <w:jc w:val="both"/>
        <w:ind w:right="640" w:firstLine="456"/>
        <w:spacing w:after="0" w:line="370" w:lineRule="auto"/>
        <w:rPr>
          <w:sz w:val="20"/>
          <w:szCs w:val="20"/>
          <w:color w:val="auto"/>
        </w:rPr>
      </w:pPr>
      <w:r>
        <w:rPr>
          <w:rFonts w:ascii="Arial" w:cs="Arial" w:eastAsia="Arial" w:hAnsi="Arial"/>
          <w:sz w:val="15"/>
          <w:szCs w:val="15"/>
          <w:color w:val="auto"/>
        </w:rPr>
        <w:t>The Compensation Committee has engaged the independent executive compensation consulting firm of Pay Governance with respect to executive compensation matters. For more information on this engagement, see “Corporate Governance—Board Committees—Compensation Committee”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Relative Size of Direct Compensation Elements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reviews the elements of direct compensation for the NEOs throughout the year, to evaluate whether each element of direct compensation remains at levels that are competitive with companies in Schlumberger’s two peer groups described below. The Compensation Committee relies on its own judgment in making these compensation decisions after its review of external market practices of companies comprising the two peer groups, including the size and mix of direct compensation for executives in those companies. The Committee seeks to achieve an appropriate balance between annual cash rewards that encourage achievement of annual financial and non-financial objectives, and long-term equity incentive awards that encourage positive long-term stock price performance, with a greater emphasis on long-term equity incentives for more senior executives. However, the Compensation Committee does not aim to achieve a specific target of cash versus equity-based compensation.</w:t>
      </w:r>
    </w:p>
    <w:p>
      <w:pPr>
        <w:spacing w:after="0" w:line="3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While the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59"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and complexity of the executive’s scope of responsibilities;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growth potential and position in reporting structure;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retention needs;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pay equity.</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charts below show the average percentage of 2012 base salary, target cash incentive and 2012 LTI compensation established by the Compensation Committee in January 2012 for the NEOs, in comparison to the two external peer groups, based on findings from Pay Governance, and demonstrate that Schlumberger’s pay mix is close to that of both peer groups. This data is based on target opportunity levels and will differ from the total compensation figures shown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45085</wp:posOffset>
            </wp:positionV>
            <wp:extent cx="5068570" cy="995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857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Committee may at its discretion modify the mix of base pay, annual cash incentive and LTIs, or otherwise adjust an NEO’s total compensation to best fit his or her specific circumstances. For example, the Committee may award more cash and not award a stock option grant to an executive officer who is approaching retirement. This provides more flexibility to the Committee to compensate executive officers appropriately as they near retirement, when they may only be able to partially fulfill the five-year vesting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required for stock options.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and the other factors described immediately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 Relative to Oil Industry Peer Group</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part of the Compensation Committee’s review of our executive compensation program, the Committee directed Pay Governance to prepare a comparative pay-for-performance assessment in July 2012 against companies in the oil industry peer group, on a year-over-year (2011) basis. The assessment compared the actual annual cash incentive paid for 2011 to named executive officers of these companies as a percentage of their target annual cash incentive, against the actual annual cash incentive paid for Schlumberger’s NEOs, as a percentage of their target. These results were then compared with net income growth, revenue growth, diluted earnings per share (EPS) growth and total shareholder return (TSR), for Schlumberger and such other companies, over full-year 2011. In its analysis, the Compensation Committee reviewed the 2011 actual cash incentive of Schlumberger’s CEO against other CEOs in the oil industry peer group. It then separately reviewed Schlumberger’s other executive officers against other executive officers in the oil industry peer group.</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Pay Governance’s analysis demonstrated that Schlumberger’s 2011 EPS growth and TSR both were at approximately the 25</w:t>
      </w:r>
      <w:r>
        <w:rPr>
          <w:rFonts w:ascii="Arial" w:cs="Arial" w:eastAsia="Arial" w:hAnsi="Arial"/>
          <w:sz w:val="10"/>
          <w:szCs w:val="10"/>
          <w:color w:val="auto"/>
        </w:rPr>
        <w:t>th</w:t>
      </w:r>
      <w:r>
        <w:rPr>
          <w:rFonts w:ascii="Arial" w:cs="Arial" w:eastAsia="Arial" w:hAnsi="Arial"/>
          <w:sz w:val="16"/>
          <w:szCs w:val="16"/>
          <w:color w:val="auto"/>
        </w:rPr>
        <w:t xml:space="preserve"> percentile of the oil industry peer group and that its net income growth was slightly above the 40</w:t>
      </w:r>
      <w:r>
        <w:rPr>
          <w:rFonts w:ascii="Arial" w:cs="Arial" w:eastAsia="Arial" w:hAnsi="Arial"/>
          <w:sz w:val="10"/>
          <w:szCs w:val="10"/>
          <w:color w:val="auto"/>
        </w:rPr>
        <w:t>th</w:t>
      </w:r>
      <w:r>
        <w:rPr>
          <w:rFonts w:ascii="Arial" w:cs="Arial" w:eastAsia="Arial" w:hAnsi="Arial"/>
          <w:sz w:val="16"/>
          <w:szCs w:val="16"/>
          <w:color w:val="auto"/>
        </w:rPr>
        <w:t xml:space="preserve"> percentile. Revenue growth year-over-year was at the 97</w:t>
      </w:r>
      <w:r>
        <w:rPr>
          <w:rFonts w:ascii="Arial" w:cs="Arial" w:eastAsia="Arial" w:hAnsi="Arial"/>
          <w:sz w:val="10"/>
          <w:szCs w:val="10"/>
          <w:color w:val="auto"/>
        </w:rPr>
        <w:t>th</w:t>
      </w:r>
      <w:r>
        <w:rPr>
          <w:rFonts w:ascii="Arial" w:cs="Arial" w:eastAsia="Arial" w:hAnsi="Arial"/>
          <w:sz w:val="16"/>
          <w:szCs w:val="16"/>
          <w:color w:val="auto"/>
        </w:rPr>
        <w:t xml:space="preserve"> percentile of the oil industry peer group, largely due to acquisitions by the Company in 2010. The analysis also demonstrated that the actual cash incentive paid to our CEO for 2011 performance was at the 19</w:t>
      </w:r>
      <w:r>
        <w:rPr>
          <w:rFonts w:ascii="Arial" w:cs="Arial" w:eastAsia="Arial" w:hAnsi="Arial"/>
          <w:sz w:val="10"/>
          <w:szCs w:val="10"/>
          <w:color w:val="auto"/>
        </w:rPr>
        <w:t>th</w:t>
      </w:r>
      <w:r>
        <w:rPr>
          <w:rFonts w:ascii="Arial" w:cs="Arial" w:eastAsia="Arial" w:hAnsi="Arial"/>
          <w:sz w:val="16"/>
          <w:szCs w:val="16"/>
          <w:color w:val="auto"/>
        </w:rPr>
        <w:t xml:space="preserve"> percentile of the oil industry peer group. The payout represented 109% of our CEO’s target cash bonus opportunity, which was at the 28</w:t>
      </w:r>
      <w:r>
        <w:rPr>
          <w:rFonts w:ascii="Arial" w:cs="Arial" w:eastAsia="Arial" w:hAnsi="Arial"/>
          <w:sz w:val="10"/>
          <w:szCs w:val="10"/>
          <w:color w:val="auto"/>
        </w:rPr>
        <w:t>th</w:t>
      </w:r>
      <w:r>
        <w:rPr>
          <w:rFonts w:ascii="Arial" w:cs="Arial" w:eastAsia="Arial" w:hAnsi="Arial"/>
          <w:sz w:val="16"/>
          <w:szCs w:val="16"/>
          <w:color w:val="auto"/>
        </w:rPr>
        <w:t xml:space="preserve"> percentile of the oil industry peer group. The actual cash incentive paid to our other NEOs for 2011 performance was slightly above the median of the oil industry peer group. However, these payouts, which were between 104% and 111% of our other NEOs’ target cash bonus opportunities, were generally in the lower one-third of the oil industry peer group. The average cash incentive payout for all NEOs as a group (including the CEO) was at the 28</w:t>
      </w:r>
      <w:r>
        <w:rPr>
          <w:rFonts w:ascii="Arial" w:cs="Arial" w:eastAsia="Arial" w:hAnsi="Arial"/>
          <w:sz w:val="10"/>
          <w:szCs w:val="10"/>
          <w:color w:val="auto"/>
        </w:rPr>
        <w:t>th</w:t>
      </w:r>
      <w:r>
        <w:rPr>
          <w:rFonts w:ascii="Arial" w:cs="Arial" w:eastAsia="Arial" w:hAnsi="Arial"/>
          <w:sz w:val="16"/>
          <w:szCs w:val="16"/>
          <w:color w:val="auto"/>
        </w:rPr>
        <w:t xml:space="preserve"> percentile of the oil industry peer group, which was very closely aligned with Schlumberger’s one-year TSR and EPS growth, being at approximately the 25</w:t>
      </w:r>
      <w:r>
        <w:rPr>
          <w:rFonts w:ascii="Arial" w:cs="Arial" w:eastAsia="Arial" w:hAnsi="Arial"/>
          <w:sz w:val="10"/>
          <w:szCs w:val="10"/>
          <w:color w:val="auto"/>
        </w:rPr>
        <w:t>th</w:t>
      </w:r>
      <w:r>
        <w:rPr>
          <w:rFonts w:ascii="Arial" w:cs="Arial" w:eastAsia="Arial" w:hAnsi="Arial"/>
          <w:sz w:val="16"/>
          <w:szCs w:val="16"/>
          <w:color w:val="auto"/>
        </w:rPr>
        <w:t xml:space="preserve"> percentile. Over three years (annualized), Schlumberger’s relative performance was also generally consistent with its one-year results for net income and revenue growth, while relative EPS improved from the bottom quartile of the oil industry peer group during the one-year period to the third quartile of the oil industry peer group over the three-year (annualized) period, and TSR was dramatically higher over the three-year (annualized) period (75</w:t>
      </w:r>
      <w:r>
        <w:rPr>
          <w:rFonts w:ascii="Arial" w:cs="Arial" w:eastAsia="Arial" w:hAnsi="Arial"/>
          <w:sz w:val="10"/>
          <w:szCs w:val="10"/>
          <w:color w:val="auto"/>
        </w:rPr>
        <w:t>th</w:t>
      </w:r>
      <w:r>
        <w:rPr>
          <w:rFonts w:ascii="Arial" w:cs="Arial" w:eastAsia="Arial" w:hAnsi="Arial"/>
          <w:sz w:val="16"/>
          <w:szCs w:val="16"/>
          <w:color w:val="auto"/>
        </w:rPr>
        <w:t xml:space="preserve"> percentile of the oil industry peer group) than over the one-year period (25</w:t>
      </w:r>
      <w:r>
        <w:rPr>
          <w:rFonts w:ascii="Arial" w:cs="Arial" w:eastAsia="Arial" w:hAnsi="Arial"/>
          <w:sz w:val="10"/>
          <w:szCs w:val="10"/>
          <w:color w:val="auto"/>
        </w:rPr>
        <w:t>th</w:t>
      </w:r>
      <w:r>
        <w:rPr>
          <w:rFonts w:ascii="Arial" w:cs="Arial" w:eastAsia="Arial" w:hAnsi="Arial"/>
          <w:sz w:val="16"/>
          <w:szCs w:val="16"/>
          <w:color w:val="auto"/>
        </w:rPr>
        <w:t xml:space="preserve"> percentile of the oil industry peer group). Based on all of the foregoing, the Compensation Committee concluded that Schlumberger’s cash incentive compensation practices were appropriately aligned with the Company’s performance, including its relative EPS growth and TSR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Mix and Internal Pay Equity Review</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January 2012, the Compensation Committee carried out an analysis of pay mix and internal pay equity. In carrying out its analysis, the Committee considered the relative size of direct compensation elements of companies in Schlumberger’s two peer groups, as well as internal factors. Regarding pay mix, the Committee reviewed the elements of compensation for the Company’s executive officers, including the NEOs, in relation to each other and in comparison with the average pay mix of the Company’s executive officers. Based on its review, the Committee concluded that the mix of base salary, incentive cash bonus and LTI was appropriate for each of Schlumberger’s executive officers, including the NEOs.</w:t>
      </w:r>
    </w:p>
    <w:p>
      <w:pPr>
        <w:spacing w:after="0" w:line="3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Committee also reviewed internal pay equity in October 2012. The Committee reviewed the CEO position in relation to the other executive officer positions, and the executive officer positions both in relation to one another and in comparison with the average of the other executive officer positions. The Committee noted that the ratio of total direct compensation between the CEO and the second-highest paid executive officer (Mr. Ayat) was similar to the year prior to the CEO transition. The Committee also noted that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levels of total direct compensation for the second- to the fifth-highest paid officers were very closely clustered together. As a result of the foregoing, the Committee concluded that internal pay equity was appropriate.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Companies and Benchmarking</w:t>
      </w:r>
    </w:p>
    <w:p>
      <w:pPr>
        <w:spacing w:after="0" w:line="171"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Compensation Committee refers to formal executive compensation surveys prepared by Pay Governance when it reviews and determines executive compensation. To prepare for its executive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surveys indicate the compensation levels and practices of our two groups of peer companies:</w:t>
      </w:r>
    </w:p>
    <w:p>
      <w:pPr>
        <w:spacing w:after="0" w:line="90"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oil industry peer group, which includes companies in the oil services, exploration and production, refining and pipeline industries,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general industry peer group, which includes large companies with significant international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selection criteria for companies comprising the two peer groups include:</w:t>
      </w:r>
    </w:p>
    <w:p>
      <w:pPr>
        <w:spacing w:after="0" w:line="90"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and market capitalization;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companies viewed as leaders in their industry.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Committee, with the assistance of Pay Governance, twice annually reviews specific criteria and recommendations regarding companies to add to or remove from the two comparator groups. The Compensation Committee modifies the peer group criteria as appropriate while seeking to ensure a satisfactory degree of stability, to provide a consistent basis for comparison. Challenges facing the Company in determining the companies appropriate for inclusion in each peer group included the Company’s acquisitions in 2010 of Smith International, Inc. and Geoservices and its significant growth over that period; the Company’s relatively high market capitalization and revenue (rendering it difficult to position the Company in the median of each peer group with respect to both attributes); and the difficulties of obtaining sufficient compensation data for all benchmarked positions.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Industry Peer Group</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oil industry peer group comprises companies in the oilfield services, exploration and production, refining and pipeline industries. Because of Schlumberger’s international operations, the Compensation Committee approved the inclusion of non-U.S. energy and energy-related companies that also met the criteria set forth above.</w:t>
      </w:r>
    </w:p>
    <w:p>
      <w:pPr>
        <w:spacing w:after="0" w:line="5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Compensation Committee included oil exploration and production (“E&amp;P”) companies in this peer group after consideration of a number of factors. First, because Schlumberger is significantly larger than all of its direct competitors in the oilfield services industry in terms of revenue and market capitalization, the Compensation Committee believed that the addition of E&amp;P companies provides a more appropriate and complete comparator group. In addition, the Committee believed that the inclusion of E&amp;P companies was appropriate because market consolidation had reduced the number of direct competitors in the oilfield services industry, increasing the prominence of E&amp;P companies as competitors for talent.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2011, the Compensation Committee approved the following changes in the oil industry peer group, effective for 2012 compensation decisions:</w:t>
      </w:r>
    </w:p>
    <w:p>
      <w:pPr>
        <w:spacing w:after="0" w:line="113" w:lineRule="exact"/>
        <w:rPr>
          <w:sz w:val="20"/>
          <w:szCs w:val="20"/>
          <w:color w:val="auto"/>
        </w:rPr>
      </w:pPr>
    </w:p>
    <w:p>
      <w:pPr>
        <w:ind w:left="780" w:right="42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Recognizing that Schlumberger was in the 62</w:t>
      </w:r>
      <w:r>
        <w:rPr>
          <w:rFonts w:ascii="Arial" w:cs="Arial" w:eastAsia="Arial" w:hAnsi="Arial"/>
          <w:sz w:val="11"/>
          <w:szCs w:val="11"/>
          <w:color w:val="auto"/>
        </w:rPr>
        <w:t>nd</w:t>
      </w:r>
      <w:r>
        <w:rPr>
          <w:rFonts w:ascii="Arial" w:cs="Arial" w:eastAsia="Arial" w:hAnsi="Arial"/>
          <w:sz w:val="18"/>
          <w:szCs w:val="18"/>
          <w:color w:val="auto"/>
        </w:rPr>
        <w:t xml:space="preserve"> percentile in terms of revenue and in the 79</w:t>
      </w:r>
      <w:r>
        <w:rPr>
          <w:rFonts w:ascii="Arial" w:cs="Arial" w:eastAsia="Arial" w:hAnsi="Arial"/>
          <w:sz w:val="11"/>
          <w:szCs w:val="11"/>
          <w:color w:val="auto"/>
        </w:rPr>
        <w:t>th</w:t>
      </w:r>
      <w:r>
        <w:rPr>
          <w:rFonts w:ascii="Arial" w:cs="Arial" w:eastAsia="Arial" w:hAnsi="Arial"/>
          <w:sz w:val="18"/>
          <w:szCs w:val="18"/>
          <w:color w:val="auto"/>
        </w:rPr>
        <w:t xml:space="preserve"> percentile in terms of market capitalization, the Compensation Committee attempted to position Schlumberger closer to the median in the oil industry peer group in terms of revenue and market capitalization. To that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20"/>
        <w:spacing w:after="0" w:line="332" w:lineRule="auto"/>
        <w:rPr>
          <w:sz w:val="20"/>
          <w:szCs w:val="20"/>
          <w:color w:val="auto"/>
        </w:rPr>
      </w:pPr>
      <w:r>
        <w:rPr>
          <w:rFonts w:ascii="Arial" w:cs="Arial" w:eastAsia="Arial" w:hAnsi="Arial"/>
          <w:sz w:val="16"/>
          <w:szCs w:val="16"/>
          <w:color w:val="auto"/>
        </w:rPr>
        <w:t>end, the Compensation Committee approved the elimination from the oil industry peer group of several smaller companies and companies whose primary or singular focus is contract drilling (Canadian Natural Resources, Nabors Industries, Noble and Parker Drilling).</w:t>
      </w:r>
    </w:p>
    <w:p>
      <w:pPr>
        <w:spacing w:after="0" w:line="4" w:lineRule="exact"/>
        <w:rPr>
          <w:sz w:val="20"/>
          <w:szCs w:val="20"/>
          <w:color w:val="auto"/>
        </w:rPr>
      </w:pPr>
    </w:p>
    <w:p>
      <w:pPr>
        <w:jc w:val="both"/>
        <w:ind w:left="780" w:right="200" w:hanging="326"/>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August 2010, we acquired Smith and in April 2010 Baker Hughes Incorporated acquired BJ Services Company. Both Smith and BJ Services were part of our oil industry peer group and were removed as a result of the acquisitions. In balancing the attributes sought for the oil industry peer group, the Compensation Committee added National Oilwell Varco.</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a result of the foregoing:</w:t>
      </w:r>
    </w:p>
    <w:p>
      <w:pPr>
        <w:spacing w:after="0" w:line="90" w:lineRule="exact"/>
        <w:rPr>
          <w:rFonts w:ascii="Arial" w:cs="Arial" w:eastAsia="Arial" w:hAnsi="Arial"/>
          <w:sz w:val="18"/>
          <w:szCs w:val="18"/>
          <w:color w:val="auto"/>
        </w:rPr>
      </w:pPr>
    </w:p>
    <w:p>
      <w:pPr>
        <w:ind w:left="1480" w:right="82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Schlumberger was closer to the median—in the 53</w:t>
      </w:r>
      <w:r>
        <w:rPr>
          <w:rFonts w:ascii="Arial" w:cs="Arial" w:eastAsia="Arial" w:hAnsi="Arial"/>
          <w:sz w:val="11"/>
          <w:szCs w:val="11"/>
          <w:color w:val="auto"/>
        </w:rPr>
        <w:t>rd</w:t>
      </w:r>
      <w:r>
        <w:rPr>
          <w:rFonts w:ascii="Arial" w:cs="Arial" w:eastAsia="Arial" w:hAnsi="Arial"/>
          <w:sz w:val="18"/>
          <w:szCs w:val="18"/>
          <w:color w:val="auto"/>
        </w:rPr>
        <w:t xml:space="preserve"> percentile—in terms of revenue, and in the 74th percentile in terms of market capitalization,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number of companies in the oil industry peer group decreased from 27 to 23.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companies comprised the oil industry peer group for 2012 compensation decisions: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 Industry Peer Group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Oil services, E&amp;P, refining and pipeline companies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tcPr>
          <w:p>
            <w:pPr>
              <w:ind w:left="80"/>
              <w:spacing w:after="0"/>
              <w:rPr>
                <w:sz w:val="20"/>
                <w:szCs w:val="20"/>
                <w:color w:val="auto"/>
              </w:rPr>
            </w:pPr>
            <w:r>
              <w:rPr>
                <w:rFonts w:ascii="Arial" w:cs="Arial" w:eastAsia="Arial" w:hAnsi="Arial"/>
                <w:sz w:val="18"/>
                <w:szCs w:val="18"/>
                <w:color w:val="auto"/>
              </w:rPr>
              <w:t>Anadarko Petroleum</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Baker Hughes</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1760" w:type="dxa"/>
            <w:vAlign w:val="bottom"/>
          </w:tcPr>
          <w:p>
            <w:pPr>
              <w:ind w:left="80"/>
              <w:spacing w:after="0"/>
              <w:rPr>
                <w:sz w:val="20"/>
                <w:szCs w:val="20"/>
                <w:color w:val="auto"/>
              </w:rPr>
            </w:pPr>
            <w:r>
              <w:rPr>
                <w:rFonts w:ascii="Arial" w:cs="Arial" w:eastAsia="Arial" w:hAnsi="Arial"/>
                <w:sz w:val="18"/>
                <w:szCs w:val="18"/>
                <w:color w:val="auto"/>
              </w:rPr>
              <w:t>BG Group</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BHP Billiton</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920" w:type="dxa"/>
            <w:vAlign w:val="bottom"/>
          </w:tcPr>
          <w:p>
            <w:pPr>
              <w:ind w:left="100"/>
              <w:spacing w:after="0"/>
              <w:rPr>
                <w:sz w:val="20"/>
                <w:szCs w:val="20"/>
                <w:color w:val="auto"/>
              </w:rPr>
            </w:pPr>
            <w:r>
              <w:rPr>
                <w:rFonts w:ascii="Arial" w:cs="Arial" w:eastAsia="Arial" w:hAnsi="Arial"/>
                <w:sz w:val="18"/>
                <w:szCs w:val="18"/>
                <w:color w:val="auto"/>
              </w:rPr>
              <w:t>BP plc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tcPr>
          <w:p>
            <w:pPr>
              <w:ind w:left="100"/>
              <w:spacing w:after="0"/>
              <w:rPr>
                <w:sz w:val="20"/>
                <w:szCs w:val="20"/>
                <w:color w:val="auto"/>
              </w:rPr>
            </w:pPr>
            <w:r>
              <w:rPr>
                <w:rFonts w:ascii="Arial" w:cs="Arial" w:eastAsia="Arial" w:hAnsi="Arial"/>
                <w:sz w:val="18"/>
                <w:szCs w:val="18"/>
                <w:color w:val="auto"/>
              </w:rPr>
              <w:t>Cameron International</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Chevron</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1760" w:type="dxa"/>
            <w:vAlign w:val="bottom"/>
          </w:tcPr>
          <w:p>
            <w:pPr>
              <w:ind w:left="80"/>
              <w:spacing w:after="0"/>
              <w:rPr>
                <w:sz w:val="20"/>
                <w:szCs w:val="20"/>
                <w:color w:val="auto"/>
              </w:rPr>
            </w:pPr>
            <w:r>
              <w:rPr>
                <w:rFonts w:ascii="Arial" w:cs="Arial" w:eastAsia="Arial" w:hAnsi="Arial"/>
                <w:sz w:val="18"/>
                <w:szCs w:val="18"/>
                <w:color w:val="auto"/>
              </w:rPr>
              <w:t>CITGO</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ConocoPhillips</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920" w:type="dxa"/>
            <w:vAlign w:val="bottom"/>
          </w:tcPr>
          <w:p>
            <w:pPr>
              <w:ind w:left="100"/>
              <w:spacing w:after="0"/>
              <w:rPr>
                <w:sz w:val="20"/>
                <w:szCs w:val="20"/>
                <w:color w:val="auto"/>
              </w:rPr>
            </w:pPr>
            <w:r>
              <w:rPr>
                <w:rFonts w:ascii="Arial" w:cs="Arial" w:eastAsia="Arial" w:hAnsi="Arial"/>
                <w:sz w:val="18"/>
                <w:szCs w:val="18"/>
                <w:color w:val="auto"/>
              </w:rPr>
              <w:t>Eni SpA</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tcPr>
          <w:p>
            <w:pPr>
              <w:ind w:left="100"/>
              <w:spacing w:after="0"/>
              <w:rPr>
                <w:sz w:val="20"/>
                <w:szCs w:val="20"/>
                <w:color w:val="auto"/>
              </w:rPr>
            </w:pPr>
            <w:r>
              <w:rPr>
                <w:rFonts w:ascii="Arial" w:cs="Arial" w:eastAsia="Arial" w:hAnsi="Arial"/>
                <w:sz w:val="18"/>
                <w:szCs w:val="18"/>
                <w:color w:val="auto"/>
              </w:rPr>
              <w:t>Exxon Mobil</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Halliburton</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1760" w:type="dxa"/>
            <w:vAlign w:val="bottom"/>
          </w:tcPr>
          <w:p>
            <w:pPr>
              <w:ind w:left="80"/>
              <w:spacing w:after="0"/>
              <w:rPr>
                <w:sz w:val="20"/>
                <w:szCs w:val="20"/>
                <w:color w:val="auto"/>
              </w:rPr>
            </w:pPr>
            <w:r>
              <w:rPr>
                <w:rFonts w:ascii="Arial" w:cs="Arial" w:eastAsia="Arial" w:hAnsi="Arial"/>
                <w:sz w:val="18"/>
                <w:szCs w:val="18"/>
                <w:color w:val="auto"/>
              </w:rPr>
              <w:t>Hess</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Marathon Oil</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920" w:type="dxa"/>
            <w:vAlign w:val="bottom"/>
          </w:tcPr>
          <w:p>
            <w:pPr>
              <w:ind w:left="100"/>
              <w:spacing w:after="0"/>
              <w:rPr>
                <w:sz w:val="20"/>
                <w:szCs w:val="20"/>
                <w:color w:val="auto"/>
              </w:rPr>
            </w:pPr>
            <w:r>
              <w:rPr>
                <w:rFonts w:ascii="Arial" w:cs="Arial" w:eastAsia="Arial" w:hAnsi="Arial"/>
                <w:sz w:val="18"/>
                <w:szCs w:val="18"/>
                <w:color w:val="auto"/>
                <w:w w:val="91"/>
              </w:rPr>
              <w:t>Murphy Oil</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tcPr>
          <w:p>
            <w:pPr>
              <w:ind w:left="100"/>
              <w:spacing w:after="0"/>
              <w:rPr>
                <w:sz w:val="20"/>
                <w:szCs w:val="20"/>
                <w:color w:val="auto"/>
              </w:rPr>
            </w:pPr>
            <w:r>
              <w:rPr>
                <w:rFonts w:ascii="Arial" w:cs="Arial" w:eastAsia="Arial" w:hAnsi="Arial"/>
                <w:sz w:val="18"/>
                <w:szCs w:val="18"/>
                <w:color w:val="auto"/>
              </w:rPr>
              <w:t>National Oilwell Varco</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Occidental Petroleum</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1760" w:type="dxa"/>
            <w:vAlign w:val="bottom"/>
          </w:tcPr>
          <w:p>
            <w:pPr>
              <w:ind w:left="80"/>
              <w:spacing w:after="0"/>
              <w:rPr>
                <w:sz w:val="20"/>
                <w:szCs w:val="20"/>
                <w:color w:val="auto"/>
              </w:rPr>
            </w:pPr>
            <w:r>
              <w:rPr>
                <w:rFonts w:ascii="Arial" w:cs="Arial" w:eastAsia="Arial" w:hAnsi="Arial"/>
                <w:sz w:val="18"/>
                <w:szCs w:val="18"/>
                <w:color w:val="auto"/>
              </w:rPr>
              <w:t>Royal Dutch Shell</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Sunoco</w:t>
            </w:r>
          </w:p>
        </w:tc>
        <w:tc>
          <w:tcPr>
            <w:tcW w:w="620" w:type="dxa"/>
            <w:vAlign w:val="bottom"/>
          </w:tcPr>
          <w:p>
            <w:pPr>
              <w:ind w:left="480"/>
              <w:spacing w:after="0"/>
              <w:rPr>
                <w:sz w:val="20"/>
                <w:szCs w:val="20"/>
                <w:color w:val="auto"/>
              </w:rPr>
            </w:pPr>
            <w:r>
              <w:rPr>
                <w:rFonts w:ascii="Arial" w:cs="Arial" w:eastAsia="Arial" w:hAnsi="Arial"/>
                <w:sz w:val="18"/>
                <w:szCs w:val="18"/>
                <w:color w:val="auto"/>
              </w:rPr>
              <w:t>•</w:t>
            </w:r>
          </w:p>
        </w:tc>
        <w:tc>
          <w:tcPr>
            <w:tcW w:w="920" w:type="dxa"/>
            <w:vAlign w:val="bottom"/>
          </w:tcPr>
          <w:p>
            <w:pPr>
              <w:ind w:left="100"/>
              <w:spacing w:after="0"/>
              <w:rPr>
                <w:sz w:val="20"/>
                <w:szCs w:val="20"/>
                <w:color w:val="auto"/>
              </w:rPr>
            </w:pPr>
            <w:r>
              <w:rPr>
                <w:rFonts w:ascii="Arial" w:cs="Arial" w:eastAsia="Arial" w:hAnsi="Arial"/>
                <w:sz w:val="18"/>
                <w:szCs w:val="18"/>
                <w:color w:val="auto"/>
              </w:rPr>
              <w:t>TOTAL</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tcPr>
          <w:p>
            <w:pPr>
              <w:ind w:left="100"/>
              <w:spacing w:after="0"/>
              <w:rPr>
                <w:sz w:val="20"/>
                <w:szCs w:val="20"/>
                <w:color w:val="auto"/>
              </w:rPr>
            </w:pPr>
            <w:r>
              <w:rPr>
                <w:rFonts w:ascii="Arial" w:cs="Arial" w:eastAsia="Arial" w:hAnsi="Arial"/>
                <w:sz w:val="18"/>
                <w:szCs w:val="18"/>
                <w:color w:val="auto"/>
              </w:rPr>
              <w:t>Transocean</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Valero</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1760" w:type="dxa"/>
            <w:vAlign w:val="bottom"/>
          </w:tcPr>
          <w:p>
            <w:pPr>
              <w:ind w:left="80"/>
              <w:spacing w:after="0"/>
              <w:rPr>
                <w:sz w:val="20"/>
                <w:szCs w:val="20"/>
                <w:color w:val="auto"/>
              </w:rPr>
            </w:pPr>
            <w:r>
              <w:rPr>
                <w:rFonts w:ascii="Arial" w:cs="Arial" w:eastAsia="Arial" w:hAnsi="Arial"/>
                <w:sz w:val="18"/>
                <w:szCs w:val="18"/>
                <w:color w:val="auto"/>
              </w:rPr>
              <w:t>Weatherford</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Industry Peer Group</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 excludes companies that do not have a significant international scope, as well as those in industries that are least comparable to Schlumberger’s industry, such as the retail industry. Like the first comparator group, this second group also includes non-US companies. The Compensation Committee also considers data from the second peer group as it deems necessary or advisable to the extent that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2011, the Compensation Committee approved the following changes in the general industry peer group, effective for 2012 compensation decisions:</w:t>
      </w:r>
    </w:p>
    <w:p>
      <w:pPr>
        <w:spacing w:after="0" w:line="113" w:lineRule="exact"/>
        <w:rPr>
          <w:sz w:val="20"/>
          <w:szCs w:val="20"/>
          <w:color w:val="auto"/>
        </w:rPr>
      </w:pPr>
    </w:p>
    <w:p>
      <w:pPr>
        <w:ind w:left="780" w:right="20" w:hanging="326"/>
        <w:spacing w:after="0" w:line="259"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following review of how Schlumberger compared to peers in terms of size as a result of acquisitions by the Company in 2010 and relative changes in market capitalization, the Compensation Committee approved an increase in the revenue range for the general industry peer group, from a range of $25 billion to $50 billion to a range of $25 billion to $80 billion;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a result of the foregoing change, the number of constituent companies increased to 44, with newly-added companies denoted in the table below.</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When approving the April 2011 increase in the general industry revenue range, the Compensation Committee considered that, with the then-current revenue range of $25 billion to $50 billion approved in September 2010, the Company would have been in the 45th percentile based on projected 2011 full-year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and above the 90th percentile based on projected 2011 market capitalization. In approving the increase in the general industry revenue range, the Committee also noted that keeping the bottom band of the revenue range at $25 billion, while increasing the top band of the revenue range to $80 billion, would place Schlumberger near the 40th percentile in terms of projected 2011 revenue, and at the 87th percentile in terms of projected 2011 market capitalization.</w:t>
      </w:r>
    </w:p>
    <w:p>
      <w:pPr>
        <w:spacing w:after="0" w:line="2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connection with the changes described above, the Compensation Committee selected the following companies for the general industry peer group, effective for 2012:</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Industry Peer Group</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Revenue of $25B to $80B with technical and global focus</w:t>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Abbott Laboratories</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820" w:type="dxa"/>
            <w:vAlign w:val="bottom"/>
          </w:tcPr>
          <w:p>
            <w:pPr>
              <w:ind w:left="60"/>
              <w:spacing w:after="0"/>
              <w:rPr>
                <w:sz w:val="20"/>
                <w:szCs w:val="20"/>
                <w:color w:val="auto"/>
              </w:rPr>
            </w:pPr>
            <w:r>
              <w:rPr>
                <w:rFonts w:ascii="Arial" w:cs="Arial" w:eastAsia="Arial" w:hAnsi="Arial"/>
                <w:sz w:val="18"/>
                <w:szCs w:val="18"/>
                <w:color w:val="auto"/>
              </w:rPr>
              <w:t>AEGON N.V.*</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Allstate*</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640" w:type="dxa"/>
            <w:vAlign w:val="bottom"/>
          </w:tcPr>
          <w:p>
            <w:pPr>
              <w:ind w:left="60"/>
              <w:spacing w:after="0"/>
              <w:rPr>
                <w:sz w:val="20"/>
                <w:szCs w:val="20"/>
                <w:color w:val="auto"/>
              </w:rPr>
            </w:pPr>
            <w:r>
              <w:rPr>
                <w:rFonts w:ascii="Arial" w:cs="Arial" w:eastAsia="Arial" w:hAnsi="Arial"/>
                <w:sz w:val="18"/>
                <w:szCs w:val="18"/>
                <w:color w:val="auto"/>
              </w:rPr>
              <w:t>Alstom SA*</w:t>
            </w: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tcPr>
          <w:p>
            <w:pPr>
              <w:ind w:left="60"/>
              <w:spacing w:after="0"/>
              <w:rPr>
                <w:sz w:val="20"/>
                <w:szCs w:val="20"/>
                <w:color w:val="auto"/>
              </w:rPr>
            </w:pPr>
            <w:r>
              <w:rPr>
                <w:rFonts w:ascii="Arial" w:cs="Arial" w:eastAsia="Arial" w:hAnsi="Arial"/>
                <w:sz w:val="18"/>
                <w:szCs w:val="18"/>
                <w:color w:val="auto"/>
              </w:rPr>
              <w:t>Amazon.com</w:t>
            </w:r>
          </w:p>
        </w:tc>
      </w:tr>
      <w:tr>
        <w:trPr>
          <w:trHeight w:val="37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American Express*</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820" w:type="dxa"/>
            <w:vAlign w:val="bottom"/>
          </w:tcPr>
          <w:p>
            <w:pPr>
              <w:ind w:left="60"/>
              <w:spacing w:after="0"/>
              <w:rPr>
                <w:sz w:val="20"/>
                <w:szCs w:val="20"/>
                <w:color w:val="auto"/>
              </w:rPr>
            </w:pPr>
            <w:r>
              <w:rPr>
                <w:rFonts w:ascii="Arial" w:cs="Arial" w:eastAsia="Arial" w:hAnsi="Arial"/>
                <w:sz w:val="18"/>
                <w:szCs w:val="18"/>
                <w:color w:val="auto"/>
              </w:rPr>
              <w:t>Archer Daniels</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AstraZeneca PLC</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Bayer AG</w:t>
            </w: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tcPr>
          <w:p>
            <w:pPr>
              <w:ind w:left="60"/>
              <w:spacing w:after="0"/>
              <w:rPr>
                <w:sz w:val="20"/>
                <w:szCs w:val="20"/>
                <w:color w:val="auto"/>
              </w:rPr>
            </w:pPr>
            <w:r>
              <w:rPr>
                <w:rFonts w:ascii="Arial" w:cs="Arial" w:eastAsia="Arial" w:hAnsi="Arial"/>
                <w:sz w:val="18"/>
                <w:szCs w:val="18"/>
                <w:color w:val="auto"/>
              </w:rPr>
              <w:t>Best Buy</w:t>
            </w:r>
          </w:p>
        </w:tc>
      </w:tr>
      <w:tr>
        <w:trPr>
          <w:trHeight w:val="222"/>
        </w:trPr>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20" w:type="dxa"/>
            <w:vAlign w:val="bottom"/>
          </w:tcPr>
          <w:p>
            <w:pPr>
              <w:ind w:left="200"/>
              <w:spacing w:after="0"/>
              <w:rPr>
                <w:sz w:val="20"/>
                <w:szCs w:val="20"/>
                <w:color w:val="auto"/>
              </w:rPr>
            </w:pPr>
            <w:r>
              <w:rPr>
                <w:rFonts w:ascii="Arial" w:cs="Arial" w:eastAsia="Arial" w:hAnsi="Arial"/>
                <w:sz w:val="18"/>
                <w:szCs w:val="18"/>
                <w:color w:val="auto"/>
              </w:rPr>
              <w:t>Midland*</w:t>
            </w:r>
          </w:p>
        </w:tc>
        <w:tc>
          <w:tcPr>
            <w:tcW w:w="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Boeing*</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Bunge Limited</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Caterpillar Inc.</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Cisco Systems</w:t>
            </w: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tcPr>
          <w:p>
            <w:pPr>
              <w:ind w:left="60"/>
              <w:spacing w:after="0"/>
              <w:rPr>
                <w:sz w:val="20"/>
                <w:szCs w:val="20"/>
                <w:color w:val="auto"/>
              </w:rPr>
            </w:pPr>
            <w:r>
              <w:rPr>
                <w:rFonts w:ascii="Arial" w:cs="Arial" w:eastAsia="Arial" w:hAnsi="Arial"/>
                <w:sz w:val="18"/>
                <w:szCs w:val="18"/>
                <w:color w:val="auto"/>
              </w:rPr>
              <w:t>Coca Cola</w:t>
            </w:r>
          </w:p>
        </w:tc>
      </w:tr>
      <w:tr>
        <w:trPr>
          <w:trHeight w:val="37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Dell Inc.*</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Delta Air Lines</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Dow Chemical</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E.I. Dupont de</w:t>
            </w: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tcPr>
          <w:p>
            <w:pPr>
              <w:ind w:left="60"/>
              <w:spacing w:after="0"/>
              <w:rPr>
                <w:sz w:val="20"/>
                <w:szCs w:val="20"/>
                <w:color w:val="auto"/>
              </w:rPr>
            </w:pPr>
            <w:r>
              <w:rPr>
                <w:rFonts w:ascii="Arial" w:cs="Arial" w:eastAsia="Arial" w:hAnsi="Arial"/>
                <w:sz w:val="18"/>
                <w:szCs w:val="18"/>
                <w:color w:val="auto"/>
                <w:w w:val="86"/>
              </w:rPr>
              <w:t>Express Scripts</w:t>
            </w:r>
          </w:p>
        </w:tc>
      </w:tr>
      <w:tr>
        <w:trPr>
          <w:trHeight w:val="222"/>
        </w:trPr>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Nemours</w:t>
            </w: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FedEx</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General Dynamics</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GlaxoSmithKline</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Honeywell</w:t>
            </w: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tcPr>
          <w:p>
            <w:pPr>
              <w:ind w:left="60"/>
              <w:spacing w:after="0"/>
              <w:rPr>
                <w:sz w:val="20"/>
                <w:szCs w:val="20"/>
                <w:color w:val="auto"/>
              </w:rPr>
            </w:pPr>
            <w:r>
              <w:rPr>
                <w:rFonts w:ascii="Arial" w:cs="Arial" w:eastAsia="Arial" w:hAnsi="Arial"/>
                <w:sz w:val="18"/>
                <w:szCs w:val="18"/>
                <w:color w:val="auto"/>
                <w:w w:val="98"/>
              </w:rPr>
              <w:t>Humana Inc.*</w:t>
            </w:r>
          </w:p>
        </w:tc>
      </w:tr>
      <w:tr>
        <w:trPr>
          <w:trHeight w:val="37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Intel</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Johnson Controls</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Johnson &amp; Johnson*</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Kraft Foods*</w:t>
            </w: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tcPr>
          <w:p>
            <w:pPr>
              <w:ind w:left="60"/>
              <w:spacing w:after="0"/>
              <w:rPr>
                <w:sz w:val="20"/>
                <w:szCs w:val="20"/>
                <w:color w:val="auto"/>
              </w:rPr>
            </w:pPr>
            <w:r>
              <w:rPr>
                <w:rFonts w:ascii="Arial" w:cs="Arial" w:eastAsia="Arial" w:hAnsi="Arial"/>
                <w:sz w:val="18"/>
                <w:szCs w:val="18"/>
                <w:color w:val="auto"/>
              </w:rPr>
              <w:t>Merck &amp; Co.</w:t>
            </w:r>
          </w:p>
        </w:tc>
      </w:tr>
      <w:tr>
        <w:trPr>
          <w:trHeight w:val="37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Microsoft*</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Munich Re*</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Nokia*</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Novartis AG</w:t>
            </w: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tcPr>
          <w:p>
            <w:pPr>
              <w:ind w:left="60"/>
              <w:spacing w:after="0"/>
              <w:rPr>
                <w:sz w:val="20"/>
                <w:szCs w:val="20"/>
                <w:color w:val="auto"/>
              </w:rPr>
            </w:pPr>
            <w:r>
              <w:rPr>
                <w:rFonts w:ascii="Arial" w:cs="Arial" w:eastAsia="Arial" w:hAnsi="Arial"/>
                <w:sz w:val="18"/>
                <w:szCs w:val="18"/>
                <w:color w:val="auto"/>
              </w:rPr>
              <w:t>PepsiCo, Inc.</w:t>
            </w:r>
          </w:p>
        </w:tc>
      </w:tr>
      <w:tr>
        <w:trPr>
          <w:trHeight w:val="37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Pfizer</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Procter &amp; Gamble*</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Raytheon</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Rio Tinto plc</w:t>
            </w:r>
          </w:p>
        </w:tc>
        <w:tc>
          <w:tcPr>
            <w:tcW w:w="640" w:type="dxa"/>
            <w:vAlign w:val="bottom"/>
          </w:tcPr>
          <w:p>
            <w:pPr>
              <w:ind w:left="520"/>
              <w:spacing w:after="0"/>
              <w:rPr>
                <w:sz w:val="20"/>
                <w:szCs w:val="20"/>
                <w:color w:val="auto"/>
              </w:rPr>
            </w:pPr>
            <w:r>
              <w:rPr>
                <w:rFonts w:ascii="Arial" w:cs="Arial" w:eastAsia="Arial" w:hAnsi="Arial"/>
                <w:sz w:val="18"/>
                <w:szCs w:val="18"/>
                <w:color w:val="auto"/>
              </w:rPr>
              <w:t>•</w:t>
            </w:r>
          </w:p>
        </w:tc>
        <w:tc>
          <w:tcPr>
            <w:tcW w:w="1160" w:type="dxa"/>
            <w:vAlign w:val="bottom"/>
          </w:tcPr>
          <w:p>
            <w:pPr>
              <w:ind w:left="60"/>
              <w:spacing w:after="0"/>
              <w:rPr>
                <w:sz w:val="20"/>
                <w:szCs w:val="20"/>
                <w:color w:val="auto"/>
              </w:rPr>
            </w:pPr>
            <w:r>
              <w:rPr>
                <w:rFonts w:ascii="Arial" w:cs="Arial" w:eastAsia="Arial" w:hAnsi="Arial"/>
                <w:sz w:val="18"/>
                <w:szCs w:val="18"/>
                <w:color w:val="auto"/>
              </w:rPr>
              <w:t>Sanofi</w:t>
            </w:r>
          </w:p>
        </w:tc>
      </w:tr>
      <w:tr>
        <w:trPr>
          <w:trHeight w:val="37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tcPr>
          <w:p>
            <w:pPr>
              <w:ind w:left="80"/>
              <w:spacing w:after="0"/>
              <w:rPr>
                <w:sz w:val="20"/>
                <w:szCs w:val="20"/>
                <w:color w:val="auto"/>
              </w:rPr>
            </w:pPr>
            <w:r>
              <w:rPr>
                <w:rFonts w:ascii="Arial" w:cs="Arial" w:eastAsia="Arial" w:hAnsi="Arial"/>
                <w:sz w:val="18"/>
                <w:szCs w:val="18"/>
                <w:color w:val="auto"/>
              </w:rPr>
              <w:t>Sprint Nextel</w:t>
            </w:r>
          </w:p>
        </w:tc>
        <w:tc>
          <w:tcPr>
            <w:tcW w:w="520" w:type="dxa"/>
            <w:vAlign w:val="bottom"/>
          </w:tcPr>
          <w:p>
            <w:pPr>
              <w:ind w:left="40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UPS</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880" w:type="dxa"/>
            <w:vAlign w:val="bottom"/>
          </w:tcPr>
          <w:p>
            <w:pPr>
              <w:ind w:left="60"/>
              <w:spacing w:after="0"/>
              <w:rPr>
                <w:sz w:val="20"/>
                <w:szCs w:val="20"/>
                <w:color w:val="auto"/>
              </w:rPr>
            </w:pPr>
            <w:r>
              <w:rPr>
                <w:rFonts w:ascii="Arial" w:cs="Arial" w:eastAsia="Arial" w:hAnsi="Arial"/>
                <w:sz w:val="18"/>
                <w:szCs w:val="18"/>
                <w:color w:val="auto"/>
              </w:rPr>
              <w:t>United Technologies*</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Walt Disney</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Denotes a company that was added to the group for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two peer groups and takes into account other factors described below. Generally, the Compensation Committee targets base salaries for executive officers to be between the 50</w:t>
      </w:r>
      <w:r>
        <w:rPr>
          <w:rFonts w:ascii="Arial" w:cs="Arial" w:eastAsia="Arial" w:hAnsi="Arial"/>
          <w:sz w:val="11"/>
          <w:szCs w:val="11"/>
          <w:color w:val="auto"/>
        </w:rPr>
        <w:t>th</w:t>
      </w:r>
      <w:r>
        <w:rPr>
          <w:rFonts w:ascii="Arial" w:cs="Arial" w:eastAsia="Arial" w:hAnsi="Arial"/>
          <w:sz w:val="18"/>
          <w:szCs w:val="18"/>
          <w:color w:val="auto"/>
        </w:rPr>
        <w:t xml:space="preserve"> and the 75</w:t>
      </w:r>
      <w:r>
        <w:rPr>
          <w:rFonts w:ascii="Arial" w:cs="Arial" w:eastAsia="Arial" w:hAnsi="Arial"/>
          <w:sz w:val="11"/>
          <w:szCs w:val="11"/>
          <w:color w:val="auto"/>
        </w:rPr>
        <w:t>th</w:t>
      </w:r>
      <w:r>
        <w:rPr>
          <w:rFonts w:ascii="Arial" w:cs="Arial" w:eastAsia="Arial" w:hAnsi="Arial"/>
          <w:sz w:val="18"/>
          <w:szCs w:val="18"/>
          <w:color w:val="auto"/>
        </w:rPr>
        <w:t xml:space="preserve"> percentile of both peer groups.</w:t>
      </w:r>
    </w:p>
    <w:p>
      <w:pPr>
        <w:spacing w:after="0" w:line="6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Base salaries for each executive officer position are compared annually with similar positions in both peer groups. Base salary changes for executive officers, except the CEO, are recommended by the CEO and subject to approval by the Compensation Committee, taking into account:</w:t>
      </w:r>
    </w:p>
    <w:p>
      <w:pPr>
        <w:spacing w:after="0" w:line="4"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comparable salaries in the two peer groups;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individual business experience and potential;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individual performance.</w:t>
      </w:r>
    </w:p>
    <w:p>
      <w:pPr>
        <w:spacing w:after="0" w:line="9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base salary of the CEO is reviewed by the Compensation Committee in executive session and recommended by the Compensation Committee to the independent members of the Board of Directors for approval, based on the same criteria as above. In addition to periodic reviews based on the factors described</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above, the Compensation Committee may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such as when an executive officer moves to a position of lesser responsibility in the Company. Alternatively, base salary can be frozen for a number of years until it falls in line with comparable positions in the two peer groups.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 Decisions in 2012</w:t>
      </w:r>
    </w:p>
    <w:p>
      <w:pPr>
        <w:spacing w:after="0" w:line="171"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Compensation Committee carried out a review of the compensation of each of the executive officers in January 2012. Upon review of comparative market data for both peer groups, and taking into consideration that base salary decisions for 2011 generally positioned our NEOs at or slightly above the 75</w:t>
      </w:r>
      <w:r>
        <w:rPr>
          <w:rFonts w:ascii="Arial" w:cs="Arial" w:eastAsia="Arial" w:hAnsi="Arial"/>
          <w:sz w:val="10"/>
          <w:szCs w:val="10"/>
          <w:color w:val="auto"/>
        </w:rPr>
        <w:t>th</w:t>
      </w:r>
      <w:r>
        <w:rPr>
          <w:rFonts w:ascii="Arial" w:cs="Arial" w:eastAsia="Arial" w:hAnsi="Arial"/>
          <w:sz w:val="16"/>
          <w:szCs w:val="16"/>
          <w:color w:val="auto"/>
        </w:rPr>
        <w:t xml:space="preserve"> percentile of both peer groups, the Committee determined not to increase the base salary of any NEO for 2012.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71" w:lineRule="exact"/>
        <w:rPr>
          <w:sz w:val="20"/>
          <w:szCs w:val="20"/>
          <w:color w:val="auto"/>
        </w:rPr>
      </w:pPr>
    </w:p>
    <w:p>
      <w:pPr>
        <w:jc w:val="both"/>
        <w:ind w:right="220" w:firstLine="456"/>
        <w:spacing w:after="0" w:line="303" w:lineRule="auto"/>
        <w:rPr>
          <w:sz w:val="20"/>
          <w:szCs w:val="20"/>
          <w:color w:val="auto"/>
        </w:rPr>
      </w:pPr>
      <w:r>
        <w:rPr>
          <w:rFonts w:ascii="Arial" w:cs="Arial" w:eastAsia="Arial" w:hAnsi="Arial"/>
          <w:sz w:val="15"/>
          <w:szCs w:val="15"/>
          <w:color w:val="auto"/>
        </w:rPr>
        <w:t>The Company pays annual performance-based cash incentives to its executives to foster a results-driven, pay for performance culture and to align their interests with those of Schlumberger’s stockholders. The Compensation Committee selects performance-based measures that it believes will strike the balance between motivating an executive to increase operating results in the near-term and driving profitable long-term Company growth and value for stockholders.</w:t>
      </w:r>
    </w:p>
    <w:p>
      <w:pPr>
        <w:spacing w:after="0" w:line="1"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Incentive cash payments are made each February according to the achievement of both personal and financial (Company) objectives during the previous fiscal year.</w:t>
      </w:r>
    </w:p>
    <w:p>
      <w:pPr>
        <w:spacing w:after="0" w:line="5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target annual cash incentive ranges from 0% to 150% of base salary for the CEO and from 0% to 100% of base salary for the other NEOs, depending on the position. Half of Schlumberger’s potential cash incentive range is based on the satisfactory completion of personal objectives established at the beginning of the year, while the other half of the potential range is based on the achievement of a pre-established Company financial goal, which is described in the section below entitled “Annual Cash Incentive Decisions for 2012.” The financial half of the incentive cash payment for NEOs has an incremental financial element, which means that the maximum incentive opportunity can in some years be up to 300% of target with respect to the financial part based on achievement of superior financial results. This enhanced incentive applies to the CEO and our other executive officers. The personal half has no positive incremental element, meaning the maximum payout with respect to this half of the target annual cash incentive is 100% of target.</w:t>
      </w:r>
    </w:p>
    <w:p>
      <w:pPr>
        <w:spacing w:after="0" w:line="37"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Compensation Committee reviews and recommends to the full Board the financial objectives for both the CEO and the other executive officers. The Committee approves the personal objectives for the CEO and assesses his performance against those objectives in determining the annual cash incentive award, subject to final approval by the Board. The CEO approves the personal objectives for the other executive officers, including the other NEOs, and assesses each such officer’s performance against their pre-determined objectives.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Decisions for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 Ranges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the cash incentive ranges for any of the NEOs in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Objective</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in previous years, the financial half of the annual cash incentive for all executive officers in 2012 was based on diluted earnings per share from continuing operations (“EPS”).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selected EPS as the most appropriate measure upon which to base the financial portion of the annual cash incentive because it is the primary basis on which we set our performance expectations for the year; we believe that consistent EPS growth leads to long-term stockholder value; and EPS is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metric most widely used by investors and analysts to evaluate the performance of Schlumberger. When considering the Company’s operating results, the Compensation Committee has the discretion to decide whether to take into account the effect on EPS of unusual or infrequent charges or gains, depending on the nature of the item. The Compensation Committee exercises its discretion when it believes that executives and other employees would be unfairly harmed by, or would unfairly benefit from, these items.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process used to set these annual EPS targets starts with a review of plans and projections following bottom-up planning from the field, which considers factors such as:</w:t>
      </w:r>
    </w:p>
    <w:p>
      <w:pPr>
        <w:spacing w:after="0" w:line="51"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activity growth potential;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2012, the Compensation Committee decided that the maximum incentive opportunity for the financial-based portion of the annual cash incentive would be 300% as in some previous years. The Committee also believed it was important to set EPS targets which, while very difficult to achieve in an uncertain global economy, were realistic.</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performance targets and corresponding payouts for the financial half of the 2012 annual cash incentive were as follows:</w:t>
      </w:r>
    </w:p>
    <w:p>
      <w:pPr>
        <w:spacing w:after="0" w:line="90" w:lineRule="exact"/>
        <w:rPr>
          <w:sz w:val="20"/>
          <w:szCs w:val="20"/>
          <w:color w:val="auto"/>
        </w:rPr>
      </w:pPr>
    </w:p>
    <w:p>
      <w:pPr>
        <w:ind w:left="780" w:right="580" w:hanging="326"/>
        <w:spacing w:after="0" w:line="332"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EPS result of at least $4.00 was needed to trigger a payment of 50% of the financial half of the incentive payment, below which no financial incentive would be paid. The EPS threshold of $4.00 represented a 14% increase against EPS of $3.51 actually earned for 2011;</w:t>
      </w:r>
    </w:p>
    <w:p>
      <w:pPr>
        <w:spacing w:after="0" w:line="4" w:lineRule="exact"/>
        <w:rPr>
          <w:rFonts w:ascii="Arial" w:cs="Arial" w:eastAsia="Arial" w:hAnsi="Arial"/>
          <w:sz w:val="16"/>
          <w:szCs w:val="16"/>
          <w:color w:val="auto"/>
        </w:rPr>
      </w:pPr>
    </w:p>
    <w:p>
      <w:pPr>
        <w:ind w:left="780" w:right="50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EPS result of at least $4.60 was needed to trigger a payment of 100% of the financial half of the incentive payment, which represented a 31% increase against EPS actually earned in 2011;</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EPS result of at least $5.00 was needed to achieve 200% of the financial half of the incentive payment, which represented a 43% increase against EPS actually earned for 2011; and</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EPS result of at least $5.40 was needed to achieve 300% of the financial half of the incentive payment, which represented a 54% increase against EPS actually earned for 2011.</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EPS result achieved was between two targets, then the financial incentive payment would be prorated. As in prior years, no cash incentive would be paid if the minimum 2012 EPS target was not met. The EPS targets above included the projected full-year results from Schlumberger’s Distribution businesses, which Schlumberger divested in the second and third quarters of 2012. As these divested businesses comprised Schlumberger’s entire previously-reported Distribution segment, the results of this segment were classified in 2012 as discontinued operations in Schlumberger’s consolidated statement of income. The EPS targets above contemplated an earnings per share contribution from these divested businesses of $0.06. Therefore, the Compensation Committee decided that for purposes of calculating the financial half of the cash incentive payment, it would reduce each of the EPS targets above by $0.06.</w:t>
      </w:r>
    </w:p>
    <w:p>
      <w:pPr>
        <w:spacing w:after="0" w:line="3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Schlumberger’s 2012 EPS was $4.06, which included charges of $0.11 related to the continued integration of Smith and certain workforce reductions. The Compensation Committee decided that for purposes of calculating the financial half of the cash incentive payment, it would exclude these charges as they either resulted from actions that were in the Schlumberger’s best interest or did not relate to Schlumberger’s ongoing operations. Schlumberger’s 2012 EPS, excluding these charges, was $4.17, representing a preliminary payout of almost 70% of the financial half of the annual cash incentive. The Compensation Committee, however, further considered that Schlumberger’s 2012 EPS, excluding charges and credits, showed superior relative growth year-over-year as compared to the projected relative growth of 2012 earnings per share, excluding charges and credits, of both of the Company’s top two competitors, based on their actual results for the first nine months of 2012 and consensus estimates for their fourth quarter earnings. Additionally, consideration was given to the well-executed divestitures of the businesses comprising the Distribution segment, and the fact that senior management was 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 generate cash proceeds in excess of $1 billion from the sales of these businesses. As a result of the foregoing considerations, the Compensation Committee approved a payout of 85% of the financial half of the annual cash incentive.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Individual Objectives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second half of the annual cash incentive is related to personal objectives that are specific to each executive officer position and may relate to:</w:t>
      </w:r>
    </w:p>
    <w:p>
      <w:pPr>
        <w:spacing w:after="0" w:line="113"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penetration;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acquisitions or divestitures;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safety objectives;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new technology introduction;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award for the personal half of the cash incentive was based on the specific results each named executive officer achieved, as approved by the Compensation Committee. Personal objectives are set at the start of the fiscal year. At the end of the fiscal year, the CEO uses his judgment to evaluate the performance of the other NEOs against their personal objectives, taking into account performance for the just-completed fiscal 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the full Board.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Kibsgaard had objectives relating to customer engagement, which he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Kibsgaard and Belani had objectives relating to research and product development, which they each mainly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Pai and Belani had objectives relating to the improvement of the Company’s code of ethics, which they each mainly achieved.</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Messrs. Kibsgaard, Pai, Oestdahl and Belani had objectives relating to health, safety and the environment (HSE) and Quality, which they each mainly achieved.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Kibsgaard and Pai had objectives relating to people, including diversity and talent management, which they each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Pai, Oestdahl, Belani and Ayat had objectives relating to infrastructure and logistics, which they each mainly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Oestdahl, Belani and Ayat had objectives relating to information technology, which they each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Kibsgaard, Oestdahl, Belani and Ayat had objectives on the expansion of the subsea business, which they each achieved.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Ayat, Pai and Oestdahl had objectives on cost management and efficiency, which they each mainly achieved.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Annual Cash Incentive as a Percentage of Base Salary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Total 2012</w:t>
            </w: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Total</w:t>
            </w: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Financial</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Personal</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Incentive</w:t>
            </w:r>
          </w:p>
        </w:tc>
        <w:tc>
          <w:tcPr>
            <w:tcW w:w="16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0"/>
              </w:rPr>
              <w:t>Financial Half</w:t>
            </w: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Half</w:t>
            </w:r>
          </w:p>
        </w:tc>
        <w:tc>
          <w:tcPr>
            <w:tcW w:w="15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7"/>
              </w:rPr>
              <w:t>Personal Half</w:t>
            </w: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Half</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Paid</w:t>
            </w:r>
          </w:p>
        </w:tc>
      </w:tr>
      <w:tr>
        <w:trPr>
          <w:trHeight w:val="149"/>
        </w:trPr>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Range</w:t>
            </w: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Range</w:t>
            </w: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Incentive</w:t>
            </w: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Range</w:t>
            </w:r>
          </w:p>
        </w:tc>
        <w:tc>
          <w:tcPr>
            <w:tcW w:w="13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5"/>
              </w:rPr>
              <w:t>Incentive</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34"/>
        </w:trPr>
        <w:tc>
          <w:tcPr>
            <w:tcW w:w="2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9"/>
              </w:rPr>
              <w:t>Eligibility</w:t>
            </w:r>
          </w:p>
        </w:tc>
        <w:tc>
          <w:tcPr>
            <w:tcW w:w="162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9"/>
              </w:rPr>
              <w:t>Eligibility</w:t>
            </w:r>
          </w:p>
        </w:tc>
        <w:tc>
          <w:tcPr>
            <w:tcW w:w="134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3"/>
              </w:rPr>
              <w:t>Achieved</w:t>
            </w:r>
          </w:p>
        </w:tc>
        <w:tc>
          <w:tcPr>
            <w:tcW w:w="156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9"/>
              </w:rPr>
              <w:t>Eligibility</w:t>
            </w:r>
          </w:p>
        </w:tc>
        <w:tc>
          <w:tcPr>
            <w:tcW w:w="1320" w:type="dxa"/>
            <w:vAlign w:val="bottom"/>
            <w:gridSpan w:val="2"/>
          </w:tcPr>
          <w:p>
            <w:pPr>
              <w:jc w:val="right"/>
              <w:ind w:right="780"/>
              <w:spacing w:after="0" w:line="135" w:lineRule="exact"/>
              <w:rPr>
                <w:sz w:val="20"/>
                <w:szCs w:val="20"/>
                <w:color w:val="auto"/>
              </w:rPr>
            </w:pPr>
            <w:r>
              <w:rPr>
                <w:rFonts w:ascii="Arial" w:cs="Arial" w:eastAsia="Arial" w:hAnsi="Arial"/>
                <w:sz w:val="14"/>
                <w:szCs w:val="14"/>
                <w:b w:val="1"/>
                <w:bCs w:val="1"/>
                <w:color w:val="auto"/>
                <w:w w:val="83"/>
              </w:rPr>
              <w:t>Achieved</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3"/>
              </w:rPr>
              <w:t>Base</w:t>
            </w:r>
          </w:p>
        </w:tc>
      </w:tr>
      <w:tr>
        <w:trPr>
          <w:trHeight w:val="176"/>
        </w:trPr>
        <w:tc>
          <w:tcPr>
            <w:tcW w:w="28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5"/>
                <w:szCs w:val="15"/>
                <w:color w:val="auto"/>
              </w:rPr>
            </w:pPr>
          </w:p>
        </w:tc>
        <w:tc>
          <w:tcPr>
            <w:tcW w:w="7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3"/>
              </w:rPr>
              <w:t>Salary</w:t>
            </w:r>
            <w:r>
              <w:rPr>
                <w:rFonts w:ascii="Arial" w:cs="Arial" w:eastAsia="Arial" w:hAnsi="Arial"/>
                <w:sz w:val="20"/>
                <w:szCs w:val="20"/>
                <w:b w:val="1"/>
                <w:bCs w:val="1"/>
                <w:color w:val="auto"/>
                <w:w w:val="93"/>
                <w:vertAlign w:val="superscript"/>
              </w:rPr>
              <w:t>(1)</w:t>
            </w:r>
          </w:p>
        </w:tc>
      </w:tr>
      <w:tr>
        <w:trPr>
          <w:trHeight w:val="210"/>
        </w:trPr>
        <w:tc>
          <w:tcPr>
            <w:tcW w:w="288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66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ind w:left="160"/>
              <w:spacing w:after="0"/>
              <w:rPr>
                <w:sz w:val="20"/>
                <w:szCs w:val="20"/>
                <w:color w:val="auto"/>
              </w:rPr>
            </w:pPr>
            <w:r>
              <w:rPr>
                <w:rFonts w:ascii="Arial" w:cs="Arial" w:eastAsia="Arial" w:hAnsi="Arial"/>
                <w:sz w:val="18"/>
                <w:szCs w:val="18"/>
                <w:color w:val="auto"/>
                <w:w w:val="86"/>
              </w:rPr>
              <w:t>0-150</w:t>
            </w:r>
          </w:p>
        </w:tc>
        <w:tc>
          <w:tcPr>
            <w:tcW w:w="76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75</w:t>
            </w:r>
          </w:p>
        </w:tc>
        <w:tc>
          <w:tcPr>
            <w:tcW w:w="780" w:type="dxa"/>
            <w:vAlign w:val="bottom"/>
            <w:tcBorders>
              <w:top w:val="single" w:sz="8" w:color="D8D8D8"/>
            </w:tcBorders>
            <w:shd w:val="clear" w:color="auto" w:fill="D8D8D8"/>
          </w:tcPr>
          <w:p>
            <w:pPr>
              <w:spacing w:after="0"/>
              <w:rPr>
                <w:sz w:val="18"/>
                <w:szCs w:val="18"/>
                <w:color w:val="auto"/>
              </w:rPr>
            </w:pPr>
          </w:p>
        </w:tc>
        <w:tc>
          <w:tcPr>
            <w:tcW w:w="580" w:type="dxa"/>
            <w:vAlign w:val="bottom"/>
            <w:tcBorders>
              <w:top w:val="single" w:sz="8" w:color="auto"/>
            </w:tcBorders>
            <w:shd w:val="clear" w:color="auto" w:fill="D8D8D8"/>
          </w:tcPr>
          <w:p>
            <w:pPr>
              <w:ind w:left="180"/>
              <w:spacing w:after="0"/>
              <w:rPr>
                <w:sz w:val="20"/>
                <w:szCs w:val="20"/>
                <w:color w:val="auto"/>
              </w:rPr>
            </w:pPr>
            <w:r>
              <w:rPr>
                <w:rFonts w:ascii="Arial" w:cs="Arial" w:eastAsia="Arial" w:hAnsi="Arial"/>
                <w:sz w:val="18"/>
                <w:szCs w:val="18"/>
                <w:color w:val="auto"/>
                <w:w w:val="84"/>
              </w:rPr>
              <w:t>63.75</w:t>
            </w:r>
          </w:p>
        </w:tc>
        <w:tc>
          <w:tcPr>
            <w:tcW w:w="76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75</w:t>
            </w:r>
          </w:p>
        </w:tc>
        <w:tc>
          <w:tcPr>
            <w:tcW w:w="76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71.25</w:t>
            </w:r>
          </w:p>
        </w:tc>
        <w:tc>
          <w:tcPr>
            <w:tcW w:w="780" w:type="dxa"/>
            <w:vAlign w:val="bottom"/>
            <w:tcBorders>
              <w:top w:val="single" w:sz="8" w:color="D8D8D8"/>
            </w:tcBorders>
            <w:shd w:val="clear" w:color="auto" w:fill="D8D8D8"/>
          </w:tcPr>
          <w:p>
            <w:pPr>
              <w:spacing w:after="0"/>
              <w:rPr>
                <w:sz w:val="18"/>
                <w:szCs w:val="18"/>
                <w:color w:val="auto"/>
              </w:rPr>
            </w:pPr>
          </w:p>
        </w:tc>
        <w:tc>
          <w:tcPr>
            <w:tcW w:w="6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top w:val="single" w:sz="8" w:color="D8D8D8"/>
            </w:tcBorders>
            <w:shd w:val="clear" w:color="auto" w:fill="D8D8D8"/>
          </w:tcPr>
          <w:p>
            <w:pPr>
              <w:spacing w:after="0"/>
              <w:rPr>
                <w:sz w:val="18"/>
                <w:szCs w:val="18"/>
                <w:color w:val="auto"/>
              </w:rPr>
            </w:pPr>
          </w:p>
        </w:tc>
      </w:tr>
      <w:tr>
        <w:trPr>
          <w:trHeight w:val="323"/>
        </w:trPr>
        <w:tc>
          <w:tcPr>
            <w:tcW w:w="2880" w:type="dxa"/>
            <w:vAlign w:val="bottom"/>
          </w:tcPr>
          <w:p>
            <w:pPr>
              <w:spacing w:after="0"/>
              <w:rPr>
                <w:sz w:val="20"/>
                <w:szCs w:val="20"/>
                <w:color w:val="auto"/>
              </w:rPr>
            </w:pPr>
            <w:r>
              <w:rPr>
                <w:rFonts w:ascii="Arial" w:cs="Arial" w:eastAsia="Arial" w:hAnsi="Arial"/>
                <w:sz w:val="18"/>
                <w:szCs w:val="18"/>
                <w:color w:val="auto"/>
              </w:rPr>
              <w:t>S. Ayat</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w w:val="86"/>
              </w:rPr>
              <w:t>0-100</w:t>
            </w:r>
          </w:p>
        </w:tc>
        <w:tc>
          <w:tcPr>
            <w:tcW w:w="76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50</w:t>
            </w:r>
          </w:p>
        </w:tc>
        <w:tc>
          <w:tcPr>
            <w:tcW w:w="580" w:type="dxa"/>
            <w:vAlign w:val="bottom"/>
          </w:tcPr>
          <w:p>
            <w:pPr>
              <w:ind w:left="180"/>
              <w:spacing w:after="0"/>
              <w:rPr>
                <w:sz w:val="20"/>
                <w:szCs w:val="20"/>
                <w:color w:val="auto"/>
              </w:rPr>
            </w:pPr>
            <w:r>
              <w:rPr>
                <w:rFonts w:ascii="Arial" w:cs="Arial" w:eastAsia="Arial" w:hAnsi="Arial"/>
                <w:sz w:val="18"/>
                <w:szCs w:val="18"/>
                <w:color w:val="auto"/>
                <w:w w:val="84"/>
              </w:rPr>
              <w:t>42.50</w:t>
            </w:r>
          </w:p>
        </w:tc>
        <w:tc>
          <w:tcPr>
            <w:tcW w:w="7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45.50</w:t>
            </w:r>
          </w:p>
        </w:tc>
        <w:tc>
          <w:tcPr>
            <w:tcW w:w="7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24"/>
                <w:szCs w:val="24"/>
                <w:color w:val="auto"/>
              </w:rPr>
            </w:pPr>
          </w:p>
        </w:tc>
      </w:tr>
      <w:tr>
        <w:trPr>
          <w:trHeight w:val="325"/>
        </w:trPr>
        <w:tc>
          <w:tcPr>
            <w:tcW w:w="2880" w:type="dxa"/>
            <w:vAlign w:val="bottom"/>
            <w:shd w:val="clear" w:color="auto" w:fill="D8D8D8"/>
          </w:tcPr>
          <w:p>
            <w:pPr>
              <w:spacing w:after="0"/>
              <w:rPr>
                <w:sz w:val="20"/>
                <w:szCs w:val="20"/>
                <w:color w:val="auto"/>
              </w:rPr>
            </w:pPr>
            <w:r>
              <w:rPr>
                <w:rFonts w:ascii="Arial" w:cs="Arial" w:eastAsia="Arial" w:hAnsi="Arial"/>
                <w:sz w:val="18"/>
                <w:szCs w:val="18"/>
                <w:color w:val="auto"/>
              </w:rPr>
              <w:t>S. Pai</w:t>
            </w:r>
          </w:p>
        </w:tc>
        <w:tc>
          <w:tcPr>
            <w:tcW w:w="1240" w:type="dxa"/>
            <w:vAlign w:val="bottom"/>
            <w:gridSpan w:val="2"/>
            <w:shd w:val="clear" w:color="auto" w:fill="D8D8D8"/>
          </w:tcPr>
          <w:p>
            <w:pPr>
              <w:ind w:left="820"/>
              <w:spacing w:after="0"/>
              <w:rPr>
                <w:sz w:val="20"/>
                <w:szCs w:val="20"/>
                <w:color w:val="auto"/>
              </w:rPr>
            </w:pPr>
            <w:r>
              <w:rPr>
                <w:rFonts w:ascii="Arial" w:cs="Arial" w:eastAsia="Arial" w:hAnsi="Arial"/>
                <w:sz w:val="18"/>
                <w:szCs w:val="18"/>
                <w:color w:val="auto"/>
                <w:w w:val="86"/>
              </w:rPr>
              <w:t>0-100</w:t>
            </w:r>
          </w:p>
        </w:tc>
        <w:tc>
          <w:tcPr>
            <w:tcW w:w="760" w:type="dxa"/>
            <w:vAlign w:val="bottom"/>
            <w:shd w:val="clear" w:color="auto" w:fill="D8D8D8"/>
          </w:tcPr>
          <w:p>
            <w:pPr>
              <w:spacing w:after="0"/>
              <w:rPr>
                <w:sz w:val="24"/>
                <w:szCs w:val="24"/>
                <w:color w:val="auto"/>
              </w:rPr>
            </w:pPr>
          </w:p>
        </w:tc>
        <w:tc>
          <w:tcPr>
            <w:tcW w:w="1620" w:type="dxa"/>
            <w:vAlign w:val="bottom"/>
            <w:gridSpan w:val="2"/>
            <w:shd w:val="clear" w:color="auto" w:fill="D8D8D8"/>
          </w:tcPr>
          <w:p>
            <w:pPr>
              <w:jc w:val="right"/>
              <w:ind w:right="780"/>
              <w:spacing w:after="0"/>
              <w:rPr>
                <w:sz w:val="20"/>
                <w:szCs w:val="20"/>
                <w:color w:val="auto"/>
              </w:rPr>
            </w:pPr>
            <w:r>
              <w:rPr>
                <w:rFonts w:ascii="Arial" w:cs="Arial" w:eastAsia="Arial" w:hAnsi="Arial"/>
                <w:sz w:val="18"/>
                <w:szCs w:val="18"/>
                <w:color w:val="auto"/>
              </w:rPr>
              <w:t>50</w:t>
            </w:r>
          </w:p>
        </w:tc>
        <w:tc>
          <w:tcPr>
            <w:tcW w:w="580" w:type="dxa"/>
            <w:vAlign w:val="bottom"/>
            <w:shd w:val="clear" w:color="auto" w:fill="D8D8D8"/>
          </w:tcPr>
          <w:p>
            <w:pPr>
              <w:ind w:left="180"/>
              <w:spacing w:after="0"/>
              <w:rPr>
                <w:sz w:val="20"/>
                <w:szCs w:val="20"/>
                <w:color w:val="auto"/>
              </w:rPr>
            </w:pPr>
            <w:r>
              <w:rPr>
                <w:rFonts w:ascii="Arial" w:cs="Arial" w:eastAsia="Arial" w:hAnsi="Arial"/>
                <w:sz w:val="18"/>
                <w:szCs w:val="18"/>
                <w:color w:val="auto"/>
                <w:w w:val="84"/>
              </w:rPr>
              <w:t>42.50</w:t>
            </w:r>
          </w:p>
        </w:tc>
        <w:tc>
          <w:tcPr>
            <w:tcW w:w="76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24"/>
                <w:szCs w:val="24"/>
                <w:color w:val="auto"/>
              </w:rPr>
            </w:pP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42.50</w:t>
            </w:r>
          </w:p>
        </w:tc>
        <w:tc>
          <w:tcPr>
            <w:tcW w:w="780" w:type="dxa"/>
            <w:vAlign w:val="bottom"/>
            <w:shd w:val="clear" w:color="auto" w:fill="D8D8D8"/>
          </w:tcPr>
          <w:p>
            <w:pPr>
              <w:spacing w:after="0"/>
              <w:rPr>
                <w:sz w:val="24"/>
                <w:szCs w:val="2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D8D8D8"/>
          </w:tcPr>
          <w:p>
            <w:pPr>
              <w:spacing w:after="0"/>
              <w:rPr>
                <w:sz w:val="24"/>
                <w:szCs w:val="24"/>
                <w:color w:val="auto"/>
              </w:rPr>
            </w:pPr>
          </w:p>
        </w:tc>
      </w:tr>
      <w:tr>
        <w:trPr>
          <w:trHeight w:val="323"/>
        </w:trPr>
        <w:tc>
          <w:tcPr>
            <w:tcW w:w="2880" w:type="dxa"/>
            <w:vAlign w:val="bottom"/>
          </w:tcPr>
          <w:p>
            <w:pPr>
              <w:spacing w:after="0"/>
              <w:rPr>
                <w:sz w:val="20"/>
                <w:szCs w:val="20"/>
                <w:color w:val="auto"/>
              </w:rPr>
            </w:pPr>
            <w:r>
              <w:rPr>
                <w:rFonts w:ascii="Arial" w:cs="Arial" w:eastAsia="Arial" w:hAnsi="Arial"/>
                <w:sz w:val="18"/>
                <w:szCs w:val="18"/>
                <w:color w:val="auto"/>
              </w:rPr>
              <w:t>K.-E. Oestdahl</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w w:val="86"/>
              </w:rPr>
              <w:t>0-100</w:t>
            </w:r>
          </w:p>
        </w:tc>
        <w:tc>
          <w:tcPr>
            <w:tcW w:w="76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50</w:t>
            </w:r>
          </w:p>
        </w:tc>
        <w:tc>
          <w:tcPr>
            <w:tcW w:w="580" w:type="dxa"/>
            <w:vAlign w:val="bottom"/>
          </w:tcPr>
          <w:p>
            <w:pPr>
              <w:ind w:left="180"/>
              <w:spacing w:after="0"/>
              <w:rPr>
                <w:sz w:val="20"/>
                <w:szCs w:val="20"/>
                <w:color w:val="auto"/>
              </w:rPr>
            </w:pPr>
            <w:r>
              <w:rPr>
                <w:rFonts w:ascii="Arial" w:cs="Arial" w:eastAsia="Arial" w:hAnsi="Arial"/>
                <w:sz w:val="18"/>
                <w:szCs w:val="18"/>
                <w:color w:val="auto"/>
                <w:w w:val="84"/>
              </w:rPr>
              <w:t>42.50</w:t>
            </w:r>
          </w:p>
        </w:tc>
        <w:tc>
          <w:tcPr>
            <w:tcW w:w="7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44.50</w:t>
            </w:r>
          </w:p>
        </w:tc>
        <w:tc>
          <w:tcPr>
            <w:tcW w:w="7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4"/>
                <w:szCs w:val="24"/>
                <w:color w:val="auto"/>
              </w:rPr>
            </w:pPr>
          </w:p>
        </w:tc>
      </w:tr>
      <w:tr>
        <w:trPr>
          <w:trHeight w:val="325"/>
        </w:trPr>
        <w:tc>
          <w:tcPr>
            <w:tcW w:w="2880" w:type="dxa"/>
            <w:vAlign w:val="bottom"/>
            <w:shd w:val="clear" w:color="auto" w:fill="D8D8D8"/>
          </w:tcPr>
          <w:p>
            <w:pPr>
              <w:spacing w:after="0"/>
              <w:rPr>
                <w:sz w:val="20"/>
                <w:szCs w:val="20"/>
                <w:color w:val="auto"/>
              </w:rPr>
            </w:pPr>
            <w:r>
              <w:rPr>
                <w:rFonts w:ascii="Arial" w:cs="Arial" w:eastAsia="Arial" w:hAnsi="Arial"/>
                <w:sz w:val="18"/>
                <w:szCs w:val="18"/>
                <w:color w:val="auto"/>
              </w:rPr>
              <w:t>A. Belani</w:t>
            </w:r>
          </w:p>
        </w:tc>
        <w:tc>
          <w:tcPr>
            <w:tcW w:w="1240" w:type="dxa"/>
            <w:vAlign w:val="bottom"/>
            <w:gridSpan w:val="2"/>
            <w:shd w:val="clear" w:color="auto" w:fill="D8D8D8"/>
          </w:tcPr>
          <w:p>
            <w:pPr>
              <w:ind w:left="820"/>
              <w:spacing w:after="0"/>
              <w:rPr>
                <w:sz w:val="20"/>
                <w:szCs w:val="20"/>
                <w:color w:val="auto"/>
              </w:rPr>
            </w:pPr>
            <w:r>
              <w:rPr>
                <w:rFonts w:ascii="Arial" w:cs="Arial" w:eastAsia="Arial" w:hAnsi="Arial"/>
                <w:sz w:val="18"/>
                <w:szCs w:val="18"/>
                <w:color w:val="auto"/>
                <w:w w:val="86"/>
              </w:rPr>
              <w:t>0-100</w:t>
            </w:r>
          </w:p>
        </w:tc>
        <w:tc>
          <w:tcPr>
            <w:tcW w:w="760" w:type="dxa"/>
            <w:vAlign w:val="bottom"/>
            <w:shd w:val="clear" w:color="auto" w:fill="D8D8D8"/>
          </w:tcPr>
          <w:p>
            <w:pPr>
              <w:spacing w:after="0"/>
              <w:rPr>
                <w:sz w:val="24"/>
                <w:szCs w:val="24"/>
                <w:color w:val="auto"/>
              </w:rPr>
            </w:pPr>
          </w:p>
        </w:tc>
        <w:tc>
          <w:tcPr>
            <w:tcW w:w="1620" w:type="dxa"/>
            <w:vAlign w:val="bottom"/>
            <w:gridSpan w:val="2"/>
            <w:shd w:val="clear" w:color="auto" w:fill="D8D8D8"/>
          </w:tcPr>
          <w:p>
            <w:pPr>
              <w:jc w:val="right"/>
              <w:ind w:right="780"/>
              <w:spacing w:after="0"/>
              <w:rPr>
                <w:sz w:val="20"/>
                <w:szCs w:val="20"/>
                <w:color w:val="auto"/>
              </w:rPr>
            </w:pPr>
            <w:r>
              <w:rPr>
                <w:rFonts w:ascii="Arial" w:cs="Arial" w:eastAsia="Arial" w:hAnsi="Arial"/>
                <w:sz w:val="18"/>
                <w:szCs w:val="18"/>
                <w:color w:val="auto"/>
              </w:rPr>
              <w:t>50</w:t>
            </w:r>
          </w:p>
        </w:tc>
        <w:tc>
          <w:tcPr>
            <w:tcW w:w="580" w:type="dxa"/>
            <w:vAlign w:val="bottom"/>
            <w:shd w:val="clear" w:color="auto" w:fill="D8D8D8"/>
          </w:tcPr>
          <w:p>
            <w:pPr>
              <w:ind w:left="180"/>
              <w:spacing w:after="0"/>
              <w:rPr>
                <w:sz w:val="20"/>
                <w:szCs w:val="20"/>
                <w:color w:val="auto"/>
              </w:rPr>
            </w:pPr>
            <w:r>
              <w:rPr>
                <w:rFonts w:ascii="Arial" w:cs="Arial" w:eastAsia="Arial" w:hAnsi="Arial"/>
                <w:sz w:val="18"/>
                <w:szCs w:val="18"/>
                <w:color w:val="auto"/>
                <w:w w:val="84"/>
              </w:rPr>
              <w:t>42.50</w:t>
            </w:r>
          </w:p>
        </w:tc>
        <w:tc>
          <w:tcPr>
            <w:tcW w:w="76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D8D8D8"/>
          </w:tcPr>
          <w:p>
            <w:pPr>
              <w:spacing w:after="0"/>
              <w:rPr>
                <w:sz w:val="24"/>
                <w:szCs w:val="24"/>
                <w:color w:val="auto"/>
              </w:rPr>
            </w:pPr>
          </w:p>
        </w:tc>
        <w:tc>
          <w:tcPr>
            <w:tcW w:w="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43.00</w:t>
            </w:r>
          </w:p>
        </w:tc>
        <w:tc>
          <w:tcPr>
            <w:tcW w:w="780" w:type="dxa"/>
            <w:vAlign w:val="bottom"/>
            <w:shd w:val="clear" w:color="auto" w:fill="D8D8D8"/>
          </w:tcPr>
          <w:p>
            <w:pPr>
              <w:spacing w:after="0"/>
              <w:rPr>
                <w:sz w:val="24"/>
                <w:szCs w:val="2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85.50</w:t>
            </w:r>
          </w:p>
        </w:tc>
        <w:tc>
          <w:tcPr>
            <w:tcW w:w="100" w:type="dxa"/>
            <w:vAlign w:val="bottom"/>
            <w:shd w:val="clear" w:color="auto" w:fill="D8D8D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hanging="451"/>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Equals the sum of both the financial half and the personal half of the annual cash incentive achieved, expressed as a percentage of base salary.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Compensation—Stock Options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Stock options are designed to give named executive officers and other high-value employees a longer-term stake in the Company, provide incentives for future performance, act as a long-term retention tool and align employee and stockholder interests over the longer term. Schlumberger for 2012 continued its use of stock options as its primary long-term incentive for executive officers as it believes that they best align employee incentives with stockholder interests. Since a financial gain from stock options is possible only after the price of the Company’s common stock has increased, the Company believes that grants of stock options motivate executives and other employees toward behavior that benefits all stockholders.</w:t>
      </w:r>
    </w:p>
    <w:p>
      <w:pPr>
        <w:spacing w:after="0" w:line="35"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Compensation Committee grants stock options to reward past performance but also to retain executive officers and to provide incentives for future exceptional performance. The value of a stock option grant increases with the level of position, and for the CEO and other named executive officers is typically the largest element of the total compensation package. In determining the value of grants of stock options to be made to executive officers, the Compensation Committee (in the case of the CEO’s grant) and the CEO (in the case of recommendations for grants for the other NEOs), consider numerous factors, including:</w:t>
      </w:r>
    </w:p>
    <w:p>
      <w:pPr>
        <w:spacing w:after="0" w:line="17"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total direct compensation for comparable positions in the comparator groups;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an executive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retention;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Once the dollar value of the stock option grant for a named executive officer has been determined based on the above factors, it is converted into a number of stock options on an estimated fair value basis on the date of the Compensation Committee meeting using the Black-Scholes formula.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tables below detail the approximate grant date fair value and number of stock options granted in 2012 to the named executive officers. The approximate grant date fair value of each grant was used by the Compensation Committee to determine the number of options granted. The actual grant date fair value of each grant, computed in accordance with applicable accounting standards, is disclosed in the Grants of Plan-Based Awards For Fiscal Year 2012 table below.</w:t>
      </w:r>
    </w:p>
    <w:p>
      <w:pPr>
        <w:spacing w:after="0" w:line="6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values given to equity compensation awards by the Compensation Committee are approximate grant date accounting values only, and the actual value that may be realized by an NEO depends on the NEO’s continued service and Schlumberger’s future stock price performance.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 in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2012 Stock Option Grants.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Approximate Fair</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gridSpan w:val="2"/>
            <w:vMerge w:val="continue"/>
          </w:tcPr>
          <w:p>
            <w:pPr>
              <w:spacing w:after="0"/>
              <w:rPr>
                <w:sz w:val="14"/>
                <w:szCs w:val="14"/>
                <w:color w:val="auto"/>
              </w:rPr>
            </w:pPr>
          </w:p>
        </w:tc>
        <w:tc>
          <w:tcPr>
            <w:tcW w:w="3060" w:type="dxa"/>
            <w:vAlign w:val="bottom"/>
            <w:gridSpan w:val="3"/>
          </w:tcPr>
          <w:p>
            <w:pPr>
              <w:ind w:left="100"/>
              <w:spacing w:after="0"/>
              <w:rPr>
                <w:sz w:val="20"/>
                <w:szCs w:val="20"/>
                <w:color w:val="auto"/>
              </w:rPr>
            </w:pPr>
            <w:r>
              <w:rPr>
                <w:rFonts w:ascii="Arial" w:cs="Arial" w:eastAsia="Arial" w:hAnsi="Arial"/>
                <w:sz w:val="14"/>
                <w:szCs w:val="14"/>
                <w:b w:val="1"/>
                <w:bCs w:val="1"/>
                <w:color w:val="auto"/>
              </w:rPr>
              <w:t>Value of Grant</w:t>
            </w:r>
          </w:p>
        </w:tc>
        <w:tc>
          <w:tcPr>
            <w:tcW w:w="1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Number of Options Granted</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1100" w:type="dxa"/>
            <w:vAlign w:val="bottom"/>
            <w:tcBorders>
              <w:top w:val="single" w:sz="8" w:color="D8D8D8"/>
            </w:tcBorders>
            <w:shd w:val="clear" w:color="auto" w:fill="D8D8D8"/>
          </w:tcPr>
          <w:p>
            <w:pPr>
              <w:spacing w:after="0"/>
              <w:rPr>
                <w:sz w:val="18"/>
                <w:szCs w:val="18"/>
                <w:color w:val="auto"/>
              </w:rPr>
            </w:pPr>
          </w:p>
        </w:tc>
        <w:tc>
          <w:tcPr>
            <w:tcW w:w="220" w:type="dxa"/>
            <w:vAlign w:val="bottom"/>
            <w:tcBorders>
              <w:top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88"/>
              </w:rPr>
              <w:t>11,000,000</w:t>
            </w:r>
          </w:p>
        </w:tc>
        <w:tc>
          <w:tcPr>
            <w:tcW w:w="2020" w:type="dxa"/>
            <w:vAlign w:val="bottom"/>
            <w:tcBorders>
              <w:top w:val="single" w:sz="8" w:color="D8D8D8"/>
            </w:tcBorders>
            <w:shd w:val="clear" w:color="auto" w:fill="D8D8D8"/>
          </w:tcPr>
          <w:p>
            <w:pPr>
              <w:spacing w:after="0"/>
              <w:rPr>
                <w:sz w:val="18"/>
                <w:szCs w:val="18"/>
                <w:color w:val="auto"/>
              </w:rPr>
            </w:pPr>
          </w:p>
        </w:tc>
        <w:tc>
          <w:tcPr>
            <w:tcW w:w="1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429,000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840" w:type="dxa"/>
            <w:vAlign w:val="bottom"/>
            <w:gridSpan w:val="2"/>
          </w:tcPr>
          <w:p>
            <w:pPr>
              <w:jc w:val="right"/>
              <w:ind w:right="2020"/>
              <w:spacing w:after="0"/>
              <w:rPr>
                <w:sz w:val="20"/>
                <w:szCs w:val="20"/>
                <w:color w:val="auto"/>
              </w:rPr>
            </w:pPr>
            <w:r>
              <w:rPr>
                <w:rFonts w:ascii="Arial" w:cs="Arial" w:eastAsia="Arial" w:hAnsi="Arial"/>
                <w:sz w:val="18"/>
                <w:szCs w:val="18"/>
                <w:color w:val="auto"/>
                <w:w w:val="99"/>
              </w:rPr>
              <w:t>3,500,000</w:t>
            </w:r>
          </w:p>
        </w:tc>
        <w:tc>
          <w:tcPr>
            <w:tcW w:w="1640" w:type="dxa"/>
            <w:vAlign w:val="bottom"/>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Pai</w:t>
            </w:r>
          </w:p>
        </w:tc>
        <w:tc>
          <w:tcPr>
            <w:tcW w:w="220" w:type="dxa"/>
            <w:vAlign w:val="bottom"/>
            <w:shd w:val="clear" w:color="auto" w:fill="D8D8D8"/>
          </w:tcPr>
          <w:p>
            <w:pPr>
              <w:ind w:left="80"/>
              <w:spacing w:after="0"/>
              <w:rPr>
                <w:sz w:val="20"/>
                <w:szCs w:val="20"/>
                <w:color w:val="auto"/>
              </w:rPr>
            </w:pPr>
            <w:r>
              <w:rPr>
                <w:rFonts w:ascii="Arial" w:cs="Arial" w:eastAsia="Arial" w:hAnsi="Arial"/>
                <w:sz w:val="18"/>
                <w:szCs w:val="18"/>
                <w:color w:val="auto"/>
              </w:rPr>
              <w:t>$</w:t>
            </w:r>
          </w:p>
        </w:tc>
        <w:tc>
          <w:tcPr>
            <w:tcW w:w="2840" w:type="dxa"/>
            <w:vAlign w:val="bottom"/>
            <w:gridSpan w:val="2"/>
            <w:shd w:val="clear" w:color="auto" w:fill="D8D8D8"/>
          </w:tcPr>
          <w:p>
            <w:pPr>
              <w:jc w:val="right"/>
              <w:ind w:right="2020"/>
              <w:spacing w:after="0"/>
              <w:rPr>
                <w:sz w:val="20"/>
                <w:szCs w:val="20"/>
                <w:color w:val="auto"/>
              </w:rPr>
            </w:pPr>
            <w:r>
              <w:rPr>
                <w:rFonts w:ascii="Arial" w:cs="Arial" w:eastAsia="Arial" w:hAnsi="Arial"/>
                <w:sz w:val="18"/>
                <w:szCs w:val="18"/>
                <w:color w:val="auto"/>
                <w:w w:val="99"/>
              </w:rPr>
              <w:t>3,500,000</w:t>
            </w:r>
          </w:p>
        </w:tc>
        <w:tc>
          <w:tcPr>
            <w:tcW w:w="1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K.-E. Oestdahl</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840" w:type="dxa"/>
            <w:vAlign w:val="bottom"/>
            <w:gridSpan w:val="2"/>
          </w:tcPr>
          <w:p>
            <w:pPr>
              <w:jc w:val="right"/>
              <w:ind w:right="2020"/>
              <w:spacing w:after="0"/>
              <w:rPr>
                <w:sz w:val="20"/>
                <w:szCs w:val="20"/>
                <w:color w:val="auto"/>
              </w:rPr>
            </w:pPr>
            <w:r>
              <w:rPr>
                <w:rFonts w:ascii="Arial" w:cs="Arial" w:eastAsia="Arial" w:hAnsi="Arial"/>
                <w:sz w:val="18"/>
                <w:szCs w:val="18"/>
                <w:color w:val="auto"/>
                <w:w w:val="99"/>
              </w:rPr>
              <w:t>3,500,000</w:t>
            </w:r>
          </w:p>
        </w:tc>
        <w:tc>
          <w:tcPr>
            <w:tcW w:w="1640" w:type="dxa"/>
            <w:vAlign w:val="bottom"/>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 Belani</w:t>
            </w:r>
          </w:p>
        </w:tc>
        <w:tc>
          <w:tcPr>
            <w:tcW w:w="220" w:type="dxa"/>
            <w:vAlign w:val="bottom"/>
            <w:shd w:val="clear" w:color="auto" w:fill="D8D8D8"/>
          </w:tcPr>
          <w:p>
            <w:pPr>
              <w:ind w:left="80"/>
              <w:spacing w:after="0"/>
              <w:rPr>
                <w:sz w:val="20"/>
                <w:szCs w:val="20"/>
                <w:color w:val="auto"/>
              </w:rPr>
            </w:pPr>
            <w:r>
              <w:rPr>
                <w:rFonts w:ascii="Arial" w:cs="Arial" w:eastAsia="Arial" w:hAnsi="Arial"/>
                <w:sz w:val="18"/>
                <w:szCs w:val="18"/>
                <w:color w:val="auto"/>
              </w:rPr>
              <w:t>$</w:t>
            </w:r>
          </w:p>
        </w:tc>
        <w:tc>
          <w:tcPr>
            <w:tcW w:w="2840" w:type="dxa"/>
            <w:vAlign w:val="bottom"/>
            <w:gridSpan w:val="2"/>
            <w:shd w:val="clear" w:color="auto" w:fill="D8D8D8"/>
          </w:tcPr>
          <w:p>
            <w:pPr>
              <w:jc w:val="right"/>
              <w:ind w:right="2020"/>
              <w:spacing w:after="0"/>
              <w:rPr>
                <w:sz w:val="20"/>
                <w:szCs w:val="20"/>
                <w:color w:val="auto"/>
              </w:rPr>
            </w:pPr>
            <w:r>
              <w:rPr>
                <w:rFonts w:ascii="Arial" w:cs="Arial" w:eastAsia="Arial" w:hAnsi="Arial"/>
                <w:sz w:val="18"/>
                <w:szCs w:val="18"/>
                <w:color w:val="auto"/>
                <w:w w:val="99"/>
              </w:rPr>
              <w:t>3,250,000</w:t>
            </w:r>
          </w:p>
        </w:tc>
        <w:tc>
          <w:tcPr>
            <w:tcW w:w="1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127,000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Compensation Committee in January 2012 approved these awards based on review of comparative peer groups data presented to the Committee. The Compensation Committee’s decisions also took into account internal pay equity among the NEOs.</w:t>
      </w:r>
    </w:p>
    <w:p>
      <w:pPr>
        <w:spacing w:after="0" w:line="51" w:lineRule="exact"/>
        <w:rPr>
          <w:sz w:val="20"/>
          <w:szCs w:val="20"/>
          <w:color w:val="auto"/>
        </w:rPr>
      </w:pPr>
    </w:p>
    <w:p>
      <w:pPr>
        <w:ind w:left="780" w:hanging="326"/>
        <w:spacing w:after="0" w:line="357" w:lineRule="auto"/>
        <w:tabs>
          <w:tab w:leader="none" w:pos="7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to Mr. Kibsgaard, $11,000,000 in stock options, which was at the 75th percentile of the oil industry peer group and between the 50</w:t>
      </w:r>
      <w:r>
        <w:rPr>
          <w:rFonts w:ascii="Arial" w:cs="Arial" w:eastAsia="Arial" w:hAnsi="Arial"/>
          <w:sz w:val="10"/>
          <w:szCs w:val="10"/>
          <w:color w:val="auto"/>
        </w:rPr>
        <w:t>th</w:t>
      </w:r>
      <w:r>
        <w:rPr>
          <w:rFonts w:ascii="Arial" w:cs="Arial" w:eastAsia="Arial" w:hAnsi="Arial"/>
          <w:sz w:val="15"/>
          <w:szCs w:val="15"/>
          <w:color w:val="auto"/>
        </w:rPr>
        <w:t xml:space="preserve"> and 75th percentiles of the general industry peer group. This stock option grant was recommended by the Compensation Committee and approved by the Board;</w:t>
      </w: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Mr. Ayat, $3,500,000 in stock options, which was near the 75th percentile of both the oil industry peer group and the general industry peer group;</w:t>
      </w:r>
    </w:p>
    <w:p>
      <w:pPr>
        <w:spacing w:after="0" w:line="113"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Mr. Pai, $3,500,000 in stock options, which was between the 50th and 75th percentiles of the oil industry peer group and near the 75th percentile of the general industry peer group;</w:t>
      </w:r>
    </w:p>
    <w:p>
      <w:pPr>
        <w:spacing w:after="0" w:line="50"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Mr. Oestdahl, $3,500,000 in stock options, which was between the 50th and 75th percentiles of the oil industry peer group and near the 75th percentile of the general industry peer group; and</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Mr. Belani, $3,250,000 in stock options, which was above the 75th percentile of the general industry peer group (there being insufficient data for comparison with the oil industry peer group).</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other awards of stock options to the NEOs in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Granting Process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Compensation Committee is responsible for granting options under Schlumberger’s stock option and incentive plans. The Committee approves a preliminary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3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regular Board of Directors and Compensation Committee meeting schedule is set at least a year in advance with Board meetings held quarterly, generally on the third or fourth Thursday of January, April, July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stock option grant decisions are made,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w:t>
      </w:r>
    </w:p>
    <w:p>
      <w:pPr>
        <w:spacing w:after="0" w:line="66"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The exercise price for all stock options granted to executive officers and other employees is the average of the high and low trading price of the Schlumberger common stock on the NYSE on the date of grant, which has been Schlumberger’s practice for many years.</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 options generally have five-year ratable vesting, except for those granted to employees in France, which have four-year cliff vesting (meaning that all options vest at a single point in time). The Board and the Compensation Committee have the discretion to grant stock options with different vesting schedules as they deem necessary.</w:t>
      </w:r>
    </w:p>
    <w:p>
      <w:pPr>
        <w:spacing w:after="0" w:line="140" w:lineRule="exact"/>
        <w:rPr>
          <w:sz w:val="20"/>
          <w:szCs w:val="20"/>
          <w:color w:val="auto"/>
        </w:rPr>
      </w:pPr>
    </w:p>
    <w:p>
      <w:pPr>
        <w:jc w:val="center"/>
        <w:ind w:right="6000"/>
        <w:spacing w:after="0"/>
        <w:rPr>
          <w:sz w:val="20"/>
          <w:szCs w:val="20"/>
          <w:color w:val="auto"/>
        </w:rPr>
      </w:pPr>
      <w:r>
        <w:rPr>
          <w:rFonts w:ascii="Arial" w:cs="Arial" w:eastAsia="Arial" w:hAnsi="Arial"/>
          <w:sz w:val="15"/>
          <w:szCs w:val="15"/>
          <w:b w:val="1"/>
          <w:bCs w:val="1"/>
          <w:i w:val="1"/>
          <w:iCs w:val="1"/>
          <w:color w:val="auto"/>
        </w:rPr>
        <w:t>Important Factors in Understanding Schlumberger’s Use of Stock Options</w:t>
      </w:r>
    </w:p>
    <w:p>
      <w:pPr>
        <w:spacing w:after="0" w:line="206" w:lineRule="exact"/>
        <w:rPr>
          <w:sz w:val="20"/>
          <w:szCs w:val="20"/>
          <w:color w:val="auto"/>
        </w:rPr>
      </w:pPr>
    </w:p>
    <w:p>
      <w:pPr>
        <w:jc w:val="center"/>
        <w:ind w:right="602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90"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Compensation Committee and management believe strongly in linking executive long-term rewards to stockholder value. In the second half of 2011, the Company reviewed its executive stock ownership guidelines in light of current practice and to further strengthen corporate governance. As a result, the Board of Directors, upon recommendation of the Nominating and Governance Committee and the Compensation Committee, adopted revised executive stock ownership guidelines applicable to executive officers and other key position holders.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2011 review, senior executives are required to hold the numbers of shares equal to the multiple of base salary set forth below.</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768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Stock Ownership Multiple</w:t>
            </w:r>
          </w:p>
        </w:tc>
      </w:tr>
      <w:tr>
        <w:trPr>
          <w:trHeight w:val="203"/>
        </w:trPr>
        <w:tc>
          <w:tcPr>
            <w:tcW w:w="7960" w:type="dxa"/>
            <w:vAlign w:val="bottom"/>
            <w:tcBorders>
              <w:top w:val="single" w:sz="8" w:color="D8D8D8"/>
            </w:tcBorders>
            <w:gridSpan w:val="2"/>
            <w:shd w:val="clear" w:color="auto" w:fill="D8D8D8"/>
          </w:tcPr>
          <w:p>
            <w:pPr>
              <w:spacing w:after="0" w:line="202" w:lineRule="exact"/>
              <w:rPr>
                <w:sz w:val="20"/>
                <w:szCs w:val="20"/>
                <w:color w:val="auto"/>
              </w:rPr>
            </w:pPr>
            <w:r>
              <w:rPr>
                <w:rFonts w:ascii="Arial" w:cs="Arial" w:eastAsia="Arial" w:hAnsi="Arial"/>
                <w:sz w:val="18"/>
                <w:szCs w:val="18"/>
                <w:color w:val="auto"/>
              </w:rPr>
              <w:t>Chief Executive Officer</w:t>
            </w:r>
          </w:p>
        </w:tc>
        <w:tc>
          <w:tcPr>
            <w:tcW w:w="1520" w:type="dxa"/>
            <w:vAlign w:val="bottom"/>
            <w:tcBorders>
              <w:top w:val="single" w:sz="8" w:color="auto"/>
            </w:tcBorders>
            <w:shd w:val="clear" w:color="auto" w:fill="D8D8D8"/>
          </w:tcPr>
          <w:p>
            <w:pPr>
              <w:jc w:val="right"/>
              <w:spacing w:after="0" w:line="203" w:lineRule="exact"/>
              <w:rPr>
                <w:sz w:val="20"/>
                <w:szCs w:val="20"/>
                <w:color w:val="auto"/>
              </w:rPr>
            </w:pPr>
            <w:r>
              <w:rPr>
                <w:rFonts w:ascii="Arial" w:cs="Arial" w:eastAsia="Arial" w:hAnsi="Arial"/>
                <w:sz w:val="18"/>
                <w:szCs w:val="18"/>
                <w:color w:val="auto"/>
              </w:rPr>
              <w:t>6x base salary</w:t>
            </w:r>
          </w:p>
        </w:tc>
        <w:tc>
          <w:tcPr>
            <w:tcW w:w="100" w:type="dxa"/>
            <w:vAlign w:val="bottom"/>
            <w:tcBorders>
              <w:top w:val="single" w:sz="8" w:color="D8D8D8"/>
            </w:tcBorders>
            <w:shd w:val="clear" w:color="auto" w:fill="D8D8D8"/>
          </w:tcPr>
          <w:p>
            <w:pPr>
              <w:spacing w:after="0"/>
              <w:rPr>
                <w:sz w:val="17"/>
                <w:szCs w:val="17"/>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3x base salary</w:t>
            </w:r>
          </w:p>
        </w:tc>
      </w:tr>
      <w:tr>
        <w:trPr>
          <w:trHeight w:val="216"/>
        </w:trPr>
        <w:tc>
          <w:tcPr>
            <w:tcW w:w="79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Executive Officers (non-EVP)</w:t>
            </w:r>
          </w:p>
        </w:tc>
        <w:tc>
          <w:tcPr>
            <w:tcW w:w="16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2x base salary</w:t>
            </w:r>
          </w:p>
        </w:tc>
      </w:tr>
      <w:tr>
        <w:trPr>
          <w:trHeight w:val="222"/>
        </w:trPr>
        <w:tc>
          <w:tcPr>
            <w:tcW w:w="796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1x base salary</w:t>
            </w:r>
          </w:p>
        </w:tc>
      </w:tr>
    </w:tbl>
    <w:p>
      <w:pPr>
        <w:spacing w:after="0" w:line="6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All executives subject to the revised guidelines must retain 50% of net shares acquired upon the exercise of stock options, after payment of applicable taxes, until they achieve the required ownership level. The guidelines provide that executives have five years to comply with the ownership requirements. After the 5-year period, executives who have not met their minimum stock ownership requirement must retain 100% of the net shares acquired upon stock option exercises and any RSU vesting until they achieve their required ownership level.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Prohibition on Speculation in Schlumberger Stock</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Schlumberger’s insider trading policy prohibits executives from speculating in the Company’s stock, which includes, but is not limited to, short selling; buying or selling publicly-traded options, including writing covered calls; pledging; and hedging or any other type of derivative arrangement that has a similar economic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59"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Practices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a practice of phased retirement which, at the discretion of the Company, may be offered to executive officers (other than the CEO) who are approaching retirement.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Benefits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Schlumberger provides only minimum perquisites to its executive officers, which (as to the named executive officers) have been identified in the narrative notes to the Summary Compensation Table. The same perquisites are generally available to all professional-level employees. For example, relocation assistance is provided to employees based on a Company-wide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Employment Agreements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Schlumberger does not have employment, severance or change-in-control agreements for any of its executive officers, except for those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of Performance-Based Cash Awards</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“Say-on-Pay” Advisory Vote to Approve Executive Compensation</w:t>
      </w:r>
    </w:p>
    <w:p>
      <w:pPr>
        <w:spacing w:after="0" w:line="1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Schlumberger provided stockholders a “say-on-pay” advisory vote to approve its executive compensation in April 2012 under recently adopted rules. At Schlumberger’s 2012 annual general meeting of stockholders, stockholders expressed substantial support for the compensation of its NEOs, with approximately 98% of the votes cast for approval of the “say-on-pay” advisory vote. The Compensation Committee carefully evaluated the results of the 2012 annual advisory “say-on-pay” vote at its April meeting. The Compensation Committee also considers numerous other factors in evaluating Schlumberger’s executive compensation program as discussed in this CD&amp;A. While each of these factors informed the Committee’s decisions regarding the NEOs’ compensation, the Compensation Committee did not implement changes to our executive compensation program as a result of the stockholder advisory vote.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Accounting and Tax Treatment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71"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fair value of each stock option award is estimated on the date of grant using the Black-Scholes option pricing model in accordance with applicable accounting standards. Once the fair value of each award is determined, it is expensed in the Company’s income statement ratably over the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Schlumberger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covered employee. The Company’s stock option plans are intended to provide qualified performance-based compensation for purposes of Section 162(m) and are not expected to be subject to the $1 million limitation. The Compensation Committee believes that the lost deduction on cash compensation payable in excess of the $1 million limitation for the named executive officers is not material relative to the benefit of being able to adjust incentives as determined appropriate under a plan that is not subject to the conditions of Section 162(m). Section 409A of the Internal Revenue Code requires that “deferred compensation” either comply with certain deferral election and payment rules or be subject to a 20% additional tax. The Company’s compensation programs and awards are designed to make them exempt from or compliant with Section 409A.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220"/>
          </w:cols>
          <w:pgMar w:left="240" w:top="459" w:right="439" w:bottom="1440" w:gutter="0" w:footer="0" w:header="0"/>
        </w:sectPr>
      </w:pP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Michael E. Marks, Chair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Lubna S. Olayan</w:t>
      </w:r>
    </w:p>
    <w:p>
      <w:pPr>
        <w:spacing w:after="0" w:line="185" w:lineRule="exact"/>
        <w:rPr>
          <w:sz w:val="20"/>
          <w:szCs w:val="20"/>
          <w:color w:val="auto"/>
        </w:rPr>
      </w:pPr>
    </w:p>
    <w:p>
      <w:pPr>
        <w:sectPr>
          <w:pgSz w:w="11900" w:h="16838" w:orient="portrait"/>
          <w:cols w:equalWidth="0" w:num="2">
            <w:col w:w="6300" w:space="720"/>
            <w:col w:w="420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24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 AND ACCOMPANYING NARRATIVE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Summary Compensation Table</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2012 to the Chief Executive Officer, the Chief Financial Officer and the next three most highly compensated executive officers as of December 31, 2012 (collectively, the “named executive officers” or the “NEOs”).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Change in</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Pension Value &amp;</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Non-Equity</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Deferred</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All 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Bonus</w:t>
            </w:r>
          </w:p>
        </w:tc>
        <w:tc>
          <w:tcPr>
            <w:tcW w:w="6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1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Year</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Salary ($)</w:t>
            </w:r>
          </w:p>
        </w:tc>
        <w:tc>
          <w:tcPr>
            <w:tcW w:w="3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(5)</w:t>
            </w:r>
          </w:p>
        </w:tc>
        <w:tc>
          <w:tcPr>
            <w:tcW w:w="2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(6)</w:t>
            </w:r>
          </w:p>
        </w:tc>
        <w:tc>
          <w:tcPr>
            <w:tcW w:w="20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(5)</w:t>
            </w:r>
          </w:p>
        </w:tc>
        <w:tc>
          <w:tcPr>
            <w:tcW w:w="180" w:type="dxa"/>
            <w:vAlign w:val="bottom"/>
          </w:tcPr>
          <w:p>
            <w:pPr>
              <w:spacing w:after="0"/>
              <w:rPr>
                <w:sz w:val="15"/>
                <w:szCs w:val="15"/>
                <w:color w:val="auto"/>
              </w:rPr>
            </w:pPr>
          </w:p>
        </w:tc>
        <w:tc>
          <w:tcPr>
            <w:tcW w:w="114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1"/>
              </w:rPr>
              <w:t xml:space="preserve">Earnings </w:t>
            </w: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w:t>
            </w:r>
            <w:r>
              <w:rPr>
                <w:rFonts w:ascii="Arial" w:cs="Arial" w:eastAsia="Arial" w:hAnsi="Arial"/>
                <w:sz w:val="20"/>
                <w:szCs w:val="20"/>
                <w:b w:val="1"/>
                <w:bCs w:val="1"/>
                <w:color w:val="auto"/>
                <w:w w:val="91"/>
                <w:vertAlign w:val="superscript"/>
              </w:rPr>
              <w:t>(7)</w:t>
            </w:r>
          </w:p>
        </w:tc>
        <w:tc>
          <w:tcPr>
            <w:tcW w:w="10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(8)</w:t>
            </w:r>
          </w:p>
        </w:tc>
        <w:tc>
          <w:tcPr>
            <w:tcW w:w="18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r>
              <w:rPr>
                <w:rFonts w:ascii="Arial" w:cs="Arial" w:eastAsia="Arial" w:hAnsi="Arial"/>
                <w:sz w:val="11"/>
                <w:szCs w:val="11"/>
                <w:color w:val="auto"/>
              </w:rPr>
              <w:t>(1)</w:t>
            </w:r>
          </w:p>
        </w:tc>
        <w:tc>
          <w:tcPr>
            <w:tcW w:w="200" w:type="dxa"/>
            <w:vAlign w:val="bottom"/>
            <w:tcBorders>
              <w:top w:val="single" w:sz="8" w:color="D8D8D8"/>
            </w:tcBorders>
            <w:shd w:val="clear" w:color="auto" w:fill="D8D8D8"/>
          </w:tcPr>
          <w:p>
            <w:pPr>
              <w:spacing w:after="0"/>
              <w:rPr>
                <w:sz w:val="18"/>
                <w:szCs w:val="18"/>
                <w:color w:val="auto"/>
              </w:rPr>
            </w:pPr>
          </w:p>
        </w:tc>
        <w:tc>
          <w:tcPr>
            <w:tcW w:w="4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4"/>
              </w:rPr>
              <w:t>2012</w:t>
            </w:r>
          </w:p>
        </w:tc>
        <w:tc>
          <w:tcPr>
            <w:tcW w:w="200" w:type="dxa"/>
            <w:vAlign w:val="bottom"/>
            <w:tcBorders>
              <w:top w:val="single" w:sz="8" w:color="D8D8D8"/>
            </w:tcBorders>
            <w:shd w:val="clear" w:color="auto" w:fill="D8D8D8"/>
          </w:tcPr>
          <w:p>
            <w:pPr>
              <w:spacing w:after="0"/>
              <w:rPr>
                <w:sz w:val="18"/>
                <w:szCs w:val="18"/>
                <w:color w:val="auto"/>
              </w:rPr>
            </w:pPr>
          </w:p>
        </w:tc>
        <w:tc>
          <w:tcPr>
            <w:tcW w:w="7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2"/>
              </w:rPr>
              <w:t>1,700,000</w:t>
            </w:r>
          </w:p>
        </w:tc>
        <w:tc>
          <w:tcPr>
            <w:tcW w:w="300" w:type="dxa"/>
            <w:vAlign w:val="bottom"/>
            <w:tcBorders>
              <w:top w:val="single" w:sz="8" w:color="D8D8D8"/>
            </w:tcBorders>
            <w:shd w:val="clear" w:color="auto" w:fill="D8D8D8"/>
          </w:tcPr>
          <w:p>
            <w:pPr>
              <w:spacing w:after="0"/>
              <w:rPr>
                <w:sz w:val="18"/>
                <w:szCs w:val="18"/>
                <w:color w:val="auto"/>
              </w:rPr>
            </w:pPr>
          </w:p>
        </w:tc>
        <w:tc>
          <w:tcPr>
            <w:tcW w:w="36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D8D8D8"/>
            </w:tcBorders>
            <w:shd w:val="clear" w:color="auto" w:fill="D8D8D8"/>
          </w:tcPr>
          <w:p>
            <w:pPr>
              <w:spacing w:after="0"/>
              <w:rPr>
                <w:sz w:val="18"/>
                <w:szCs w:val="18"/>
                <w:color w:val="auto"/>
              </w:rPr>
            </w:pPr>
          </w:p>
        </w:tc>
        <w:tc>
          <w:tcPr>
            <w:tcW w:w="44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86"/>
              </w:rPr>
              <w:t>10,879,440</w:t>
            </w:r>
          </w:p>
        </w:tc>
        <w:tc>
          <w:tcPr>
            <w:tcW w:w="20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2"/>
              </w:rPr>
              <w:t>2,295,000</w:t>
            </w:r>
          </w:p>
        </w:tc>
        <w:tc>
          <w:tcPr>
            <w:tcW w:w="180" w:type="dxa"/>
            <w:vAlign w:val="bottom"/>
            <w:tcBorders>
              <w:top w:val="single" w:sz="8" w:color="D8D8D8"/>
            </w:tcBorders>
            <w:shd w:val="clear" w:color="auto" w:fill="D8D8D8"/>
          </w:tcPr>
          <w:p>
            <w:pPr>
              <w:spacing w:after="0"/>
              <w:rPr>
                <w:sz w:val="18"/>
                <w:szCs w:val="18"/>
                <w:color w:val="auto"/>
              </w:rPr>
            </w:pPr>
          </w:p>
        </w:tc>
        <w:tc>
          <w:tcPr>
            <w:tcW w:w="960" w:type="dxa"/>
            <w:vAlign w:val="bottom"/>
            <w:tcBorders>
              <w:top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831,932</w:t>
            </w:r>
          </w:p>
        </w:tc>
        <w:tc>
          <w:tcPr>
            <w:tcW w:w="180" w:type="dxa"/>
            <w:vAlign w:val="bottom"/>
            <w:tcBorders>
              <w:top w:val="single" w:sz="8" w:color="D8D8D8"/>
            </w:tcBorders>
            <w:shd w:val="clear" w:color="auto" w:fill="D8D8D8"/>
          </w:tcPr>
          <w:p>
            <w:pPr>
              <w:spacing w:after="0"/>
              <w:rPr>
                <w:sz w:val="18"/>
                <w:szCs w:val="18"/>
                <w:color w:val="auto"/>
              </w:rPr>
            </w:pPr>
          </w:p>
        </w:tc>
        <w:tc>
          <w:tcPr>
            <w:tcW w:w="1000" w:type="dxa"/>
            <w:vAlign w:val="bottom"/>
            <w:tcBorders>
              <w:top w:val="single" w:sz="8" w:color="auto"/>
            </w:tcBorders>
            <w:shd w:val="clear" w:color="auto" w:fill="D8D8D8"/>
          </w:tcPr>
          <w:p>
            <w:pPr>
              <w:jc w:val="right"/>
              <w:ind w:right="36"/>
              <w:spacing w:after="0"/>
              <w:rPr>
                <w:sz w:val="20"/>
                <w:szCs w:val="20"/>
                <w:color w:val="auto"/>
              </w:rPr>
            </w:pPr>
            <w:r>
              <w:rPr>
                <w:rFonts w:ascii="Arial" w:cs="Arial" w:eastAsia="Arial" w:hAnsi="Arial"/>
                <w:sz w:val="18"/>
                <w:szCs w:val="18"/>
                <w:color w:val="auto"/>
              </w:rPr>
              <w:t>104,283</w:t>
            </w:r>
            <w:r>
              <w:rPr>
                <w:rFonts w:ascii="Arial" w:cs="Arial" w:eastAsia="Arial" w:hAnsi="Arial"/>
                <w:sz w:val="11"/>
                <w:szCs w:val="11"/>
                <w:color w:val="auto"/>
              </w:rPr>
              <w:t>(9)</w:t>
            </w:r>
          </w:p>
        </w:tc>
        <w:tc>
          <w:tcPr>
            <w:tcW w:w="18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88"/>
              </w:rPr>
              <w:t>15,810,655</w:t>
            </w:r>
          </w:p>
        </w:tc>
        <w:tc>
          <w:tcPr>
            <w:tcW w:w="0" w:type="dxa"/>
            <w:vAlign w:val="bottom"/>
          </w:tcPr>
          <w:p>
            <w:pPr>
              <w:spacing w:after="0"/>
              <w:rPr>
                <w:sz w:val="1"/>
                <w:szCs w:val="1"/>
                <w:color w:val="auto"/>
              </w:rPr>
            </w:pPr>
          </w:p>
        </w:tc>
      </w:tr>
      <w:tr>
        <w:trPr>
          <w:trHeight w:val="216"/>
        </w:trPr>
        <w:tc>
          <w:tcPr>
            <w:tcW w:w="3240" w:type="dxa"/>
            <w:vAlign w:val="bottom"/>
            <w:shd w:val="clear" w:color="auto" w:fill="D8D8D8"/>
          </w:tcPr>
          <w:p>
            <w:pPr>
              <w:ind w:left="220"/>
              <w:spacing w:after="0"/>
              <w:rPr>
                <w:sz w:val="20"/>
                <w:szCs w:val="20"/>
                <w:color w:val="auto"/>
              </w:rPr>
            </w:pPr>
            <w:r>
              <w:rPr>
                <w:rFonts w:ascii="Arial" w:cs="Arial" w:eastAsia="Arial" w:hAnsi="Arial"/>
                <w:sz w:val="18"/>
                <w:szCs w:val="18"/>
                <w:color w:val="auto"/>
              </w:rPr>
              <w:t>Chief Executive</w:t>
            </w: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Arial" w:cs="Arial" w:eastAsia="Arial" w:hAnsi="Arial"/>
                <w:sz w:val="18"/>
                <w:szCs w:val="18"/>
                <w:color w:val="auto"/>
                <w:w w:val="94"/>
              </w:rPr>
              <w:t>2011</w:t>
            </w:r>
          </w:p>
        </w:tc>
        <w:tc>
          <w:tcPr>
            <w:tcW w:w="1060" w:type="dxa"/>
            <w:vAlign w:val="bottom"/>
            <w:gridSpan w:val="2"/>
            <w:shd w:val="clear" w:color="auto" w:fill="D8D8D8"/>
          </w:tcPr>
          <w:p>
            <w:pPr>
              <w:jc w:val="right"/>
              <w:ind w:right="300"/>
              <w:spacing w:after="0"/>
              <w:rPr>
                <w:sz w:val="20"/>
                <w:szCs w:val="20"/>
                <w:color w:val="auto"/>
              </w:rPr>
            </w:pPr>
            <w:r>
              <w:rPr>
                <w:rFonts w:ascii="Arial" w:cs="Arial" w:eastAsia="Arial" w:hAnsi="Arial"/>
                <w:sz w:val="18"/>
                <w:szCs w:val="18"/>
                <w:color w:val="auto"/>
                <w:w w:val="92"/>
              </w:rPr>
              <w:t>1,425,117</w:t>
            </w:r>
          </w:p>
        </w:tc>
        <w:tc>
          <w:tcPr>
            <w:tcW w:w="56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7"/>
              </w:rPr>
              <w:t>8,488,590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1,690,300</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381,835</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56"/>
              <w:spacing w:after="0"/>
              <w:rPr>
                <w:sz w:val="20"/>
                <w:szCs w:val="20"/>
                <w:color w:val="auto"/>
              </w:rPr>
            </w:pPr>
            <w:r>
              <w:rPr>
                <w:rFonts w:ascii="Arial" w:cs="Arial" w:eastAsia="Arial" w:hAnsi="Arial"/>
                <w:sz w:val="18"/>
                <w:szCs w:val="18"/>
                <w:color w:val="auto"/>
              </w:rPr>
              <w:t>251,992</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8"/>
              </w:rPr>
              <w:t>12,237,834</w:t>
            </w:r>
          </w:p>
        </w:tc>
        <w:tc>
          <w:tcPr>
            <w:tcW w:w="0" w:type="dxa"/>
            <w:vAlign w:val="bottom"/>
          </w:tcPr>
          <w:p>
            <w:pPr>
              <w:spacing w:after="0"/>
              <w:rPr>
                <w:sz w:val="1"/>
                <w:szCs w:val="1"/>
                <w:color w:val="auto"/>
              </w:rPr>
            </w:pPr>
          </w:p>
        </w:tc>
      </w:tr>
      <w:tr>
        <w:trPr>
          <w:trHeight w:val="216"/>
        </w:trPr>
        <w:tc>
          <w:tcPr>
            <w:tcW w:w="3240" w:type="dxa"/>
            <w:vAlign w:val="bottom"/>
            <w:shd w:val="clear" w:color="auto" w:fill="D8D8D8"/>
          </w:tcPr>
          <w:p>
            <w:pPr>
              <w:ind w:left="220"/>
              <w:spacing w:after="0"/>
              <w:rPr>
                <w:sz w:val="20"/>
                <w:szCs w:val="20"/>
                <w:color w:val="auto"/>
              </w:rPr>
            </w:pPr>
            <w:r>
              <w:rPr>
                <w:rFonts w:ascii="Arial" w:cs="Arial" w:eastAsia="Arial" w:hAnsi="Arial"/>
                <w:sz w:val="18"/>
                <w:szCs w:val="18"/>
                <w:color w:val="auto"/>
              </w:rPr>
              <w:t>Officer</w:t>
            </w: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Arial" w:cs="Arial" w:eastAsia="Arial" w:hAnsi="Arial"/>
                <w:sz w:val="18"/>
                <w:szCs w:val="18"/>
                <w:color w:val="auto"/>
                <w:w w:val="94"/>
              </w:rPr>
              <w:t>2010</w:t>
            </w:r>
          </w:p>
        </w:tc>
        <w:tc>
          <w:tcPr>
            <w:tcW w:w="1060" w:type="dxa"/>
            <w:vAlign w:val="bottom"/>
            <w:gridSpan w:val="2"/>
            <w:shd w:val="clear" w:color="auto" w:fill="D8D8D8"/>
          </w:tcPr>
          <w:p>
            <w:pPr>
              <w:jc w:val="right"/>
              <w:ind w:right="300"/>
              <w:spacing w:after="0"/>
              <w:rPr>
                <w:sz w:val="20"/>
                <w:szCs w:val="20"/>
                <w:color w:val="auto"/>
              </w:rPr>
            </w:pPr>
            <w:r>
              <w:rPr>
                <w:rFonts w:ascii="Arial" w:cs="Arial" w:eastAsia="Arial" w:hAnsi="Arial"/>
                <w:sz w:val="18"/>
                <w:szCs w:val="18"/>
                <w:color w:val="auto"/>
              </w:rPr>
              <w:t>979,416</w:t>
            </w:r>
          </w:p>
        </w:tc>
        <w:tc>
          <w:tcPr>
            <w:tcW w:w="56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7"/>
              </w:rPr>
              <w:t>2,670,820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1,072,510</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203,730</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56"/>
              <w:spacing w:after="0"/>
              <w:rPr>
                <w:sz w:val="20"/>
                <w:szCs w:val="20"/>
                <w:color w:val="auto"/>
              </w:rPr>
            </w:pPr>
            <w:r>
              <w:rPr>
                <w:rFonts w:ascii="Arial" w:cs="Arial" w:eastAsia="Arial" w:hAnsi="Arial"/>
                <w:sz w:val="18"/>
                <w:szCs w:val="18"/>
                <w:color w:val="auto"/>
              </w:rPr>
              <w:t>27,006</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7"/>
              </w:rPr>
              <w:t>4,953,482</w:t>
            </w:r>
          </w:p>
        </w:tc>
        <w:tc>
          <w:tcPr>
            <w:tcW w:w="0" w:type="dxa"/>
            <w:vAlign w:val="bottom"/>
          </w:tcPr>
          <w:p>
            <w:pPr>
              <w:spacing w:after="0"/>
              <w:rPr>
                <w:sz w:val="1"/>
                <w:szCs w:val="1"/>
                <w:color w:val="auto"/>
              </w:rPr>
            </w:pPr>
          </w:p>
        </w:tc>
      </w:tr>
      <w:tr>
        <w:trPr>
          <w:trHeight w:val="316"/>
        </w:trPr>
        <w:tc>
          <w:tcPr>
            <w:tcW w:w="3240" w:type="dxa"/>
            <w:vAlign w:val="bottom"/>
          </w:tcPr>
          <w:p>
            <w:pPr>
              <w:spacing w:after="0"/>
              <w:rPr>
                <w:sz w:val="20"/>
                <w:szCs w:val="20"/>
                <w:color w:val="auto"/>
              </w:rPr>
            </w:pPr>
            <w:r>
              <w:rPr>
                <w:rFonts w:ascii="Arial" w:cs="Arial" w:eastAsia="Arial" w:hAnsi="Arial"/>
                <w:sz w:val="18"/>
                <w:szCs w:val="18"/>
                <w:color w:val="auto"/>
              </w:rPr>
              <w:t>S. Ayat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2012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1,000,000</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3,474,320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880,000</w:t>
            </w:r>
          </w:p>
        </w:tc>
        <w:tc>
          <w:tcPr>
            <w:tcW w:w="18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747,789</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65,043</w:t>
            </w:r>
            <w:r>
              <w:rPr>
                <w:rFonts w:ascii="Arial" w:cs="Arial" w:eastAsia="Arial" w:hAnsi="Arial"/>
                <w:sz w:val="11"/>
                <w:szCs w:val="11"/>
                <w:color w:val="auto"/>
              </w:rPr>
              <w:t>(10)</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6,167,152</w:t>
            </w:r>
          </w:p>
        </w:tc>
        <w:tc>
          <w:tcPr>
            <w:tcW w:w="0" w:type="dxa"/>
            <w:vAlign w:val="bottom"/>
          </w:tcPr>
          <w:p>
            <w:pPr>
              <w:spacing w:after="0"/>
              <w:rPr>
                <w:sz w:val="1"/>
                <w:szCs w:val="1"/>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Executive Vice President and</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2011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941,667</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5,908,840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918,100</w:t>
            </w:r>
          </w:p>
        </w:tc>
        <w:tc>
          <w:tcPr>
            <w:tcW w:w="1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628,901</w:t>
            </w:r>
          </w:p>
        </w:tc>
        <w:tc>
          <w:tcPr>
            <w:tcW w:w="180" w:type="dxa"/>
            <w:vAlign w:val="bottom"/>
          </w:tcPr>
          <w:p>
            <w:pPr>
              <w:spacing w:after="0"/>
              <w:rPr>
                <w:sz w:val="18"/>
                <w:szCs w:val="18"/>
                <w:color w:val="auto"/>
              </w:rPr>
            </w:pP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100,535</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8,498,043</w:t>
            </w:r>
          </w:p>
        </w:tc>
        <w:tc>
          <w:tcPr>
            <w:tcW w:w="0" w:type="dxa"/>
            <w:vAlign w:val="bottom"/>
          </w:tcPr>
          <w:p>
            <w:pPr>
              <w:spacing w:after="0"/>
              <w:rPr>
                <w:sz w:val="1"/>
                <w:szCs w:val="1"/>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Chief Financial</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2010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900,000</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2,392,100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1,012,500</w:t>
            </w:r>
          </w:p>
        </w:tc>
        <w:tc>
          <w:tcPr>
            <w:tcW w:w="1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513,898</w:t>
            </w:r>
          </w:p>
        </w:tc>
        <w:tc>
          <w:tcPr>
            <w:tcW w:w="180" w:type="dxa"/>
            <w:vAlign w:val="bottom"/>
          </w:tcPr>
          <w:p>
            <w:pPr>
              <w:spacing w:after="0"/>
              <w:rPr>
                <w:sz w:val="18"/>
                <w:szCs w:val="18"/>
                <w:color w:val="auto"/>
              </w:rPr>
            </w:pPr>
          </w:p>
        </w:tc>
        <w:tc>
          <w:tcPr>
            <w:tcW w:w="1000" w:type="dxa"/>
            <w:vAlign w:val="bottom"/>
          </w:tcPr>
          <w:p>
            <w:pPr>
              <w:jc w:val="right"/>
              <w:ind w:right="176"/>
              <w:spacing w:after="0"/>
              <w:rPr>
                <w:sz w:val="20"/>
                <w:szCs w:val="20"/>
                <w:color w:val="auto"/>
              </w:rPr>
            </w:pPr>
            <w:r>
              <w:rPr>
                <w:rFonts w:ascii="Arial" w:cs="Arial" w:eastAsia="Arial" w:hAnsi="Arial"/>
                <w:sz w:val="18"/>
                <w:szCs w:val="18"/>
                <w:color w:val="auto"/>
              </w:rPr>
              <w:t>113,320</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4,931,818</w:t>
            </w:r>
          </w:p>
        </w:tc>
        <w:tc>
          <w:tcPr>
            <w:tcW w:w="0" w:type="dxa"/>
            <w:vAlign w:val="bottom"/>
          </w:tcPr>
          <w:p>
            <w:pPr>
              <w:spacing w:after="0"/>
              <w:rPr>
                <w:sz w:val="1"/>
                <w:szCs w:val="1"/>
                <w:color w:val="auto"/>
              </w:rPr>
            </w:pPr>
          </w:p>
        </w:tc>
      </w:tr>
      <w:tr>
        <w:trPr>
          <w:trHeight w:val="223"/>
        </w:trPr>
        <w:tc>
          <w:tcPr>
            <w:tcW w:w="3240" w:type="dxa"/>
            <w:vAlign w:val="bottom"/>
          </w:tcPr>
          <w:p>
            <w:pPr>
              <w:ind w:left="22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240" w:type="dxa"/>
            <w:vAlign w:val="bottom"/>
            <w:shd w:val="clear" w:color="auto" w:fill="D8D8D8"/>
          </w:tcPr>
          <w:p>
            <w:pPr>
              <w:spacing w:after="0"/>
              <w:rPr>
                <w:sz w:val="20"/>
                <w:szCs w:val="20"/>
                <w:color w:val="auto"/>
              </w:rPr>
            </w:pPr>
            <w:r>
              <w:rPr>
                <w:rFonts w:ascii="Arial" w:cs="Arial" w:eastAsia="Arial" w:hAnsi="Arial"/>
                <w:sz w:val="18"/>
                <w:szCs w:val="18"/>
                <w:color w:val="auto"/>
              </w:rPr>
              <w:t>S. Pai</w:t>
            </w:r>
            <w:r>
              <w:rPr>
                <w:rFonts w:ascii="Arial" w:cs="Arial" w:eastAsia="Arial" w:hAnsi="Arial"/>
                <w:sz w:val="11"/>
                <w:szCs w:val="11"/>
                <w:color w:val="auto"/>
              </w:rPr>
              <w:t>(2)</w:t>
            </w:r>
          </w:p>
        </w:tc>
        <w:tc>
          <w:tcPr>
            <w:tcW w:w="200" w:type="dxa"/>
            <w:vAlign w:val="bottom"/>
            <w:shd w:val="clear" w:color="auto" w:fill="D8D8D8"/>
          </w:tcPr>
          <w:p>
            <w:pPr>
              <w:spacing w:after="0"/>
              <w:rPr>
                <w:sz w:val="24"/>
                <w:szCs w:val="24"/>
                <w:color w:val="auto"/>
              </w:rPr>
            </w:pPr>
          </w:p>
        </w:tc>
        <w:tc>
          <w:tcPr>
            <w:tcW w:w="600" w:type="dxa"/>
            <w:vAlign w:val="bottom"/>
            <w:gridSpan w:val="2"/>
            <w:shd w:val="clear" w:color="auto" w:fill="D8D8D8"/>
          </w:tcPr>
          <w:p>
            <w:pPr>
              <w:jc w:val="right"/>
              <w:ind w:right="200"/>
              <w:spacing w:after="0"/>
              <w:rPr>
                <w:sz w:val="20"/>
                <w:szCs w:val="20"/>
                <w:color w:val="auto"/>
              </w:rPr>
            </w:pPr>
            <w:r>
              <w:rPr>
                <w:rFonts w:ascii="Arial" w:cs="Arial" w:eastAsia="Arial" w:hAnsi="Arial"/>
                <w:sz w:val="18"/>
                <w:szCs w:val="18"/>
                <w:color w:val="auto"/>
                <w:w w:val="94"/>
              </w:rPr>
              <w:t>2012</w:t>
            </w:r>
          </w:p>
        </w:tc>
        <w:tc>
          <w:tcPr>
            <w:tcW w:w="1060" w:type="dxa"/>
            <w:vAlign w:val="bottom"/>
            <w:gridSpan w:val="2"/>
            <w:shd w:val="clear" w:color="auto" w:fill="D8D8D8"/>
          </w:tcPr>
          <w:p>
            <w:pPr>
              <w:jc w:val="right"/>
              <w:ind w:right="300"/>
              <w:spacing w:after="0"/>
              <w:rPr>
                <w:sz w:val="20"/>
                <w:szCs w:val="20"/>
                <w:color w:val="auto"/>
              </w:rPr>
            </w:pPr>
            <w:r>
              <w:rPr>
                <w:rFonts w:ascii="Arial" w:cs="Arial" w:eastAsia="Arial" w:hAnsi="Arial"/>
                <w:sz w:val="18"/>
                <w:szCs w:val="18"/>
                <w:color w:val="auto"/>
              </w:rPr>
              <w:t>900,911</w:t>
            </w:r>
          </w:p>
        </w:tc>
        <w:tc>
          <w:tcPr>
            <w:tcW w:w="56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7"/>
              </w:rPr>
              <w:t>3,425,000</w:t>
            </w:r>
          </w:p>
        </w:tc>
        <w:tc>
          <w:tcPr>
            <w:tcW w:w="200" w:type="dxa"/>
            <w:vAlign w:val="bottom"/>
            <w:shd w:val="clear" w:color="auto" w:fill="D8D8D8"/>
          </w:tcPr>
          <w:p>
            <w:pPr>
              <w:spacing w:after="0"/>
              <w:rPr>
                <w:sz w:val="24"/>
                <w:szCs w:val="24"/>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765,766</w:t>
            </w:r>
          </w:p>
        </w:tc>
        <w:tc>
          <w:tcPr>
            <w:tcW w:w="1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1,127,217</w:t>
            </w:r>
          </w:p>
        </w:tc>
        <w:tc>
          <w:tcPr>
            <w:tcW w:w="1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98,726</w:t>
            </w:r>
            <w:r>
              <w:rPr>
                <w:rFonts w:ascii="Arial" w:cs="Arial" w:eastAsia="Arial" w:hAnsi="Arial"/>
                <w:sz w:val="11"/>
                <w:szCs w:val="11"/>
                <w:color w:val="auto"/>
              </w:rPr>
              <w:t>(11)</w:t>
            </w:r>
          </w:p>
        </w:tc>
        <w:tc>
          <w:tcPr>
            <w:tcW w:w="180" w:type="dxa"/>
            <w:vAlign w:val="bottom"/>
            <w:shd w:val="clear" w:color="auto" w:fill="D8D8D8"/>
          </w:tcPr>
          <w:p>
            <w:pPr>
              <w:spacing w:after="0"/>
              <w:rPr>
                <w:sz w:val="24"/>
                <w:szCs w:val="24"/>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7"/>
              </w:rPr>
              <w:t>6,317,620</w:t>
            </w:r>
          </w:p>
        </w:tc>
        <w:tc>
          <w:tcPr>
            <w:tcW w:w="0" w:type="dxa"/>
            <w:vAlign w:val="bottom"/>
          </w:tcPr>
          <w:p>
            <w:pPr>
              <w:spacing w:after="0"/>
              <w:rPr>
                <w:sz w:val="1"/>
                <w:szCs w:val="1"/>
                <w:color w:val="auto"/>
              </w:rPr>
            </w:pPr>
          </w:p>
        </w:tc>
      </w:tr>
      <w:tr>
        <w:trPr>
          <w:trHeight w:val="218"/>
        </w:trPr>
        <w:tc>
          <w:tcPr>
            <w:tcW w:w="3240" w:type="dxa"/>
            <w:vAlign w:val="bottom"/>
            <w:shd w:val="clear" w:color="auto" w:fill="D8D8D8"/>
          </w:tcPr>
          <w:p>
            <w:pPr>
              <w:ind w:left="220"/>
              <w:spacing w:after="0"/>
              <w:rPr>
                <w:sz w:val="20"/>
                <w:szCs w:val="20"/>
                <w:color w:val="auto"/>
              </w:rPr>
            </w:pPr>
            <w:r>
              <w:rPr>
                <w:rFonts w:ascii="Arial" w:cs="Arial" w:eastAsia="Arial" w:hAnsi="Arial"/>
                <w:sz w:val="18"/>
                <w:szCs w:val="18"/>
                <w:color w:val="auto"/>
              </w:rPr>
              <w:t>Executive Vice President,</w:t>
            </w: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Arial" w:cs="Arial" w:eastAsia="Arial" w:hAnsi="Arial"/>
                <w:sz w:val="18"/>
                <w:szCs w:val="18"/>
                <w:color w:val="auto"/>
                <w:w w:val="94"/>
              </w:rPr>
              <w:t>2011</w:t>
            </w:r>
          </w:p>
        </w:tc>
        <w:tc>
          <w:tcPr>
            <w:tcW w:w="1060" w:type="dxa"/>
            <w:vAlign w:val="bottom"/>
            <w:gridSpan w:val="2"/>
            <w:shd w:val="clear" w:color="auto" w:fill="D8D8D8"/>
          </w:tcPr>
          <w:p>
            <w:pPr>
              <w:jc w:val="right"/>
              <w:ind w:right="300"/>
              <w:spacing w:after="0"/>
              <w:rPr>
                <w:sz w:val="20"/>
                <w:szCs w:val="20"/>
                <w:color w:val="auto"/>
              </w:rPr>
            </w:pPr>
            <w:r>
              <w:rPr>
                <w:rFonts w:ascii="Arial" w:cs="Arial" w:eastAsia="Arial" w:hAnsi="Arial"/>
                <w:sz w:val="18"/>
                <w:szCs w:val="18"/>
                <w:color w:val="auto"/>
              </w:rPr>
              <w:t>967,382</w:t>
            </w:r>
          </w:p>
        </w:tc>
        <w:tc>
          <w:tcPr>
            <w:tcW w:w="56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7"/>
              </w:rPr>
              <w:t>2,698,960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753,007</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680,742</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56"/>
              <w:spacing w:after="0"/>
              <w:rPr>
                <w:sz w:val="20"/>
                <w:szCs w:val="20"/>
                <w:color w:val="auto"/>
              </w:rPr>
            </w:pPr>
            <w:r>
              <w:rPr>
                <w:rFonts w:ascii="Arial" w:cs="Arial" w:eastAsia="Arial" w:hAnsi="Arial"/>
                <w:sz w:val="18"/>
                <w:szCs w:val="18"/>
                <w:color w:val="auto"/>
              </w:rPr>
              <w:t>133,850</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7"/>
              </w:rPr>
              <w:t>5,233,941</w:t>
            </w:r>
          </w:p>
        </w:tc>
        <w:tc>
          <w:tcPr>
            <w:tcW w:w="0" w:type="dxa"/>
            <w:vAlign w:val="bottom"/>
          </w:tcPr>
          <w:p>
            <w:pPr>
              <w:spacing w:after="0"/>
              <w:rPr>
                <w:sz w:val="1"/>
                <w:szCs w:val="1"/>
                <w:color w:val="auto"/>
              </w:rPr>
            </w:pPr>
          </w:p>
        </w:tc>
      </w:tr>
      <w:tr>
        <w:trPr>
          <w:trHeight w:val="222"/>
        </w:trPr>
        <w:tc>
          <w:tcPr>
            <w:tcW w:w="3240" w:type="dxa"/>
            <w:vAlign w:val="bottom"/>
            <w:shd w:val="clear" w:color="auto" w:fill="D8D8D8"/>
          </w:tcPr>
          <w:p>
            <w:pPr>
              <w:ind w:left="22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D8D8D8"/>
          </w:tcPr>
          <w:p>
            <w:pPr>
              <w:spacing w:after="0"/>
              <w:rPr>
                <w:sz w:val="19"/>
                <w:szCs w:val="19"/>
                <w:color w:val="auto"/>
              </w:rPr>
            </w:pPr>
          </w:p>
        </w:tc>
        <w:tc>
          <w:tcPr>
            <w:tcW w:w="600" w:type="dxa"/>
            <w:vAlign w:val="bottom"/>
            <w:gridSpan w:val="2"/>
            <w:shd w:val="clear" w:color="auto" w:fill="D8D8D8"/>
          </w:tcPr>
          <w:p>
            <w:pPr>
              <w:jc w:val="right"/>
              <w:ind w:right="200"/>
              <w:spacing w:after="0"/>
              <w:rPr>
                <w:sz w:val="20"/>
                <w:szCs w:val="20"/>
                <w:color w:val="auto"/>
              </w:rPr>
            </w:pPr>
            <w:r>
              <w:rPr>
                <w:rFonts w:ascii="Arial" w:cs="Arial" w:eastAsia="Arial" w:hAnsi="Arial"/>
                <w:sz w:val="18"/>
                <w:szCs w:val="18"/>
                <w:color w:val="auto"/>
                <w:w w:val="94"/>
              </w:rPr>
              <w:t>2010</w:t>
            </w:r>
          </w:p>
        </w:tc>
        <w:tc>
          <w:tcPr>
            <w:tcW w:w="1060" w:type="dxa"/>
            <w:vAlign w:val="bottom"/>
            <w:gridSpan w:val="2"/>
            <w:shd w:val="clear" w:color="auto" w:fill="D8D8D8"/>
          </w:tcPr>
          <w:p>
            <w:pPr>
              <w:jc w:val="right"/>
              <w:ind w:right="300"/>
              <w:spacing w:after="0"/>
              <w:rPr>
                <w:sz w:val="20"/>
                <w:szCs w:val="20"/>
                <w:color w:val="auto"/>
              </w:rPr>
            </w:pPr>
            <w:r>
              <w:rPr>
                <w:rFonts w:ascii="Arial" w:cs="Arial" w:eastAsia="Arial" w:hAnsi="Arial"/>
                <w:sz w:val="18"/>
                <w:szCs w:val="18"/>
                <w:color w:val="auto"/>
              </w:rPr>
              <w:t>796,813</w:t>
            </w:r>
          </w:p>
        </w:tc>
        <w:tc>
          <w:tcPr>
            <w:tcW w:w="56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7"/>
              </w:rPr>
              <w:t>4,491,811</w:t>
            </w:r>
          </w:p>
        </w:tc>
        <w:tc>
          <w:tcPr>
            <w:tcW w:w="200" w:type="dxa"/>
            <w:vAlign w:val="bottom"/>
            <w:shd w:val="clear" w:color="auto" w:fill="D8D8D8"/>
          </w:tcPr>
          <w:p>
            <w:pPr>
              <w:spacing w:after="0"/>
              <w:rPr>
                <w:sz w:val="19"/>
                <w:szCs w:val="19"/>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644,489</w:t>
            </w:r>
          </w:p>
        </w:tc>
        <w:tc>
          <w:tcPr>
            <w:tcW w:w="18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598,600</w:t>
            </w:r>
          </w:p>
        </w:tc>
        <w:tc>
          <w:tcPr>
            <w:tcW w:w="180" w:type="dxa"/>
            <w:vAlign w:val="bottom"/>
            <w:shd w:val="clear" w:color="auto" w:fill="D8D8D8"/>
          </w:tcPr>
          <w:p>
            <w:pPr>
              <w:spacing w:after="0"/>
              <w:rPr>
                <w:sz w:val="19"/>
                <w:szCs w:val="19"/>
                <w:color w:val="auto"/>
              </w:rPr>
            </w:pPr>
          </w:p>
        </w:tc>
        <w:tc>
          <w:tcPr>
            <w:tcW w:w="1000" w:type="dxa"/>
            <w:vAlign w:val="bottom"/>
            <w:shd w:val="clear" w:color="auto" w:fill="D8D8D8"/>
          </w:tcPr>
          <w:p>
            <w:pPr>
              <w:jc w:val="right"/>
              <w:ind w:right="156"/>
              <w:spacing w:after="0"/>
              <w:rPr>
                <w:sz w:val="20"/>
                <w:szCs w:val="20"/>
                <w:color w:val="auto"/>
              </w:rPr>
            </w:pPr>
            <w:r>
              <w:rPr>
                <w:rFonts w:ascii="Arial" w:cs="Arial" w:eastAsia="Arial" w:hAnsi="Arial"/>
                <w:sz w:val="18"/>
                <w:szCs w:val="18"/>
                <w:color w:val="auto"/>
              </w:rPr>
              <w:t>101,303</w:t>
            </w:r>
          </w:p>
        </w:tc>
        <w:tc>
          <w:tcPr>
            <w:tcW w:w="180" w:type="dxa"/>
            <w:vAlign w:val="bottom"/>
            <w:shd w:val="clear" w:color="auto" w:fill="D8D8D8"/>
          </w:tcPr>
          <w:p>
            <w:pPr>
              <w:spacing w:after="0"/>
              <w:rPr>
                <w:sz w:val="19"/>
                <w:szCs w:val="19"/>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7"/>
              </w:rPr>
              <w:t>6,633,016</w:t>
            </w:r>
          </w:p>
        </w:tc>
        <w:tc>
          <w:tcPr>
            <w:tcW w:w="0" w:type="dxa"/>
            <w:vAlign w:val="bottom"/>
          </w:tcPr>
          <w:p>
            <w:pPr>
              <w:spacing w:after="0"/>
              <w:rPr>
                <w:sz w:val="1"/>
                <w:szCs w:val="1"/>
                <w:color w:val="auto"/>
              </w:rPr>
            </w:pPr>
          </w:p>
        </w:tc>
      </w:tr>
      <w:tr>
        <w:trPr>
          <w:trHeight w:val="156"/>
        </w:trPr>
        <w:tc>
          <w:tcPr>
            <w:tcW w:w="324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0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76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36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96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100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3240" w:type="dxa"/>
            <w:vAlign w:val="bottom"/>
          </w:tcPr>
          <w:p>
            <w:pPr>
              <w:spacing w:after="0"/>
              <w:rPr>
                <w:sz w:val="20"/>
                <w:szCs w:val="20"/>
                <w:color w:val="auto"/>
              </w:rPr>
            </w:pPr>
            <w:r>
              <w:rPr>
                <w:rFonts w:ascii="Arial" w:cs="Arial" w:eastAsia="Arial" w:hAnsi="Arial"/>
                <w:sz w:val="18"/>
                <w:szCs w:val="18"/>
                <w:color w:val="auto"/>
              </w:rPr>
              <w:t>K.-E. Oestdahl</w:t>
            </w:r>
            <w:r>
              <w:rPr>
                <w:rFonts w:ascii="Arial" w:cs="Arial" w:eastAsia="Arial" w:hAnsi="Arial"/>
                <w:sz w:val="11"/>
                <w:szCs w:val="11"/>
                <w:color w:val="auto"/>
              </w:rPr>
              <w:t>(3)</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2012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823,681</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3,474,320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716,602</w:t>
            </w:r>
          </w:p>
        </w:tc>
        <w:tc>
          <w:tcPr>
            <w:tcW w:w="18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363,391</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159,421</w:t>
            </w:r>
            <w:r>
              <w:rPr>
                <w:rFonts w:ascii="Arial" w:cs="Arial" w:eastAsia="Arial" w:hAnsi="Arial"/>
                <w:sz w:val="11"/>
                <w:szCs w:val="11"/>
                <w:color w:val="auto"/>
              </w:rPr>
              <w:t>(12)</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5,537,415</w:t>
            </w:r>
          </w:p>
        </w:tc>
        <w:tc>
          <w:tcPr>
            <w:tcW w:w="0" w:type="dxa"/>
            <w:vAlign w:val="bottom"/>
          </w:tcPr>
          <w:p>
            <w:pPr>
              <w:spacing w:after="0"/>
              <w:rPr>
                <w:sz w:val="1"/>
                <w:szCs w:val="1"/>
                <w:color w:val="auto"/>
              </w:rPr>
            </w:pPr>
          </w:p>
        </w:tc>
      </w:tr>
      <w:tr>
        <w:trPr>
          <w:trHeight w:val="223"/>
        </w:trPr>
        <w:tc>
          <w:tcPr>
            <w:tcW w:w="3240" w:type="dxa"/>
            <w:vAlign w:val="bottom"/>
          </w:tcPr>
          <w:p>
            <w:pPr>
              <w:ind w:left="220"/>
              <w:spacing w:after="0"/>
              <w:rPr>
                <w:sz w:val="20"/>
                <w:szCs w:val="20"/>
                <w:color w:val="auto"/>
              </w:rPr>
            </w:pPr>
            <w:r>
              <w:rPr>
                <w:rFonts w:ascii="Arial" w:cs="Arial" w:eastAsia="Arial" w:hAnsi="Arial"/>
                <w:sz w:val="18"/>
                <w:szCs w:val="18"/>
                <w:color w:val="auto"/>
              </w:rPr>
              <w:t>Executive Vice President, Operations</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2011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875,411</w:t>
            </w:r>
          </w:p>
        </w:tc>
        <w:tc>
          <w:tcPr>
            <w:tcW w:w="5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2,256,800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682,378</w:t>
            </w:r>
          </w:p>
        </w:tc>
        <w:tc>
          <w:tcPr>
            <w:tcW w:w="1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409,173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429,285</w:t>
            </w:r>
            <w:r>
              <w:rPr>
                <w:rFonts w:ascii="Arial" w:cs="Arial" w:eastAsia="Arial" w:hAnsi="Arial"/>
                <w:sz w:val="11"/>
                <w:szCs w:val="11"/>
                <w:color w:val="auto"/>
              </w:rPr>
              <w:t>(13)</w:t>
            </w:r>
          </w:p>
        </w:tc>
        <w:tc>
          <w:tcPr>
            <w:tcW w:w="1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4,653,047</w:t>
            </w:r>
          </w:p>
        </w:tc>
        <w:tc>
          <w:tcPr>
            <w:tcW w:w="0" w:type="dxa"/>
            <w:vAlign w:val="bottom"/>
          </w:tcPr>
          <w:p>
            <w:pPr>
              <w:spacing w:after="0"/>
              <w:rPr>
                <w:sz w:val="1"/>
                <w:szCs w:val="1"/>
                <w:color w:val="auto"/>
              </w:rPr>
            </w:pPr>
          </w:p>
        </w:tc>
      </w:tr>
      <w:tr>
        <w:trPr>
          <w:trHeight w:val="323"/>
        </w:trPr>
        <w:tc>
          <w:tcPr>
            <w:tcW w:w="3240" w:type="dxa"/>
            <w:vAlign w:val="bottom"/>
            <w:shd w:val="clear" w:color="auto" w:fill="D8D8D8"/>
          </w:tcPr>
          <w:p>
            <w:pPr>
              <w:spacing w:after="0"/>
              <w:rPr>
                <w:sz w:val="20"/>
                <w:szCs w:val="20"/>
                <w:color w:val="auto"/>
              </w:rPr>
            </w:pPr>
            <w:r>
              <w:rPr>
                <w:rFonts w:ascii="Arial" w:cs="Arial" w:eastAsia="Arial" w:hAnsi="Arial"/>
                <w:sz w:val="18"/>
                <w:szCs w:val="18"/>
                <w:color w:val="auto"/>
              </w:rPr>
              <w:t>A. Belani</w:t>
            </w:r>
            <w:r>
              <w:rPr>
                <w:rFonts w:ascii="Arial" w:cs="Arial" w:eastAsia="Arial" w:hAnsi="Arial"/>
                <w:sz w:val="11"/>
                <w:szCs w:val="11"/>
                <w:color w:val="auto"/>
              </w:rPr>
              <w:t>(4)</w:t>
            </w:r>
          </w:p>
        </w:tc>
        <w:tc>
          <w:tcPr>
            <w:tcW w:w="200" w:type="dxa"/>
            <w:vAlign w:val="bottom"/>
            <w:shd w:val="clear" w:color="auto" w:fill="D8D8D8"/>
          </w:tcPr>
          <w:p>
            <w:pPr>
              <w:spacing w:after="0"/>
              <w:rPr>
                <w:sz w:val="24"/>
                <w:szCs w:val="24"/>
                <w:color w:val="auto"/>
              </w:rPr>
            </w:pPr>
          </w:p>
        </w:tc>
        <w:tc>
          <w:tcPr>
            <w:tcW w:w="600" w:type="dxa"/>
            <w:vAlign w:val="bottom"/>
            <w:gridSpan w:val="2"/>
            <w:shd w:val="clear" w:color="auto" w:fill="D8D8D8"/>
          </w:tcPr>
          <w:p>
            <w:pPr>
              <w:jc w:val="right"/>
              <w:ind w:right="200"/>
              <w:spacing w:after="0"/>
              <w:rPr>
                <w:sz w:val="20"/>
                <w:szCs w:val="20"/>
                <w:color w:val="auto"/>
              </w:rPr>
            </w:pPr>
            <w:r>
              <w:rPr>
                <w:rFonts w:ascii="Arial" w:cs="Arial" w:eastAsia="Arial" w:hAnsi="Arial"/>
                <w:sz w:val="18"/>
                <w:szCs w:val="18"/>
                <w:color w:val="auto"/>
                <w:w w:val="94"/>
              </w:rPr>
              <w:t>2012</w:t>
            </w:r>
          </w:p>
        </w:tc>
        <w:tc>
          <w:tcPr>
            <w:tcW w:w="1060" w:type="dxa"/>
            <w:vAlign w:val="bottom"/>
            <w:gridSpan w:val="2"/>
            <w:shd w:val="clear" w:color="auto" w:fill="D8D8D8"/>
          </w:tcPr>
          <w:p>
            <w:pPr>
              <w:jc w:val="right"/>
              <w:ind w:right="300"/>
              <w:spacing w:after="0"/>
              <w:rPr>
                <w:sz w:val="20"/>
                <w:szCs w:val="20"/>
                <w:color w:val="auto"/>
              </w:rPr>
            </w:pPr>
            <w:r>
              <w:rPr>
                <w:rFonts w:ascii="Arial" w:cs="Arial" w:eastAsia="Arial" w:hAnsi="Arial"/>
                <w:sz w:val="18"/>
                <w:szCs w:val="18"/>
                <w:color w:val="auto"/>
              </w:rPr>
              <w:t>900,000</w:t>
            </w:r>
          </w:p>
        </w:tc>
        <w:tc>
          <w:tcPr>
            <w:tcW w:w="56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7"/>
              </w:rPr>
              <w:t>3,220,720</w:t>
            </w:r>
          </w:p>
        </w:tc>
        <w:tc>
          <w:tcPr>
            <w:tcW w:w="200" w:type="dxa"/>
            <w:vAlign w:val="bottom"/>
            <w:shd w:val="clear" w:color="auto" w:fill="D8D8D8"/>
          </w:tcPr>
          <w:p>
            <w:pPr>
              <w:spacing w:after="0"/>
              <w:rPr>
                <w:sz w:val="24"/>
                <w:szCs w:val="24"/>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769,500</w:t>
            </w:r>
          </w:p>
        </w:tc>
        <w:tc>
          <w:tcPr>
            <w:tcW w:w="1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837,595</w:t>
            </w:r>
          </w:p>
        </w:tc>
        <w:tc>
          <w:tcPr>
            <w:tcW w:w="1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107,193</w:t>
            </w:r>
            <w:r>
              <w:rPr>
                <w:rFonts w:ascii="Arial" w:cs="Arial" w:eastAsia="Arial" w:hAnsi="Arial"/>
                <w:sz w:val="11"/>
                <w:szCs w:val="11"/>
                <w:color w:val="auto"/>
              </w:rPr>
              <w:t>(14)</w:t>
            </w:r>
          </w:p>
        </w:tc>
        <w:tc>
          <w:tcPr>
            <w:tcW w:w="180" w:type="dxa"/>
            <w:vAlign w:val="bottom"/>
            <w:shd w:val="clear" w:color="auto" w:fill="D8D8D8"/>
          </w:tcPr>
          <w:p>
            <w:pPr>
              <w:spacing w:after="0"/>
              <w:rPr>
                <w:sz w:val="24"/>
                <w:szCs w:val="24"/>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7"/>
              </w:rPr>
              <w:t>5,835,008</w:t>
            </w:r>
          </w:p>
        </w:tc>
        <w:tc>
          <w:tcPr>
            <w:tcW w:w="0" w:type="dxa"/>
            <w:vAlign w:val="bottom"/>
          </w:tcPr>
          <w:p>
            <w:pPr>
              <w:spacing w:after="0"/>
              <w:rPr>
                <w:sz w:val="1"/>
                <w:szCs w:val="1"/>
                <w:color w:val="auto"/>
              </w:rPr>
            </w:pPr>
          </w:p>
        </w:tc>
      </w:tr>
      <w:tr>
        <w:trPr>
          <w:trHeight w:val="218"/>
        </w:trPr>
        <w:tc>
          <w:tcPr>
            <w:tcW w:w="3240" w:type="dxa"/>
            <w:vAlign w:val="bottom"/>
            <w:shd w:val="clear" w:color="auto" w:fill="D8D8D8"/>
          </w:tcPr>
          <w:p>
            <w:pPr>
              <w:ind w:left="220"/>
              <w:spacing w:after="0"/>
              <w:rPr>
                <w:sz w:val="20"/>
                <w:szCs w:val="20"/>
                <w:color w:val="auto"/>
              </w:rPr>
            </w:pPr>
            <w:r>
              <w:rPr>
                <w:rFonts w:ascii="Arial" w:cs="Arial" w:eastAsia="Arial" w:hAnsi="Arial"/>
                <w:sz w:val="18"/>
                <w:szCs w:val="18"/>
                <w:color w:val="auto"/>
                <w:w w:val="99"/>
              </w:rPr>
              <w:t>Executive Vice President, Technology</w:t>
            </w: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Arial" w:cs="Arial" w:eastAsia="Arial" w:hAnsi="Arial"/>
                <w:sz w:val="18"/>
                <w:szCs w:val="18"/>
                <w:color w:val="auto"/>
                <w:w w:val="94"/>
              </w:rPr>
              <w:t>2011</w:t>
            </w:r>
          </w:p>
        </w:tc>
        <w:tc>
          <w:tcPr>
            <w:tcW w:w="1060" w:type="dxa"/>
            <w:vAlign w:val="bottom"/>
            <w:gridSpan w:val="2"/>
            <w:shd w:val="clear" w:color="auto" w:fill="D8D8D8"/>
          </w:tcPr>
          <w:p>
            <w:pPr>
              <w:jc w:val="right"/>
              <w:ind w:right="300"/>
              <w:spacing w:after="0"/>
              <w:rPr>
                <w:sz w:val="20"/>
                <w:szCs w:val="20"/>
                <w:color w:val="auto"/>
              </w:rPr>
            </w:pPr>
            <w:r>
              <w:rPr>
                <w:rFonts w:ascii="Arial" w:cs="Arial" w:eastAsia="Arial" w:hAnsi="Arial"/>
                <w:sz w:val="18"/>
                <w:szCs w:val="18"/>
                <w:color w:val="auto"/>
              </w:rPr>
              <w:t>886,661</w:t>
            </w:r>
          </w:p>
        </w:tc>
        <w:tc>
          <w:tcPr>
            <w:tcW w:w="56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7"/>
              </w:rPr>
              <w:t>4,054,470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736,600</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606,705</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56"/>
              <w:spacing w:after="0"/>
              <w:rPr>
                <w:sz w:val="20"/>
                <w:szCs w:val="20"/>
                <w:color w:val="auto"/>
              </w:rPr>
            </w:pPr>
            <w:r>
              <w:rPr>
                <w:rFonts w:ascii="Arial" w:cs="Arial" w:eastAsia="Arial" w:hAnsi="Arial"/>
                <w:sz w:val="18"/>
                <w:szCs w:val="18"/>
                <w:color w:val="auto"/>
              </w:rPr>
              <w:t>287,557</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7"/>
              </w:rPr>
              <w:t>6,571,993</w:t>
            </w:r>
          </w:p>
        </w:tc>
        <w:tc>
          <w:tcPr>
            <w:tcW w:w="0" w:type="dxa"/>
            <w:vAlign w:val="bottom"/>
          </w:tcPr>
          <w:p>
            <w:pPr>
              <w:spacing w:after="0"/>
              <w:rPr>
                <w:sz w:val="1"/>
                <w:szCs w:val="1"/>
                <w:color w:val="auto"/>
              </w:rPr>
            </w:pPr>
          </w:p>
        </w:tc>
      </w:tr>
      <w:tr>
        <w:trPr>
          <w:trHeight w:val="216"/>
        </w:trPr>
        <w:tc>
          <w:tcPr>
            <w:tcW w:w="3240" w:type="dxa"/>
            <w:vAlign w:val="bottom"/>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600" w:type="dxa"/>
            <w:vAlign w:val="bottom"/>
            <w:gridSpan w:val="2"/>
            <w:shd w:val="clear" w:color="auto" w:fill="D8D8D8"/>
          </w:tcPr>
          <w:p>
            <w:pPr>
              <w:jc w:val="right"/>
              <w:ind w:right="200"/>
              <w:spacing w:after="0"/>
              <w:rPr>
                <w:sz w:val="20"/>
                <w:szCs w:val="20"/>
                <w:color w:val="auto"/>
              </w:rPr>
            </w:pPr>
            <w:r>
              <w:rPr>
                <w:rFonts w:ascii="Arial" w:cs="Arial" w:eastAsia="Arial" w:hAnsi="Arial"/>
                <w:sz w:val="18"/>
                <w:szCs w:val="18"/>
                <w:color w:val="auto"/>
                <w:w w:val="94"/>
              </w:rPr>
              <w:t>2010</w:t>
            </w:r>
          </w:p>
        </w:tc>
        <w:tc>
          <w:tcPr>
            <w:tcW w:w="1060" w:type="dxa"/>
            <w:vAlign w:val="bottom"/>
            <w:gridSpan w:val="2"/>
            <w:shd w:val="clear" w:color="auto" w:fill="D8D8D8"/>
          </w:tcPr>
          <w:p>
            <w:pPr>
              <w:jc w:val="right"/>
              <w:ind w:right="300"/>
              <w:spacing w:after="0"/>
              <w:rPr>
                <w:sz w:val="20"/>
                <w:szCs w:val="20"/>
                <w:color w:val="auto"/>
              </w:rPr>
            </w:pPr>
            <w:r>
              <w:rPr>
                <w:rFonts w:ascii="Arial" w:cs="Arial" w:eastAsia="Arial" w:hAnsi="Arial"/>
                <w:sz w:val="18"/>
                <w:szCs w:val="18"/>
                <w:color w:val="auto"/>
              </w:rPr>
              <w:t>724,879</w:t>
            </w:r>
          </w:p>
        </w:tc>
        <w:tc>
          <w:tcPr>
            <w:tcW w:w="56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D8D8D8"/>
          </w:tcPr>
          <w:p>
            <w:pPr>
              <w:jc w:val="center"/>
              <w:ind w:righ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7"/>
              </w:rPr>
              <w:t>1,485,620</w:t>
            </w:r>
          </w:p>
        </w:tc>
        <w:tc>
          <w:tcPr>
            <w:tcW w:w="200" w:type="dxa"/>
            <w:vAlign w:val="bottom"/>
            <w:shd w:val="clear" w:color="auto" w:fill="D8D8D8"/>
          </w:tcPr>
          <w:p>
            <w:pPr>
              <w:spacing w:after="0"/>
              <w:rPr>
                <w:sz w:val="18"/>
                <w:szCs w:val="18"/>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586,321</w:t>
            </w:r>
          </w:p>
        </w:tc>
        <w:tc>
          <w:tcPr>
            <w:tcW w:w="180" w:type="dxa"/>
            <w:vAlign w:val="bottom"/>
            <w:shd w:val="clear" w:color="auto" w:fill="D8D8D8"/>
          </w:tcPr>
          <w:p>
            <w:pPr>
              <w:spacing w:after="0"/>
              <w:rPr>
                <w:sz w:val="18"/>
                <w:szCs w:val="18"/>
                <w:color w:val="auto"/>
              </w:rPr>
            </w:pPr>
          </w:p>
        </w:tc>
        <w:tc>
          <w:tcPr>
            <w:tcW w:w="9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425,995</w:t>
            </w:r>
          </w:p>
        </w:tc>
        <w:tc>
          <w:tcPr>
            <w:tcW w:w="180" w:type="dxa"/>
            <w:vAlign w:val="bottom"/>
            <w:shd w:val="clear" w:color="auto" w:fill="D8D8D8"/>
          </w:tcPr>
          <w:p>
            <w:pPr>
              <w:spacing w:after="0"/>
              <w:rPr>
                <w:sz w:val="18"/>
                <w:szCs w:val="18"/>
                <w:color w:val="auto"/>
              </w:rPr>
            </w:pPr>
          </w:p>
        </w:tc>
        <w:tc>
          <w:tcPr>
            <w:tcW w:w="1000" w:type="dxa"/>
            <w:vAlign w:val="bottom"/>
            <w:shd w:val="clear" w:color="auto" w:fill="D8D8D8"/>
          </w:tcPr>
          <w:p>
            <w:pPr>
              <w:jc w:val="right"/>
              <w:ind w:right="176"/>
              <w:spacing w:after="0"/>
              <w:rPr>
                <w:sz w:val="20"/>
                <w:szCs w:val="20"/>
                <w:color w:val="auto"/>
              </w:rPr>
            </w:pPr>
            <w:r>
              <w:rPr>
                <w:rFonts w:ascii="Arial" w:cs="Arial" w:eastAsia="Arial" w:hAnsi="Arial"/>
                <w:sz w:val="18"/>
                <w:szCs w:val="18"/>
                <w:color w:val="auto"/>
              </w:rPr>
              <w:t>116,987</w:t>
            </w:r>
          </w:p>
        </w:tc>
        <w:tc>
          <w:tcPr>
            <w:tcW w:w="180" w:type="dxa"/>
            <w:vAlign w:val="bottom"/>
            <w:shd w:val="clear" w:color="auto" w:fill="D8D8D8"/>
          </w:tcPr>
          <w:p>
            <w:pPr>
              <w:spacing w:after="0"/>
              <w:rPr>
                <w:sz w:val="18"/>
                <w:szCs w:val="18"/>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7"/>
              </w:rPr>
              <w:t>3,339,802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Kibsgaard was paid in Euros (i) for part of 2011 and (ii) for all of 2010. For purposes of this Summary Compensation Table, compensation has been determined using 2012, 2011, and 2010 full-year average exchange rates of 1 U.S. Dollar = 0.777 Euros, 1 U.S. Dollar = 0.715 Euros and 1 U.S. Dollar = 0.753 Euros, respectively.</w:t>
      </w:r>
    </w:p>
    <w:p>
      <w:pPr>
        <w:spacing w:after="0" w:line="45" w:lineRule="exact"/>
        <w:rPr>
          <w:rFonts w:ascii="Arial" w:cs="Arial" w:eastAsia="Arial" w:hAnsi="Arial"/>
          <w:sz w:val="18"/>
          <w:szCs w:val="18"/>
          <w:color w:val="auto"/>
        </w:rPr>
      </w:pPr>
    </w:p>
    <w:p>
      <w:pPr>
        <w:ind w:left="460" w:right="520" w:hanging="452"/>
        <w:spacing w:after="0" w:line="325"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Pai is paid in Euros. For purposes of this Summary Compensation Table, compensation has been determined using 2012, 2011 and 2010 average exchange rates of 1 U.S. Dollar = 0.777 Euros, 1 U.S. Dollar = 0.715 Euros, 1 U.S. Dollar = 0.753 Euros, respectively.</w:t>
      </w:r>
    </w:p>
    <w:p>
      <w:pPr>
        <w:spacing w:after="0" w:line="1" w:lineRule="exact"/>
        <w:rPr>
          <w:rFonts w:ascii="Arial" w:cs="Arial" w:eastAsia="Arial" w:hAnsi="Arial"/>
          <w:sz w:val="16"/>
          <w:szCs w:val="16"/>
          <w:color w:val="auto"/>
        </w:rPr>
      </w:pPr>
    </w:p>
    <w:p>
      <w:pPr>
        <w:ind w:left="460" w:right="120" w:hanging="452"/>
        <w:spacing w:after="0" w:line="30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Oestdahl was (i) paid in Euros for all of 2012, (ii) paid in Euros for 11 months in 2011 and (iii) paid in Norwegian Kronor for one month in 2011. For purposes of this Summary Compensation Table, compensation has been determined using (A) the 2012 and 2011 full-year average exchange rates of 1 U.S. Dollar = 0.777 Euros and 1 U.S. Dollar = .715 Euros, respectively, and (B) the 2011 full-year average exchange rate of 1 U.S. Dollar = 5.579 Kronor.</w:t>
      </w:r>
    </w:p>
    <w:p>
      <w:pPr>
        <w:spacing w:after="0" w:line="12" w:lineRule="exact"/>
        <w:rPr>
          <w:rFonts w:ascii="Arial" w:cs="Arial" w:eastAsia="Arial" w:hAnsi="Arial"/>
          <w:sz w:val="16"/>
          <w:szCs w:val="16"/>
          <w:color w:val="auto"/>
        </w:rPr>
      </w:pPr>
    </w:p>
    <w:p>
      <w:pPr>
        <w:ind w:left="460" w:right="540" w:hanging="452"/>
        <w:spacing w:after="0" w:line="347"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Mr. Belani was paid in Euros (i) for part of 2011 and (ii) for all of 2010. For purposes of this Summary Compensation Table, compensation has been determined using 2011 and 2010 full-year average exchange rates of 1 U.S. Dollar = 0.715 Euros and 1 U.S. Dollar = 0.753 Euros, respectively.</w:t>
      </w: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annual cash incentive paid to Schlumberger’s named executive officers is included in the column “Non-Equity Incentive Plan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reflected in this column is the aggregate grant date fair value for option grants in 2012, computed in accordance with applicable accounting standards. The fair value of each grant is established on the date of grant using the Black-Scholes option-pricing model with the following assumptions for the grant dates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3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Stock Option Grant Date</w:t>
            </w:r>
          </w:p>
        </w:tc>
      </w:tr>
      <w:tr>
        <w:trPr>
          <w:trHeight w:val="129"/>
        </w:trPr>
        <w:tc>
          <w:tcPr>
            <w:tcW w:w="8100" w:type="dxa"/>
            <w:vAlign w:val="bottom"/>
          </w:tcPr>
          <w:p>
            <w:pPr>
              <w:spacing w:after="0"/>
              <w:rPr>
                <w:sz w:val="11"/>
                <w:szCs w:val="11"/>
                <w:color w:val="auto"/>
              </w:rPr>
            </w:pPr>
          </w:p>
        </w:tc>
        <w:tc>
          <w:tcPr>
            <w:tcW w:w="12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1/19/2012</w:t>
            </w:r>
          </w:p>
        </w:tc>
        <w:tc>
          <w:tcPr>
            <w:tcW w:w="7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1/19/2012</w:t>
            </w:r>
          </w:p>
        </w:tc>
        <w:tc>
          <w:tcPr>
            <w:tcW w:w="180" w:type="dxa"/>
            <w:vAlign w:val="bottom"/>
          </w:tcPr>
          <w:p>
            <w:pPr>
              <w:spacing w:after="0"/>
              <w:rPr>
                <w:sz w:val="11"/>
                <w:szCs w:val="11"/>
                <w:color w:val="auto"/>
              </w:rPr>
            </w:pPr>
          </w:p>
        </w:tc>
      </w:tr>
      <w:tr>
        <w:trPr>
          <w:trHeight w:val="149"/>
        </w:trPr>
        <w:tc>
          <w:tcPr>
            <w:tcW w:w="8100" w:type="dxa"/>
            <w:vAlign w:val="bottom"/>
          </w:tcPr>
          <w:p>
            <w:pPr>
              <w:spacing w:after="0"/>
              <w:rPr>
                <w:sz w:val="12"/>
                <w:szCs w:val="12"/>
                <w:color w:val="auto"/>
              </w:rPr>
            </w:pPr>
          </w:p>
        </w:tc>
        <w:tc>
          <w:tcPr>
            <w:tcW w:w="19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(5-year</w:t>
            </w:r>
          </w:p>
        </w:tc>
        <w:tc>
          <w:tcPr>
            <w:tcW w:w="14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(4-year</w:t>
            </w:r>
          </w:p>
        </w:tc>
      </w:tr>
      <w:tr>
        <w:trPr>
          <w:trHeight w:val="161"/>
        </w:trPr>
        <w:tc>
          <w:tcPr>
            <w:tcW w:w="8100" w:type="dxa"/>
            <w:vAlign w:val="bottom"/>
          </w:tcPr>
          <w:p>
            <w:pPr>
              <w:spacing w:after="0"/>
              <w:rPr>
                <w:sz w:val="14"/>
                <w:szCs w:val="14"/>
                <w:color w:val="auto"/>
              </w:rPr>
            </w:pPr>
          </w:p>
        </w:tc>
        <w:tc>
          <w:tcPr>
            <w:tcW w:w="19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vest options)</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vest options)</w:t>
            </w:r>
          </w:p>
        </w:tc>
      </w:tr>
      <w:tr>
        <w:trPr>
          <w:trHeight w:val="210"/>
        </w:trPr>
        <w:tc>
          <w:tcPr>
            <w:tcW w:w="8100" w:type="dxa"/>
            <w:vAlign w:val="bottom"/>
            <w:tcBorders>
              <w:top w:val="single" w:sz="8" w:color="D8D8D8"/>
            </w:tcBorders>
            <w:shd w:val="clear" w:color="auto" w:fill="D8D8D8"/>
          </w:tcPr>
          <w:p>
            <w:pPr>
              <w:spacing w:after="0" w:line="202" w:lineRule="exact"/>
              <w:rPr>
                <w:sz w:val="20"/>
                <w:szCs w:val="20"/>
                <w:color w:val="auto"/>
              </w:rPr>
            </w:pPr>
            <w:r>
              <w:rPr>
                <w:rFonts w:ascii="Arial" w:cs="Arial" w:eastAsia="Arial" w:hAnsi="Arial"/>
                <w:sz w:val="18"/>
                <w:szCs w:val="18"/>
                <w:color w:val="auto"/>
              </w:rPr>
              <w:t>Dividend yield</w:t>
            </w:r>
          </w:p>
        </w:tc>
        <w:tc>
          <w:tcPr>
            <w:tcW w:w="12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w:t>
            </w:r>
          </w:p>
        </w:tc>
        <w:tc>
          <w:tcPr>
            <w:tcW w:w="720" w:type="dxa"/>
            <w:vAlign w:val="bottom"/>
            <w:tcBorders>
              <w:top w:val="single" w:sz="8" w:color="D8D8D8"/>
            </w:tcBorders>
            <w:shd w:val="clear" w:color="auto" w:fill="D8D8D8"/>
          </w:tcPr>
          <w:p>
            <w:pPr>
              <w:spacing w:after="0"/>
              <w:rPr>
                <w:sz w:val="18"/>
                <w:szCs w:val="18"/>
                <w:color w:val="auto"/>
              </w:rPr>
            </w:pPr>
          </w:p>
        </w:tc>
        <w:tc>
          <w:tcPr>
            <w:tcW w:w="12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D8D8D8"/>
            </w:tcBorders>
            <w:shd w:val="clear" w:color="auto" w:fill="D8D8D8"/>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tcPr>
          <w:p>
            <w:pPr>
              <w:jc w:val="right"/>
              <w:spacing w:after="0"/>
              <w:rPr>
                <w:sz w:val="20"/>
                <w:szCs w:val="20"/>
                <w:color w:val="auto"/>
              </w:rPr>
            </w:pPr>
            <w:r>
              <w:rPr>
                <w:rFonts w:ascii="Arial" w:cs="Arial" w:eastAsia="Arial" w:hAnsi="Arial"/>
                <w:sz w:val="18"/>
                <w:szCs w:val="18"/>
                <w:color w:val="auto"/>
              </w:rPr>
              <w:t>38.7%</w:t>
            </w:r>
          </w:p>
        </w:tc>
        <w:tc>
          <w:tcPr>
            <w:tcW w:w="7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39.5%</w:t>
            </w:r>
          </w:p>
        </w:tc>
      </w:tr>
      <w:tr>
        <w:trPr>
          <w:trHeight w:val="216"/>
        </w:trPr>
        <w:tc>
          <w:tcPr>
            <w:tcW w:w="8100" w:type="dxa"/>
            <w:vAlign w:val="bottom"/>
            <w:shd w:val="clear" w:color="auto" w:fill="D8D8D8"/>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D8D8D8"/>
          </w:tcPr>
          <w:p>
            <w:pPr>
              <w:spacing w:after="0"/>
              <w:rPr>
                <w:sz w:val="18"/>
                <w:szCs w:val="18"/>
                <w:color w:val="auto"/>
              </w:rPr>
            </w:pPr>
          </w:p>
        </w:tc>
        <w:tc>
          <w:tcPr>
            <w:tcW w:w="1400" w:type="dxa"/>
            <w:vAlign w:val="bottom"/>
            <w:gridSpan w:val="2"/>
            <w:shd w:val="clear" w:color="auto" w:fill="D8D8D8"/>
          </w:tcPr>
          <w:p>
            <w:pPr>
              <w:jc w:val="right"/>
              <w:ind w:right="180"/>
              <w:spacing w:after="0"/>
              <w:rPr>
                <w:sz w:val="20"/>
                <w:szCs w:val="20"/>
                <w:color w:val="auto"/>
              </w:rPr>
            </w:pPr>
            <w:r>
              <w:rPr>
                <w:rFonts w:ascii="Arial" w:cs="Arial" w:eastAsia="Arial" w:hAnsi="Arial"/>
                <w:sz w:val="18"/>
                <w:szCs w:val="18"/>
                <w:color w:val="auto"/>
              </w:rPr>
              <w:t>1.4%</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Expected option life</w:t>
            </w:r>
          </w:p>
        </w:tc>
        <w:tc>
          <w:tcPr>
            <w:tcW w:w="1920" w:type="dxa"/>
            <w:vAlign w:val="bottom"/>
            <w:gridSpan w:val="2"/>
          </w:tcPr>
          <w:p>
            <w:pPr>
              <w:ind w:left="560"/>
              <w:spacing w:after="0"/>
              <w:rPr>
                <w:sz w:val="20"/>
                <w:szCs w:val="20"/>
                <w:color w:val="auto"/>
              </w:rPr>
            </w:pPr>
            <w:r>
              <w:rPr>
                <w:rFonts w:ascii="Arial" w:cs="Arial" w:eastAsia="Arial" w:hAnsi="Arial"/>
                <w:sz w:val="18"/>
                <w:szCs w:val="18"/>
                <w:color w:val="auto"/>
              </w:rPr>
              <w:t>7.0 years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6.5 years</w:t>
            </w:r>
          </w:p>
        </w:tc>
      </w:tr>
    </w:tbl>
    <w:p>
      <w:pPr>
        <w:spacing w:after="0" w:line="53" w:lineRule="exact"/>
        <w:rPr>
          <w:sz w:val="20"/>
          <w:szCs w:val="20"/>
          <w:color w:val="auto"/>
        </w:rPr>
      </w:pPr>
    </w:p>
    <w:p>
      <w:pPr>
        <w:ind w:left="500" w:right="40" w:hanging="451"/>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named executive officer received above-market or preferential earnings on such compensation during 2012, 2011 or 2010.</w:t>
      </w:r>
    </w:p>
    <w:p>
      <w:pPr>
        <w:spacing w:after="0" w:line="45" w:lineRule="exact"/>
        <w:rPr>
          <w:rFonts w:ascii="Arial" w:cs="Arial" w:eastAsia="Arial" w:hAnsi="Arial"/>
          <w:sz w:val="18"/>
          <w:szCs w:val="18"/>
          <w:color w:val="auto"/>
        </w:rPr>
      </w:pPr>
    </w:p>
    <w:p>
      <w:pPr>
        <w:ind w:left="500" w:right="40" w:hanging="451"/>
        <w:spacing w:after="0" w:line="268"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the perquisites included and described in the column “All Other Compensation” and the accompanying footnotes are generally available to all of the Company’s exempt employees. Relocation assistance is provided to all employees on a Company-wide basis.</w:t>
      </w:r>
    </w:p>
    <w:p>
      <w:pPr>
        <w:spacing w:after="0" w:line="37" w:lineRule="exact"/>
        <w:rPr>
          <w:rFonts w:ascii="Arial" w:cs="Arial" w:eastAsia="Arial" w:hAnsi="Arial"/>
          <w:sz w:val="18"/>
          <w:szCs w:val="18"/>
          <w:color w:val="auto"/>
        </w:rPr>
      </w:pPr>
    </w:p>
    <w:p>
      <w:pPr>
        <w:ind w:left="540" w:hanging="451"/>
        <w:spacing w:after="0"/>
        <w:tabs>
          <w:tab w:leader="none" w:pos="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amount disclosed for Mr. Kibsgaard consists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820" w:type="dxa"/>
            <w:vAlign w:val="bottom"/>
            <w:tcBorders>
              <w:bottom w:val="single" w:sz="8" w:color="auto"/>
            </w:tcBorders>
          </w:tcPr>
          <w:p>
            <w:pPr>
              <w:spacing w:after="0"/>
              <w:rPr>
                <w:sz w:val="15"/>
                <w:szCs w:val="15"/>
                <w:color w:val="auto"/>
              </w:rPr>
            </w:pPr>
          </w:p>
        </w:tc>
        <w:tc>
          <w:tcPr>
            <w:tcW w:w="240" w:type="dxa"/>
            <w:vAlign w:val="bottom"/>
            <w:tcBorders>
              <w:bottom w:val="single" w:sz="8" w:color="D8D8D8"/>
            </w:tcBorders>
          </w:tcPr>
          <w:p>
            <w:pPr>
              <w:spacing w:after="0"/>
              <w:rPr>
                <w:sz w:val="15"/>
                <w:szCs w:val="15"/>
                <w:color w:val="auto"/>
              </w:rPr>
            </w:pPr>
          </w:p>
        </w:tc>
        <w:tc>
          <w:tcPr>
            <w:tcW w:w="540" w:type="dxa"/>
            <w:vAlign w:val="bottom"/>
            <w:tcBorders>
              <w:bottom w:val="single" w:sz="8" w:color="D8D8D8"/>
            </w:tcBorders>
          </w:tcPr>
          <w:p>
            <w:pPr>
              <w:spacing w:after="0"/>
              <w:rPr>
                <w:sz w:val="15"/>
                <w:szCs w:val="15"/>
                <w:color w:val="auto"/>
              </w:rPr>
            </w:pPr>
          </w:p>
        </w:tc>
        <w:tc>
          <w:tcPr>
            <w:tcW w:w="600" w:type="dxa"/>
            <w:vAlign w:val="bottom"/>
            <w:tcBorders>
              <w:bottom w:val="single" w:sz="8" w:color="D8D8D8"/>
            </w:tcBorders>
          </w:tcPr>
          <w:p>
            <w:pPr>
              <w:spacing w:after="0"/>
              <w:rPr>
                <w:sz w:val="15"/>
                <w:szCs w:val="15"/>
                <w:color w:val="auto"/>
              </w:rPr>
            </w:pPr>
          </w:p>
        </w:tc>
      </w:tr>
      <w:tr>
        <w:trPr>
          <w:trHeight w:val="210"/>
        </w:trPr>
        <w:tc>
          <w:tcPr>
            <w:tcW w:w="5220" w:type="dxa"/>
            <w:vAlign w:val="bottom"/>
            <w:shd w:val="clear" w:color="auto" w:fill="D8D8D8"/>
          </w:tcPr>
          <w:p>
            <w:pPr>
              <w:spacing w:after="0"/>
              <w:rPr>
                <w:sz w:val="20"/>
                <w:szCs w:val="20"/>
                <w:color w:val="auto"/>
              </w:rPr>
            </w:pPr>
            <w:r>
              <w:rPr>
                <w:rFonts w:ascii="Arial" w:cs="Arial" w:eastAsia="Arial" w:hAnsi="Arial"/>
                <w:sz w:val="18"/>
                <w:szCs w:val="18"/>
                <w:color w:val="auto"/>
                <w:w w:val="97"/>
              </w:rPr>
              <w:t>Unfunded credits to the Schlumberger Supplementary Benefit Plan</w:t>
            </w:r>
          </w:p>
        </w:tc>
        <w:tc>
          <w:tcPr>
            <w:tcW w:w="4820" w:type="dxa"/>
            <w:vAlign w:val="bottom"/>
            <w:shd w:val="clear" w:color="auto" w:fill="D8D8D8"/>
          </w:tcPr>
          <w:p>
            <w:pPr>
              <w:spacing w:after="0"/>
              <w:rPr>
                <w:sz w:val="18"/>
                <w:szCs w:val="18"/>
                <w:color w:val="auto"/>
              </w:rPr>
            </w:pPr>
          </w:p>
        </w:tc>
        <w:tc>
          <w:tcPr>
            <w:tcW w:w="780" w:type="dxa"/>
            <w:vAlign w:val="bottom"/>
            <w:gridSpan w:val="2"/>
            <w:shd w:val="clear" w:color="auto" w:fill="D8D8D8"/>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7"/>
              </w:rPr>
              <w:t>94,209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Contributions to Schlumberger Profit-Sharing Plans</w:t>
            </w:r>
          </w:p>
        </w:tc>
        <w:tc>
          <w:tcPr>
            <w:tcW w:w="560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5220" w:type="dxa"/>
            <w:vAlign w:val="bottom"/>
            <w:shd w:val="clear" w:color="auto" w:fill="D8D8D8"/>
          </w:tcPr>
          <w:p>
            <w:pPr>
              <w:spacing w:after="0"/>
              <w:rPr>
                <w:sz w:val="20"/>
                <w:szCs w:val="20"/>
                <w:color w:val="auto"/>
              </w:rPr>
            </w:pPr>
            <w:r>
              <w:rPr>
                <w:rFonts w:ascii="Arial" w:cs="Arial" w:eastAsia="Arial" w:hAnsi="Arial"/>
                <w:sz w:val="18"/>
                <w:szCs w:val="18"/>
                <w:color w:val="auto"/>
              </w:rPr>
              <w:t>Perquisites:</w:t>
            </w:r>
          </w:p>
        </w:tc>
        <w:tc>
          <w:tcPr>
            <w:tcW w:w="4820" w:type="dxa"/>
            <w:vAlign w:val="bottom"/>
            <w:shd w:val="clear" w:color="auto" w:fill="D8D8D8"/>
          </w:tcPr>
          <w:p>
            <w:pPr>
              <w:spacing w:after="0"/>
              <w:rPr>
                <w:sz w:val="18"/>
                <w:szCs w:val="18"/>
                <w:color w:val="auto"/>
              </w:rPr>
            </w:pPr>
          </w:p>
        </w:tc>
        <w:tc>
          <w:tcPr>
            <w:tcW w:w="24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Tax preparation</w:t>
            </w:r>
          </w:p>
        </w:tc>
        <w:tc>
          <w:tcPr>
            <w:tcW w:w="560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2,574</w:t>
            </w:r>
          </w:p>
        </w:tc>
      </w:tr>
      <w:tr>
        <w:trPr>
          <w:trHeight w:val="216"/>
        </w:trPr>
        <w:tc>
          <w:tcPr>
            <w:tcW w:w="522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6200" w:type="dxa"/>
            <w:vAlign w:val="bottom"/>
            <w:gridSpan w:val="4"/>
            <w:shd w:val="clear" w:color="auto" w:fill="D8D8D8"/>
          </w:tcPr>
          <w:p>
            <w:pPr>
              <w:jc w:val="right"/>
              <w:ind w:right="12"/>
              <w:spacing w:after="0"/>
              <w:rPr>
                <w:sz w:val="20"/>
                <w:szCs w:val="20"/>
                <w:color w:val="auto"/>
              </w:rPr>
            </w:pPr>
            <w:r>
              <w:rPr>
                <w:rFonts w:ascii="Arial" w:cs="Arial" w:eastAsia="Arial" w:hAnsi="Arial"/>
                <w:sz w:val="18"/>
                <w:szCs w:val="18"/>
                <w:color w:val="auto"/>
              </w:rPr>
              <w:t>$ 104,283</w:t>
            </w:r>
          </w:p>
        </w:tc>
      </w:tr>
      <w:tr>
        <w:trPr>
          <w:trHeight w:val="282"/>
        </w:trPr>
        <w:tc>
          <w:tcPr>
            <w:tcW w:w="5220" w:type="dxa"/>
            <w:vAlign w:val="bottom"/>
          </w:tcPr>
          <w:p>
            <w:pPr>
              <w:ind w:left="100"/>
              <w:spacing w:after="0"/>
              <w:rPr>
                <w:sz w:val="20"/>
                <w:szCs w:val="20"/>
                <w:color w:val="auto"/>
              </w:rPr>
            </w:pPr>
            <w:r>
              <w:rPr>
                <w:rFonts w:ascii="Arial" w:cs="Arial" w:eastAsia="Arial" w:hAnsi="Arial"/>
                <w:sz w:val="18"/>
                <w:szCs w:val="18"/>
                <w:color w:val="auto"/>
                <w:w w:val="98"/>
              </w:rPr>
              <w:t>(10)  The amount disclosed for Mr. Ayat consists of the following:</w:t>
            </w:r>
          </w:p>
        </w:tc>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1"/>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D8D8D8"/>
            </w:tcBorders>
          </w:tcPr>
          <w:p>
            <w:pPr>
              <w:spacing w:after="0"/>
              <w:rPr>
                <w:sz w:val="20"/>
                <w:szCs w:val="20"/>
                <w:color w:val="auto"/>
              </w:rPr>
            </w:pPr>
          </w:p>
        </w:tc>
        <w:tc>
          <w:tcPr>
            <w:tcW w:w="600" w:type="dxa"/>
            <w:vAlign w:val="bottom"/>
            <w:tcBorders>
              <w:bottom w:val="single" w:sz="8" w:color="D8D8D8"/>
            </w:tcBorders>
          </w:tcPr>
          <w:p>
            <w:pPr>
              <w:spacing w:after="0"/>
              <w:rPr>
                <w:sz w:val="20"/>
                <w:szCs w:val="20"/>
                <w:color w:val="auto"/>
              </w:rPr>
            </w:pPr>
          </w:p>
        </w:tc>
      </w:tr>
      <w:tr>
        <w:trPr>
          <w:trHeight w:val="210"/>
        </w:trPr>
        <w:tc>
          <w:tcPr>
            <w:tcW w:w="5220" w:type="dxa"/>
            <w:vAlign w:val="bottom"/>
            <w:shd w:val="clear" w:color="auto" w:fill="D8D8D8"/>
          </w:tcPr>
          <w:p>
            <w:pPr>
              <w:spacing w:after="0"/>
              <w:rPr>
                <w:sz w:val="20"/>
                <w:szCs w:val="20"/>
                <w:color w:val="auto"/>
              </w:rPr>
            </w:pPr>
            <w:r>
              <w:rPr>
                <w:rFonts w:ascii="Arial" w:cs="Arial" w:eastAsia="Arial" w:hAnsi="Arial"/>
                <w:sz w:val="18"/>
                <w:szCs w:val="18"/>
                <w:color w:val="auto"/>
                <w:w w:val="97"/>
              </w:rPr>
              <w:t>Unfunded credits to the Schlumberger Supplementary Benefit Plan</w:t>
            </w:r>
          </w:p>
        </w:tc>
        <w:tc>
          <w:tcPr>
            <w:tcW w:w="5060" w:type="dxa"/>
            <w:vAlign w:val="bottom"/>
            <w:gridSpan w:val="2"/>
            <w:shd w:val="clear" w:color="auto" w:fill="D8D8D8"/>
          </w:tcPr>
          <w:p>
            <w:pPr>
              <w:spacing w:after="0"/>
              <w:rPr>
                <w:sz w:val="18"/>
                <w:szCs w:val="18"/>
                <w:color w:val="auto"/>
              </w:rPr>
            </w:pPr>
          </w:p>
        </w:tc>
        <w:tc>
          <w:tcPr>
            <w:tcW w:w="1140" w:type="dxa"/>
            <w:vAlign w:val="bottom"/>
            <w:gridSpan w:val="2"/>
            <w:shd w:val="clear" w:color="auto" w:fill="D8D8D8"/>
          </w:tcPr>
          <w:p>
            <w:pPr>
              <w:jc w:val="right"/>
              <w:ind w:right="12"/>
              <w:spacing w:after="0"/>
              <w:rPr>
                <w:sz w:val="20"/>
                <w:szCs w:val="20"/>
                <w:color w:val="auto"/>
              </w:rPr>
            </w:pPr>
            <w:r>
              <w:rPr>
                <w:rFonts w:ascii="Arial" w:cs="Arial" w:eastAsia="Arial" w:hAnsi="Arial"/>
                <w:sz w:val="18"/>
                <w:szCs w:val="18"/>
                <w:color w:val="auto"/>
              </w:rPr>
              <w:t>$ 50,043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Contributions to Schlumberger Profit-Sharing Plans</w:t>
            </w:r>
          </w:p>
        </w:tc>
        <w:tc>
          <w:tcPr>
            <w:tcW w:w="5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522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401(k) Plan</w:t>
            </w:r>
          </w:p>
        </w:tc>
        <w:tc>
          <w:tcPr>
            <w:tcW w:w="560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7,500</w:t>
            </w: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6200" w:type="dxa"/>
            <w:vAlign w:val="bottom"/>
            <w:gridSpan w:val="4"/>
          </w:tcPr>
          <w:p>
            <w:pPr>
              <w:jc w:val="right"/>
              <w:ind w:right="12"/>
              <w:spacing w:after="0"/>
              <w:rPr>
                <w:sz w:val="20"/>
                <w:szCs w:val="20"/>
                <w:color w:val="auto"/>
              </w:rPr>
            </w:pPr>
            <w:r>
              <w:rPr>
                <w:rFonts w:ascii="Arial" w:cs="Arial" w:eastAsia="Arial" w:hAnsi="Arial"/>
                <w:sz w:val="18"/>
                <w:szCs w:val="18"/>
                <w:color w:val="auto"/>
              </w:rPr>
              <w:t>$ 65,043</w:t>
            </w:r>
          </w:p>
        </w:tc>
      </w:tr>
      <w:tr>
        <w:trPr>
          <w:trHeight w:val="275"/>
        </w:trPr>
        <w:tc>
          <w:tcPr>
            <w:tcW w:w="5220" w:type="dxa"/>
            <w:vAlign w:val="bottom"/>
          </w:tcPr>
          <w:p>
            <w:pPr>
              <w:ind w:left="100"/>
              <w:spacing w:after="0"/>
              <w:rPr>
                <w:sz w:val="20"/>
                <w:szCs w:val="20"/>
                <w:color w:val="auto"/>
              </w:rPr>
            </w:pPr>
            <w:r>
              <w:rPr>
                <w:rFonts w:ascii="Arial" w:cs="Arial" w:eastAsia="Arial" w:hAnsi="Arial"/>
                <w:sz w:val="18"/>
                <w:szCs w:val="18"/>
                <w:color w:val="auto"/>
              </w:rPr>
              <w:t>(11)  The amount disclosed for Mr. Pai consists of the following:</w:t>
            </w:r>
          </w:p>
        </w:tc>
        <w:tc>
          <w:tcPr>
            <w:tcW w:w="4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31"/>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D8D8D8"/>
            </w:tcBorders>
          </w:tcPr>
          <w:p>
            <w:pPr>
              <w:spacing w:after="0"/>
              <w:rPr>
                <w:sz w:val="20"/>
                <w:szCs w:val="20"/>
                <w:color w:val="auto"/>
              </w:rPr>
            </w:pPr>
          </w:p>
        </w:tc>
        <w:tc>
          <w:tcPr>
            <w:tcW w:w="600" w:type="dxa"/>
            <w:vAlign w:val="bottom"/>
            <w:tcBorders>
              <w:bottom w:val="single" w:sz="8" w:color="D8D8D8"/>
            </w:tcBorders>
          </w:tcPr>
          <w:p>
            <w:pPr>
              <w:spacing w:after="0"/>
              <w:rPr>
                <w:sz w:val="20"/>
                <w:szCs w:val="20"/>
                <w:color w:val="auto"/>
              </w:rPr>
            </w:pPr>
          </w:p>
        </w:tc>
      </w:tr>
      <w:tr>
        <w:trPr>
          <w:trHeight w:val="210"/>
        </w:trPr>
        <w:tc>
          <w:tcPr>
            <w:tcW w:w="522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Non-U.S. Profit-Sharing Plans</w:t>
            </w:r>
          </w:p>
        </w:tc>
        <w:tc>
          <w:tcPr>
            <w:tcW w:w="5060" w:type="dxa"/>
            <w:vAlign w:val="bottom"/>
            <w:gridSpan w:val="2"/>
            <w:shd w:val="clear" w:color="auto" w:fill="D8D8D8"/>
          </w:tcPr>
          <w:p>
            <w:pPr>
              <w:spacing w:after="0"/>
              <w:rPr>
                <w:sz w:val="18"/>
                <w:szCs w:val="18"/>
                <w:color w:val="auto"/>
              </w:rPr>
            </w:pPr>
          </w:p>
        </w:tc>
        <w:tc>
          <w:tcPr>
            <w:tcW w:w="1140" w:type="dxa"/>
            <w:vAlign w:val="bottom"/>
            <w:gridSpan w:val="2"/>
            <w:shd w:val="clear" w:color="auto" w:fill="D8D8D8"/>
          </w:tcPr>
          <w:p>
            <w:pPr>
              <w:jc w:val="right"/>
              <w:ind w:right="12"/>
              <w:spacing w:after="0"/>
              <w:rPr>
                <w:sz w:val="20"/>
                <w:szCs w:val="20"/>
                <w:color w:val="auto"/>
              </w:rPr>
            </w:pPr>
            <w:r>
              <w:rPr>
                <w:rFonts w:ascii="Arial" w:cs="Arial" w:eastAsia="Arial" w:hAnsi="Arial"/>
                <w:sz w:val="18"/>
                <w:szCs w:val="18"/>
                <w:color w:val="auto"/>
              </w:rPr>
              <w:t>$ 96,152</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Perquisites:</w:t>
            </w: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220" w:type="dxa"/>
            <w:vAlign w:val="bottom"/>
            <w:shd w:val="clear" w:color="auto" w:fill="D8D8D8"/>
          </w:tcPr>
          <w:p>
            <w:pPr>
              <w:ind w:left="440"/>
              <w:spacing w:after="0"/>
              <w:rPr>
                <w:sz w:val="20"/>
                <w:szCs w:val="20"/>
                <w:color w:val="auto"/>
              </w:rPr>
            </w:pPr>
            <w:r>
              <w:rPr>
                <w:rFonts w:ascii="Arial" w:cs="Arial" w:eastAsia="Arial" w:hAnsi="Arial"/>
                <w:sz w:val="18"/>
                <w:szCs w:val="18"/>
                <w:color w:val="auto"/>
              </w:rPr>
              <w:t>Tax preparation</w:t>
            </w:r>
          </w:p>
        </w:tc>
        <w:tc>
          <w:tcPr>
            <w:tcW w:w="560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2,574</w:t>
            </w: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6200" w:type="dxa"/>
            <w:vAlign w:val="bottom"/>
            <w:gridSpan w:val="4"/>
          </w:tcPr>
          <w:p>
            <w:pPr>
              <w:jc w:val="right"/>
              <w:ind w:right="12"/>
              <w:spacing w:after="0"/>
              <w:rPr>
                <w:sz w:val="20"/>
                <w:szCs w:val="20"/>
                <w:color w:val="auto"/>
              </w:rPr>
            </w:pPr>
            <w:r>
              <w:rPr>
                <w:rFonts w:ascii="Arial" w:cs="Arial" w:eastAsia="Arial" w:hAnsi="Arial"/>
                <w:sz w:val="18"/>
                <w:szCs w:val="18"/>
                <w:color w:val="auto"/>
              </w:rPr>
              <w:t>$ 98,726</w:t>
            </w:r>
          </w:p>
        </w:tc>
      </w:tr>
      <w:tr>
        <w:trPr>
          <w:trHeight w:val="356"/>
        </w:trPr>
        <w:tc>
          <w:tcPr>
            <w:tcW w:w="5220" w:type="dxa"/>
            <w:vAlign w:val="bottom"/>
          </w:tcPr>
          <w:p>
            <w:pPr>
              <w:spacing w:after="0"/>
              <w:rPr>
                <w:sz w:val="24"/>
                <w:szCs w:val="24"/>
                <w:color w:val="auto"/>
              </w:rPr>
            </w:pPr>
          </w:p>
        </w:tc>
        <w:tc>
          <w:tcPr>
            <w:tcW w:w="4820" w:type="dxa"/>
            <w:vAlign w:val="bottom"/>
          </w:tcPr>
          <w:p>
            <w:pPr>
              <w:jc w:val="right"/>
              <w:ind w:right="415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180" w:hanging="451"/>
        <w:spacing w:after="0" w:line="268"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disclosed for Mr. Oestdahl consists of the following (contributions into the Norway DC Pension Plan were made in Kronor, with the amount disclosed below being determined by using the 2012 full-year average exchange rate of 1 U.S. Dollar = 5.835 Kronor):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680" w:type="dxa"/>
            <w:vAlign w:val="bottom"/>
            <w:tcBorders>
              <w:bottom w:val="single" w:sz="8" w:color="D8D8D8"/>
            </w:tcBorders>
          </w:tcPr>
          <w:p>
            <w:pPr>
              <w:spacing w:after="0"/>
              <w:rPr>
                <w:sz w:val="15"/>
                <w:szCs w:val="15"/>
                <w:color w:val="auto"/>
              </w:rPr>
            </w:pPr>
          </w:p>
        </w:tc>
        <w:tc>
          <w:tcPr>
            <w:tcW w:w="700" w:type="dxa"/>
            <w:vAlign w:val="bottom"/>
            <w:tcBorders>
              <w:bottom w:val="single" w:sz="8" w:color="D8D8D8"/>
            </w:tcBorders>
          </w:tcPr>
          <w:p>
            <w:pPr>
              <w:spacing w:after="0"/>
              <w:rPr>
                <w:sz w:val="15"/>
                <w:szCs w:val="15"/>
                <w:color w:val="auto"/>
              </w:rPr>
            </w:pPr>
          </w:p>
        </w:tc>
      </w:tr>
      <w:tr>
        <w:trPr>
          <w:trHeight w:val="210"/>
        </w:trPr>
        <w:tc>
          <w:tcPr>
            <w:tcW w:w="1004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87,573</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Contributions to the Norway DC Pension Plan</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8,685</w:t>
            </w:r>
          </w:p>
        </w:tc>
      </w:tr>
      <w:tr>
        <w:trPr>
          <w:trHeight w:val="216"/>
        </w:trPr>
        <w:tc>
          <w:tcPr>
            <w:tcW w:w="10040" w:type="dxa"/>
            <w:vAlign w:val="bottom"/>
            <w:shd w:val="clear" w:color="auto" w:fill="D8D8D8"/>
          </w:tcPr>
          <w:p>
            <w:pPr>
              <w:spacing w:after="0"/>
              <w:rPr>
                <w:sz w:val="20"/>
                <w:szCs w:val="20"/>
                <w:color w:val="auto"/>
              </w:rPr>
            </w:pPr>
            <w:r>
              <w:rPr>
                <w:rFonts w:ascii="Arial" w:cs="Arial" w:eastAsia="Arial" w:hAnsi="Arial"/>
                <w:sz w:val="18"/>
                <w:szCs w:val="18"/>
                <w:color w:val="auto"/>
              </w:rPr>
              <w:t>Perquisites:</w:t>
            </w: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10040" w:type="dxa"/>
            <w:vAlign w:val="bottom"/>
          </w:tcPr>
          <w:p>
            <w:pPr>
              <w:ind w:left="440"/>
              <w:spacing w:after="0"/>
              <w:rPr>
                <w:sz w:val="20"/>
                <w:szCs w:val="20"/>
                <w:color w:val="auto"/>
              </w:rPr>
            </w:pPr>
            <w:r>
              <w:rPr>
                <w:rFonts w:ascii="Arial" w:cs="Arial" w:eastAsia="Arial" w:hAnsi="Arial"/>
                <w:sz w:val="18"/>
                <w:szCs w:val="18"/>
                <w:color w:val="auto"/>
              </w:rPr>
              <w:t>Relocation allowance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1,638</w:t>
            </w:r>
          </w:p>
        </w:tc>
      </w:tr>
      <w:tr>
        <w:trPr>
          <w:trHeight w:val="216"/>
        </w:trPr>
        <w:tc>
          <w:tcPr>
            <w:tcW w:w="10040" w:type="dxa"/>
            <w:vAlign w:val="bottom"/>
            <w:shd w:val="clear" w:color="auto" w:fill="D8D8D8"/>
          </w:tcPr>
          <w:p>
            <w:pPr>
              <w:ind w:left="440"/>
              <w:spacing w:after="0"/>
              <w:rPr>
                <w:sz w:val="20"/>
                <w:szCs w:val="20"/>
                <w:color w:val="auto"/>
              </w:rPr>
            </w:pPr>
            <w:r>
              <w:rPr>
                <w:rFonts w:ascii="Arial" w:cs="Arial" w:eastAsia="Arial" w:hAnsi="Arial"/>
                <w:sz w:val="18"/>
                <w:szCs w:val="18"/>
                <w:color w:val="auto"/>
              </w:rPr>
              <w:t>Child education expenses</w:t>
            </w: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57,529</w:t>
            </w:r>
          </w:p>
        </w:tc>
      </w:tr>
      <w:tr>
        <w:trPr>
          <w:trHeight w:val="216"/>
        </w:trPr>
        <w:tc>
          <w:tcPr>
            <w:tcW w:w="10040" w:type="dxa"/>
            <w:vAlign w:val="bottom"/>
          </w:tcPr>
          <w:p>
            <w:pPr>
              <w:ind w:left="440"/>
              <w:spacing w:after="0"/>
              <w:rPr>
                <w:sz w:val="20"/>
                <w:szCs w:val="20"/>
                <w:color w:val="auto"/>
              </w:rPr>
            </w:pPr>
            <w:r>
              <w:rPr>
                <w:rFonts w:ascii="Arial" w:cs="Arial" w:eastAsia="Arial" w:hAnsi="Arial"/>
                <w:sz w:val="18"/>
                <w:szCs w:val="18"/>
                <w:color w:val="auto"/>
              </w:rPr>
              <w:t>Tax preparation</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2,574</w:t>
            </w:r>
          </w:p>
        </w:tc>
      </w:tr>
      <w:tr>
        <w:trPr>
          <w:trHeight w:val="216"/>
        </w:trPr>
        <w:tc>
          <w:tcPr>
            <w:tcW w:w="10040" w:type="dxa"/>
            <w:vAlign w:val="bottom"/>
            <w:shd w:val="clear" w:color="auto" w:fill="D8D8D8"/>
          </w:tcPr>
          <w:p>
            <w:pPr>
              <w:ind w:left="440"/>
              <w:spacing w:after="0"/>
              <w:rPr>
                <w:sz w:val="20"/>
                <w:szCs w:val="20"/>
                <w:color w:val="auto"/>
              </w:rPr>
            </w:pPr>
            <w:r>
              <w:rPr>
                <w:rFonts w:ascii="Arial" w:cs="Arial" w:eastAsia="Arial" w:hAnsi="Arial"/>
                <w:sz w:val="18"/>
                <w:szCs w:val="18"/>
                <w:color w:val="auto"/>
              </w:rPr>
              <w:t>French lessons</w:t>
            </w: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1,422</w:t>
            </w:r>
          </w:p>
        </w:tc>
      </w:tr>
      <w:tr>
        <w:trPr>
          <w:trHeight w:val="222"/>
        </w:trPr>
        <w:tc>
          <w:tcPr>
            <w:tcW w:w="100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159,421</w:t>
            </w:r>
          </w:p>
        </w:tc>
      </w:tr>
    </w:tbl>
    <w:p>
      <w:pPr>
        <w:spacing w:after="0" w:line="53" w:lineRule="exact"/>
        <w:rPr>
          <w:sz w:val="20"/>
          <w:szCs w:val="20"/>
          <w:color w:val="auto"/>
        </w:rPr>
      </w:pPr>
    </w:p>
    <w:p>
      <w:pPr>
        <w:ind w:left="500" w:right="60" w:hanging="451"/>
        <w:spacing w:after="0" w:line="294"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$53,000 representing employer contributions made to Mr. Oestdahl’s Norway DC Pension Plan account and to his International Staff Profit Sharing account (both for the periods from March-December 2011), which were not previously reported. The adjustments to Mr. Oestdahl’s accounts were made following Norwegian and French governmental approvals of Mr. Oestdahl’s secondment from Norway to France, which approvals occurred in the second half of 2012. The contributions into Mr. Oestdahl’s Norway DC Pension Plan account were made in Kronor, with such compensation having been determined using the 2012 full-year average exchange rate of 1 U.S. Dollar = 5.579 Kronor.</w:t>
      </w:r>
    </w:p>
    <w:p>
      <w:pPr>
        <w:spacing w:after="0" w:line="21" w:lineRule="exact"/>
        <w:rPr>
          <w:rFonts w:ascii="Arial" w:cs="Arial" w:eastAsia="Arial" w:hAnsi="Arial"/>
          <w:sz w:val="16"/>
          <w:szCs w:val="16"/>
          <w:color w:val="auto"/>
        </w:rPr>
      </w:pPr>
    </w:p>
    <w:p>
      <w:pPr>
        <w:ind w:left="540" w:hanging="437"/>
        <w:spacing w:after="0"/>
        <w:tabs>
          <w:tab w:leader="none" w:pos="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amount disclosed for Mr. Belani consists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4640" w:type="dxa"/>
            <w:vAlign w:val="bottom"/>
            <w:tcBorders>
              <w:bottom w:val="single" w:sz="8" w:color="auto"/>
            </w:tcBorders>
          </w:tcPr>
          <w:p>
            <w:pPr>
              <w:spacing w:after="0"/>
              <w:rPr>
                <w:sz w:val="15"/>
                <w:szCs w:val="15"/>
                <w:color w:val="auto"/>
              </w:rPr>
            </w:pPr>
          </w:p>
        </w:tc>
        <w:tc>
          <w:tcPr>
            <w:tcW w:w="680" w:type="dxa"/>
            <w:vAlign w:val="bottom"/>
            <w:tcBorders>
              <w:bottom w:val="single" w:sz="8" w:color="D8D8D8"/>
            </w:tcBorders>
          </w:tcPr>
          <w:p>
            <w:pPr>
              <w:spacing w:after="0"/>
              <w:rPr>
                <w:sz w:val="15"/>
                <w:szCs w:val="15"/>
                <w:color w:val="auto"/>
              </w:rPr>
            </w:pPr>
          </w:p>
        </w:tc>
        <w:tc>
          <w:tcPr>
            <w:tcW w:w="700" w:type="dxa"/>
            <w:vAlign w:val="bottom"/>
            <w:tcBorders>
              <w:bottom w:val="single" w:sz="8" w:color="D8D8D8"/>
            </w:tcBorders>
          </w:tcPr>
          <w:p>
            <w:pPr>
              <w:spacing w:after="0"/>
              <w:rPr>
                <w:sz w:val="15"/>
                <w:szCs w:val="15"/>
                <w:color w:val="auto"/>
              </w:rPr>
            </w:pPr>
          </w:p>
        </w:tc>
      </w:tr>
      <w:tr>
        <w:trPr>
          <w:trHeight w:val="210"/>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41,598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1"/>
              </w:rPr>
              <w:t>Unfunded matching credits to the Schlumberger Restoration Savings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41,598</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Contributions to Schlumberger Profit-Sharing Plans</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Perquisites:</w:t>
            </w:r>
          </w:p>
        </w:tc>
        <w:tc>
          <w:tcPr>
            <w:tcW w:w="464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Relocation expenses—movement of household goods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1,560</w:t>
            </w:r>
          </w:p>
        </w:tc>
      </w:tr>
      <w:tr>
        <w:trPr>
          <w:trHeight w:val="216"/>
        </w:trPr>
        <w:tc>
          <w:tcPr>
            <w:tcW w:w="54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Temporary housing</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4,348</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Tax preparation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3,089</w:t>
            </w:r>
          </w:p>
        </w:tc>
      </w:tr>
      <w:tr>
        <w:trPr>
          <w:trHeight w:val="216"/>
        </w:trPr>
        <w:tc>
          <w:tcPr>
            <w:tcW w:w="5400" w:type="dxa"/>
            <w:vAlign w:val="bottom"/>
            <w:shd w:val="clear" w:color="auto" w:fill="D8D8D8"/>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89"/>
              </w:rPr>
              <w:t>107,193</w:t>
            </w:r>
          </w:p>
        </w:tc>
      </w:tr>
      <w:tr>
        <w:trPr>
          <w:trHeight w:val="363"/>
        </w:trPr>
        <w:tc>
          <w:tcPr>
            <w:tcW w:w="5400" w:type="dxa"/>
            <w:vAlign w:val="bottom"/>
          </w:tcPr>
          <w:p>
            <w:pPr>
              <w:spacing w:after="0"/>
              <w:rPr>
                <w:sz w:val="24"/>
                <w:szCs w:val="24"/>
                <w:color w:val="auto"/>
              </w:rPr>
            </w:pPr>
          </w:p>
        </w:tc>
        <w:tc>
          <w:tcPr>
            <w:tcW w:w="4640" w:type="dxa"/>
            <w:vAlign w:val="bottom"/>
          </w:tcPr>
          <w:p>
            <w:pPr>
              <w:jc w:val="right"/>
              <w:ind w:right="4152"/>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Fiscal Year 2012</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Schlumberger’s named executive officers during the year ended December 31,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All Other</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Full</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Closing</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gridSpan w:val="6"/>
          </w:tcPr>
          <w:p>
            <w:pPr>
              <w:jc w:val="center"/>
              <w:ind w:right="340"/>
              <w:spacing w:after="0" w:line="148" w:lineRule="exact"/>
              <w:rPr>
                <w:sz w:val="20"/>
                <w:szCs w:val="20"/>
                <w:color w:val="auto"/>
              </w:rPr>
            </w:pPr>
            <w:r>
              <w:rPr>
                <w:rFonts w:ascii="Arial" w:cs="Arial" w:eastAsia="Arial" w:hAnsi="Arial"/>
                <w:sz w:val="14"/>
                <w:szCs w:val="14"/>
                <w:b w:val="1"/>
                <w:bCs w:val="1"/>
                <w:color w:val="auto"/>
                <w:w w:val="85"/>
              </w:rPr>
              <w:t>Estimated Possible Payouts Under</w:t>
            </w:r>
          </w:p>
        </w:tc>
        <w:tc>
          <w:tcPr>
            <w:tcW w:w="10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1"/>
              </w:rPr>
              <w:t>or Base</w:t>
            </w:r>
          </w:p>
        </w:tc>
        <w:tc>
          <w:tcPr>
            <w:tcW w:w="900" w:type="dxa"/>
            <w:vAlign w:val="bottom"/>
            <w:gridSpan w:val="3"/>
          </w:tcPr>
          <w:p>
            <w:pPr>
              <w:jc w:val="center"/>
              <w:ind w:right="340"/>
              <w:spacing w:after="0" w:line="148" w:lineRule="exact"/>
              <w:rPr>
                <w:sz w:val="20"/>
                <w:szCs w:val="20"/>
                <w:color w:val="auto"/>
              </w:rPr>
            </w:pPr>
            <w:r>
              <w:rPr>
                <w:rFonts w:ascii="Arial" w:cs="Arial" w:eastAsia="Arial" w:hAnsi="Arial"/>
                <w:sz w:val="14"/>
                <w:szCs w:val="14"/>
                <w:b w:val="1"/>
                <w:bCs w:val="1"/>
                <w:color w:val="auto"/>
                <w:w w:val="97"/>
              </w:rPr>
              <w:t>Market</w:t>
            </w:r>
          </w:p>
        </w:tc>
        <w:tc>
          <w:tcPr>
            <w:tcW w:w="11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gridSpan w:val="6"/>
          </w:tcPr>
          <w:p>
            <w:pPr>
              <w:jc w:val="center"/>
              <w:ind w:right="340"/>
              <w:spacing w:after="0" w:line="150" w:lineRule="exact"/>
              <w:rPr>
                <w:sz w:val="20"/>
                <w:szCs w:val="20"/>
                <w:color w:val="auto"/>
              </w:rPr>
            </w:pPr>
            <w:r>
              <w:rPr>
                <w:rFonts w:ascii="Arial" w:cs="Arial" w:eastAsia="Arial" w:hAnsi="Arial"/>
                <w:sz w:val="11"/>
                <w:szCs w:val="11"/>
                <w:b w:val="1"/>
                <w:bCs w:val="1"/>
                <w:color w:val="auto"/>
              </w:rPr>
              <w:t>Non-Equity Incentive Plan Awards</w:t>
            </w:r>
            <w:r>
              <w:rPr>
                <w:rFonts w:ascii="Arial" w:cs="Arial" w:eastAsia="Arial" w:hAnsi="Arial"/>
                <w:sz w:val="17"/>
                <w:szCs w:val="17"/>
                <w:b w:val="1"/>
                <w:bCs w:val="1"/>
                <w:color w:val="auto"/>
                <w:vertAlign w:val="superscript"/>
              </w:rPr>
              <w:t>(1)</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Price of</w:t>
            </w: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Price on</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2"/>
                <w:szCs w:val="2"/>
                <w:color w:val="auto"/>
              </w:rPr>
            </w:pPr>
          </w:p>
        </w:tc>
        <w:tc>
          <w:tcPr>
            <w:tcW w:w="8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Grant</w:t>
            </w:r>
          </w:p>
        </w:tc>
        <w:tc>
          <w:tcPr>
            <w:tcW w:w="11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Grant</w:t>
            </w: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Options</w:t>
            </w: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8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76"/>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D8D8D8"/>
            </w:tcBorders>
          </w:tcPr>
          <w:p>
            <w:pPr>
              <w:spacing w:after="0"/>
              <w:rPr>
                <w:sz w:val="15"/>
                <w:szCs w:val="15"/>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Date</w:t>
            </w:r>
          </w:p>
        </w:tc>
        <w:tc>
          <w:tcPr>
            <w:tcW w:w="320" w:type="dxa"/>
            <w:vAlign w:val="bottom"/>
            <w:tcBorders>
              <w:bottom w:val="single" w:sz="8" w:color="D8D8D8"/>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 xml:space="preserve">Threshold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320" w:type="dxa"/>
            <w:vAlign w:val="bottom"/>
            <w:tcBorders>
              <w:bottom w:val="single" w:sz="8" w:color="D8D8D8"/>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Target ($)</w:t>
            </w:r>
          </w:p>
        </w:tc>
        <w:tc>
          <w:tcPr>
            <w:tcW w:w="320" w:type="dxa"/>
            <w:vAlign w:val="bottom"/>
            <w:tcBorders>
              <w:bottom w:val="single" w:sz="8" w:color="D8D8D8"/>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Maximum ($)</w:t>
            </w:r>
          </w:p>
        </w:tc>
        <w:tc>
          <w:tcPr>
            <w:tcW w:w="320" w:type="dxa"/>
            <w:vAlign w:val="bottom"/>
            <w:tcBorders>
              <w:bottom w:val="single" w:sz="8" w:color="D8D8D8"/>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D8D8D8"/>
            </w:tcBorders>
          </w:tcPr>
          <w:p>
            <w:pPr>
              <w:spacing w:after="0"/>
              <w:rPr>
                <w:sz w:val="15"/>
                <w:szCs w:val="15"/>
                <w:color w:val="auto"/>
              </w:rPr>
            </w:pPr>
          </w:p>
        </w:tc>
        <w:tc>
          <w:tcPr>
            <w:tcW w:w="5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/Sh)</w:t>
            </w:r>
            <w:r>
              <w:rPr>
                <w:rFonts w:ascii="Arial" w:cs="Arial" w:eastAsia="Arial" w:hAnsi="Arial"/>
                <w:sz w:val="20"/>
                <w:szCs w:val="20"/>
                <w:b w:val="1"/>
                <w:bCs w:val="1"/>
                <w:color w:val="auto"/>
                <w:w w:val="91"/>
                <w:vertAlign w:val="superscript"/>
              </w:rPr>
              <w:t>(2)</w:t>
            </w:r>
          </w:p>
        </w:tc>
        <w:tc>
          <w:tcPr>
            <w:tcW w:w="320" w:type="dxa"/>
            <w:vAlign w:val="bottom"/>
            <w:tcBorders>
              <w:bottom w:val="single" w:sz="8" w:color="D8D8D8"/>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($/Sh)</w:t>
            </w:r>
          </w:p>
        </w:tc>
        <w:tc>
          <w:tcPr>
            <w:tcW w:w="320" w:type="dxa"/>
            <w:vAlign w:val="bottom"/>
            <w:tcBorders>
              <w:bottom w:val="single" w:sz="8" w:color="D8D8D8"/>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Awards ($)</w:t>
            </w:r>
          </w:p>
        </w:tc>
        <w:tc>
          <w:tcPr>
            <w:tcW w:w="120" w:type="dxa"/>
            <w:vAlign w:val="bottom"/>
            <w:tcBorders>
              <w:bottom w:val="single" w:sz="8" w:color="D8D8D8"/>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D8D8D8"/>
          </w:tcPr>
          <w:p>
            <w:pPr>
              <w:spacing w:after="0"/>
              <w:rPr>
                <w:sz w:val="20"/>
                <w:szCs w:val="20"/>
                <w:color w:val="auto"/>
              </w:rPr>
            </w:pPr>
            <w:r>
              <w:rPr>
                <w:rFonts w:ascii="Arial" w:cs="Arial" w:eastAsia="Arial" w:hAnsi="Arial"/>
                <w:sz w:val="18"/>
                <w:szCs w:val="18"/>
                <w:color w:val="auto"/>
              </w:rPr>
              <w:t>P. Kibsgaard</w:t>
            </w:r>
          </w:p>
        </w:tc>
        <w:tc>
          <w:tcPr>
            <w:tcW w:w="1400" w:type="dxa"/>
            <w:vAlign w:val="bottom"/>
            <w:gridSpan w:val="3"/>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1/19/2012</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650,250</w:t>
            </w: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2,231,250</w:t>
            </w:r>
          </w:p>
        </w:tc>
        <w:tc>
          <w:tcPr>
            <w:tcW w:w="320" w:type="dxa"/>
            <w:vAlign w:val="bottom"/>
            <w:shd w:val="clear" w:color="auto" w:fill="D8D8D8"/>
          </w:tcPr>
          <w:p>
            <w:pPr>
              <w:spacing w:after="0"/>
              <w:rPr>
                <w:sz w:val="18"/>
                <w:szCs w:val="18"/>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5,100,000</w:t>
            </w:r>
          </w:p>
        </w:tc>
        <w:tc>
          <w:tcPr>
            <w:tcW w:w="320" w:type="dxa"/>
            <w:vAlign w:val="bottom"/>
            <w:shd w:val="clear" w:color="auto" w:fill="D8D8D8"/>
          </w:tcPr>
          <w:p>
            <w:pPr>
              <w:spacing w:after="0"/>
              <w:rPr>
                <w:sz w:val="18"/>
                <w:szCs w:val="18"/>
                <w:color w:val="auto"/>
              </w:rPr>
            </w:pPr>
          </w:p>
        </w:tc>
        <w:tc>
          <w:tcPr>
            <w:tcW w:w="7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429,000</w:t>
            </w:r>
          </w:p>
        </w:tc>
        <w:tc>
          <w:tcPr>
            <w:tcW w:w="320" w:type="dxa"/>
            <w:vAlign w:val="bottom"/>
            <w:shd w:val="clear" w:color="auto" w:fill="D8D8D8"/>
          </w:tcPr>
          <w:p>
            <w:pPr>
              <w:spacing w:after="0"/>
              <w:rPr>
                <w:sz w:val="18"/>
                <w:szCs w:val="18"/>
                <w:color w:val="auto"/>
              </w:rPr>
            </w:pPr>
          </w:p>
        </w:tc>
        <w:tc>
          <w:tcPr>
            <w:tcW w:w="56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3"/>
              </w:rPr>
              <w:t>$ 72.11</w:t>
            </w:r>
          </w:p>
        </w:tc>
        <w:tc>
          <w:tcPr>
            <w:tcW w:w="320" w:type="dxa"/>
            <w:vAlign w:val="bottom"/>
            <w:shd w:val="clear" w:color="auto" w:fill="D8D8D8"/>
          </w:tcPr>
          <w:p>
            <w:pPr>
              <w:spacing w:after="0"/>
              <w:rPr>
                <w:sz w:val="18"/>
                <w:szCs w:val="18"/>
                <w:color w:val="auto"/>
              </w:rPr>
            </w:pPr>
          </w:p>
        </w:tc>
        <w:tc>
          <w:tcPr>
            <w:tcW w:w="100" w:type="dxa"/>
            <w:vAlign w:val="bottom"/>
            <w:vMerge w:val="restart"/>
            <w:shd w:val="clear" w:color="auto" w:fill="D8D8D8"/>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72.86</w:t>
            </w:r>
          </w:p>
        </w:tc>
        <w:tc>
          <w:tcPr>
            <w:tcW w:w="320" w:type="dxa"/>
            <w:vAlign w:val="bottom"/>
            <w:shd w:val="clear" w:color="auto" w:fill="D8D8D8"/>
          </w:tcPr>
          <w:p>
            <w:pPr>
              <w:spacing w:after="0"/>
              <w:rPr>
                <w:sz w:val="18"/>
                <w:szCs w:val="18"/>
                <w:color w:val="auto"/>
              </w:rPr>
            </w:pP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10,879,440</w:t>
            </w: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D8D8D8"/>
          </w:tcPr>
          <w:p>
            <w:pPr>
              <w:spacing w:after="0"/>
              <w:rPr>
                <w:sz w:val="18"/>
                <w:szCs w:val="18"/>
                <w:color w:val="auto"/>
              </w:rPr>
            </w:pPr>
          </w:p>
        </w:tc>
        <w:tc>
          <w:tcPr>
            <w:tcW w:w="1400" w:type="dxa"/>
            <w:vAlign w:val="bottom"/>
            <w:gridSpan w:val="3"/>
            <w:vMerge w:val="continue"/>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7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5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 w:type="dxa"/>
            <w:vAlign w:val="bottom"/>
            <w:vMerge w:val="continue"/>
            <w:shd w:val="clear" w:color="auto" w:fill="D8D8D8"/>
          </w:tcPr>
          <w:p>
            <w:pPr>
              <w:spacing w:after="0"/>
              <w:rPr>
                <w:sz w:val="18"/>
                <w:szCs w:val="18"/>
                <w:color w:val="auto"/>
              </w:rPr>
            </w:pPr>
          </w:p>
        </w:tc>
        <w:tc>
          <w:tcPr>
            <w:tcW w:w="48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00" w:type="dxa"/>
            <w:vAlign w:val="bottom"/>
          </w:tcPr>
          <w:p>
            <w:pPr>
              <w:spacing w:after="0"/>
              <w:rPr>
                <w:sz w:val="20"/>
                <w:szCs w:val="20"/>
                <w:color w:val="auto"/>
              </w:rPr>
            </w:pPr>
            <w:r>
              <w:rPr>
                <w:rFonts w:ascii="Arial" w:cs="Arial" w:eastAsia="Arial" w:hAnsi="Arial"/>
                <w:sz w:val="18"/>
                <w:szCs w:val="18"/>
                <w:color w:val="auto"/>
              </w:rPr>
              <w:t>S. Ayat</w:t>
            </w:r>
          </w:p>
        </w:tc>
        <w:tc>
          <w:tcPr>
            <w:tcW w:w="14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1/19/2012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255,000</w:t>
            </w:r>
          </w:p>
        </w:tc>
        <w:tc>
          <w:tcPr>
            <w:tcW w:w="860" w:type="dxa"/>
            <w:vAlign w:val="bottom"/>
          </w:tcPr>
          <w:p>
            <w:pPr>
              <w:jc w:val="right"/>
              <w:spacing w:after="0"/>
              <w:rPr>
                <w:sz w:val="20"/>
                <w:szCs w:val="20"/>
                <w:color w:val="auto"/>
              </w:rPr>
            </w:pPr>
            <w:r>
              <w:rPr>
                <w:rFonts w:ascii="Arial" w:cs="Arial" w:eastAsia="Arial" w:hAnsi="Arial"/>
                <w:sz w:val="18"/>
                <w:szCs w:val="18"/>
                <w:color w:val="auto"/>
              </w:rPr>
              <w:t>875,000</w:t>
            </w:r>
          </w:p>
        </w:tc>
        <w:tc>
          <w:tcPr>
            <w:tcW w:w="32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2,000,000</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137,000</w:t>
            </w:r>
          </w:p>
        </w:tc>
        <w:tc>
          <w:tcPr>
            <w:tcW w:w="32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3"/>
              </w:rPr>
              <w:t>$ 72.11</w:t>
            </w:r>
          </w:p>
        </w:tc>
        <w:tc>
          <w:tcPr>
            <w:tcW w:w="3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72.86</w:t>
            </w:r>
          </w:p>
        </w:tc>
        <w:tc>
          <w:tcPr>
            <w:tcW w:w="3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3,474,320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00" w:type="dxa"/>
            <w:vAlign w:val="bottom"/>
            <w:shd w:val="clear" w:color="auto" w:fill="D8D8D8"/>
          </w:tcPr>
          <w:p>
            <w:pPr>
              <w:spacing w:after="0"/>
              <w:rPr>
                <w:sz w:val="20"/>
                <w:szCs w:val="20"/>
                <w:color w:val="auto"/>
              </w:rPr>
            </w:pPr>
            <w:r>
              <w:rPr>
                <w:rFonts w:ascii="Arial" w:cs="Arial" w:eastAsia="Arial" w:hAnsi="Arial"/>
                <w:sz w:val="18"/>
                <w:szCs w:val="18"/>
                <w:color w:val="auto"/>
              </w:rPr>
              <w:t>S. Pai</w:t>
            </w:r>
          </w:p>
        </w:tc>
        <w:tc>
          <w:tcPr>
            <w:tcW w:w="220" w:type="dxa"/>
            <w:vAlign w:val="bottom"/>
            <w:shd w:val="clear" w:color="auto" w:fill="D8D8D8"/>
          </w:tcPr>
          <w:p>
            <w:pPr>
              <w:spacing w:after="0"/>
              <w:rPr>
                <w:sz w:val="24"/>
                <w:szCs w:val="24"/>
                <w:color w:val="auto"/>
              </w:rPr>
            </w:pPr>
          </w:p>
        </w:tc>
        <w:tc>
          <w:tcPr>
            <w:tcW w:w="11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1/19/2012</w:t>
            </w:r>
          </w:p>
        </w:tc>
        <w:tc>
          <w:tcPr>
            <w:tcW w:w="122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229,732</w:t>
            </w: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788,297</w:t>
            </w:r>
          </w:p>
        </w:tc>
        <w:tc>
          <w:tcPr>
            <w:tcW w:w="320" w:type="dxa"/>
            <w:vAlign w:val="bottom"/>
            <w:shd w:val="clear" w:color="auto" w:fill="D8D8D8"/>
          </w:tcPr>
          <w:p>
            <w:pPr>
              <w:spacing w:after="0"/>
              <w:rPr>
                <w:sz w:val="24"/>
                <w:szCs w:val="24"/>
                <w:color w:val="auto"/>
              </w:rPr>
            </w:pPr>
          </w:p>
        </w:tc>
        <w:tc>
          <w:tcPr>
            <w:tcW w:w="124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1,801,822</w:t>
            </w:r>
          </w:p>
        </w:tc>
        <w:tc>
          <w:tcPr>
            <w:tcW w:w="7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137,000</w:t>
            </w:r>
          </w:p>
        </w:tc>
        <w:tc>
          <w:tcPr>
            <w:tcW w:w="320" w:type="dxa"/>
            <w:vAlign w:val="bottom"/>
            <w:shd w:val="clear" w:color="auto" w:fill="D8D8D8"/>
          </w:tcPr>
          <w:p>
            <w:pPr>
              <w:spacing w:after="0"/>
              <w:rPr>
                <w:sz w:val="24"/>
                <w:szCs w:val="24"/>
                <w:color w:val="auto"/>
              </w:rPr>
            </w:pPr>
          </w:p>
        </w:tc>
        <w:tc>
          <w:tcPr>
            <w:tcW w:w="56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3"/>
              </w:rPr>
              <w:t>$ 72.11</w:t>
            </w:r>
          </w:p>
        </w:tc>
        <w:tc>
          <w:tcPr>
            <w:tcW w:w="320" w:type="dxa"/>
            <w:vAlign w:val="bottom"/>
            <w:shd w:val="clear" w:color="auto" w:fill="D8D8D8"/>
          </w:tcPr>
          <w:p>
            <w:pPr>
              <w:spacing w:after="0"/>
              <w:rPr>
                <w:sz w:val="24"/>
                <w:szCs w:val="24"/>
                <w:color w:val="auto"/>
              </w:rPr>
            </w:pPr>
          </w:p>
        </w:tc>
        <w:tc>
          <w:tcPr>
            <w:tcW w:w="100" w:type="dxa"/>
            <w:vAlign w:val="bottom"/>
            <w:vMerge w:val="restart"/>
            <w:shd w:val="clear" w:color="auto" w:fill="D8D8D8"/>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72.86</w:t>
            </w:r>
          </w:p>
        </w:tc>
        <w:tc>
          <w:tcPr>
            <w:tcW w:w="320" w:type="dxa"/>
            <w:vAlign w:val="bottom"/>
            <w:shd w:val="clear" w:color="auto" w:fill="D8D8D8"/>
          </w:tcPr>
          <w:p>
            <w:pPr>
              <w:spacing w:after="0"/>
              <w:rPr>
                <w:sz w:val="24"/>
                <w:szCs w:val="24"/>
                <w:color w:val="auto"/>
              </w:rPr>
            </w:pP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3,425,000</w:t>
            </w:r>
          </w:p>
        </w:tc>
        <w:tc>
          <w:tcPr>
            <w:tcW w:w="1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180" w:type="dxa"/>
            <w:vAlign w:val="bottom"/>
            <w:gridSpan w:val="2"/>
            <w:vMerge w:val="continue"/>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7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5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 w:type="dxa"/>
            <w:vAlign w:val="bottom"/>
            <w:vMerge w:val="continue"/>
            <w:shd w:val="clear" w:color="auto" w:fill="D8D8D8"/>
          </w:tcPr>
          <w:p>
            <w:pPr>
              <w:spacing w:after="0"/>
              <w:rPr>
                <w:sz w:val="18"/>
                <w:szCs w:val="18"/>
                <w:color w:val="auto"/>
              </w:rPr>
            </w:pPr>
          </w:p>
        </w:tc>
        <w:tc>
          <w:tcPr>
            <w:tcW w:w="48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00" w:type="dxa"/>
            <w:vAlign w:val="bottom"/>
          </w:tcPr>
          <w:p>
            <w:pPr>
              <w:spacing w:after="0"/>
              <w:rPr>
                <w:sz w:val="20"/>
                <w:szCs w:val="20"/>
                <w:color w:val="auto"/>
              </w:rPr>
            </w:pPr>
            <w:r>
              <w:rPr>
                <w:rFonts w:ascii="Arial" w:cs="Arial" w:eastAsia="Arial" w:hAnsi="Arial"/>
                <w:sz w:val="18"/>
                <w:szCs w:val="18"/>
                <w:color w:val="auto"/>
              </w:rPr>
              <w:t>K.-E. Oestdahl</w:t>
            </w:r>
          </w:p>
        </w:tc>
        <w:tc>
          <w:tcPr>
            <w:tcW w:w="14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1/19/2012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210,039</w:t>
            </w:r>
          </w:p>
        </w:tc>
        <w:tc>
          <w:tcPr>
            <w:tcW w:w="860" w:type="dxa"/>
            <w:vAlign w:val="bottom"/>
          </w:tcPr>
          <w:p>
            <w:pPr>
              <w:jc w:val="right"/>
              <w:spacing w:after="0"/>
              <w:rPr>
                <w:sz w:val="20"/>
                <w:szCs w:val="20"/>
                <w:color w:val="auto"/>
              </w:rPr>
            </w:pPr>
            <w:r>
              <w:rPr>
                <w:rFonts w:ascii="Arial" w:cs="Arial" w:eastAsia="Arial" w:hAnsi="Arial"/>
                <w:sz w:val="18"/>
                <w:szCs w:val="18"/>
                <w:color w:val="auto"/>
              </w:rPr>
              <w:t>720,721</w:t>
            </w:r>
          </w:p>
        </w:tc>
        <w:tc>
          <w:tcPr>
            <w:tcW w:w="32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1,647,362</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137,000</w:t>
            </w:r>
          </w:p>
        </w:tc>
        <w:tc>
          <w:tcPr>
            <w:tcW w:w="32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3"/>
              </w:rPr>
              <w:t>$ 72.11</w:t>
            </w:r>
          </w:p>
        </w:tc>
        <w:tc>
          <w:tcPr>
            <w:tcW w:w="3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72.86</w:t>
            </w:r>
          </w:p>
        </w:tc>
        <w:tc>
          <w:tcPr>
            <w:tcW w:w="3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3,474,320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00" w:type="dxa"/>
            <w:vAlign w:val="bottom"/>
            <w:shd w:val="clear" w:color="auto" w:fill="D8D8D8"/>
          </w:tcPr>
          <w:p>
            <w:pPr>
              <w:spacing w:after="0"/>
              <w:rPr>
                <w:sz w:val="20"/>
                <w:szCs w:val="20"/>
                <w:color w:val="auto"/>
              </w:rPr>
            </w:pPr>
            <w:r>
              <w:rPr>
                <w:rFonts w:ascii="Arial" w:cs="Arial" w:eastAsia="Arial" w:hAnsi="Arial"/>
                <w:sz w:val="18"/>
                <w:szCs w:val="18"/>
                <w:color w:val="auto"/>
              </w:rPr>
              <w:t>A. Belani</w:t>
            </w:r>
          </w:p>
        </w:tc>
        <w:tc>
          <w:tcPr>
            <w:tcW w:w="220" w:type="dxa"/>
            <w:vAlign w:val="bottom"/>
            <w:shd w:val="clear" w:color="auto" w:fill="D8D8D8"/>
          </w:tcPr>
          <w:p>
            <w:pPr>
              <w:spacing w:after="0"/>
              <w:rPr>
                <w:sz w:val="24"/>
                <w:szCs w:val="24"/>
                <w:color w:val="auto"/>
              </w:rPr>
            </w:pPr>
          </w:p>
        </w:tc>
        <w:tc>
          <w:tcPr>
            <w:tcW w:w="1180" w:type="dxa"/>
            <w:vAlign w:val="bottom"/>
            <w:gridSpan w:val="2"/>
            <w:vMerge w:val="restart"/>
            <w:shd w:val="clear" w:color="auto" w:fill="D8D8D8"/>
          </w:tcPr>
          <w:p>
            <w:pPr>
              <w:jc w:val="right"/>
              <w:ind w:right="320"/>
              <w:spacing w:after="0"/>
              <w:rPr>
                <w:sz w:val="20"/>
                <w:szCs w:val="20"/>
                <w:color w:val="auto"/>
              </w:rPr>
            </w:pPr>
            <w:r>
              <w:rPr>
                <w:rFonts w:ascii="Arial" w:cs="Arial" w:eastAsia="Arial" w:hAnsi="Arial"/>
                <w:sz w:val="18"/>
                <w:szCs w:val="18"/>
                <w:color w:val="auto"/>
              </w:rPr>
              <w:t>1/19/2012</w:t>
            </w:r>
          </w:p>
        </w:tc>
        <w:tc>
          <w:tcPr>
            <w:tcW w:w="122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229,500</w:t>
            </w: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787,500</w:t>
            </w:r>
          </w:p>
        </w:tc>
        <w:tc>
          <w:tcPr>
            <w:tcW w:w="320" w:type="dxa"/>
            <w:vAlign w:val="bottom"/>
            <w:shd w:val="clear" w:color="auto" w:fill="D8D8D8"/>
          </w:tcPr>
          <w:p>
            <w:pPr>
              <w:spacing w:after="0"/>
              <w:rPr>
                <w:sz w:val="24"/>
                <w:szCs w:val="24"/>
                <w:color w:val="auto"/>
              </w:rPr>
            </w:pPr>
          </w:p>
        </w:tc>
        <w:tc>
          <w:tcPr>
            <w:tcW w:w="1240" w:type="dxa"/>
            <w:vAlign w:val="bottom"/>
            <w:gridSpan w:val="2"/>
            <w:shd w:val="clear" w:color="auto" w:fill="D8D8D8"/>
          </w:tcPr>
          <w:p>
            <w:pPr>
              <w:jc w:val="right"/>
              <w:ind w:right="320"/>
              <w:spacing w:after="0"/>
              <w:rPr>
                <w:sz w:val="20"/>
                <w:szCs w:val="20"/>
                <w:color w:val="auto"/>
              </w:rPr>
            </w:pPr>
            <w:r>
              <w:rPr>
                <w:rFonts w:ascii="Arial" w:cs="Arial" w:eastAsia="Arial" w:hAnsi="Arial"/>
                <w:sz w:val="18"/>
                <w:szCs w:val="18"/>
                <w:color w:val="auto"/>
              </w:rPr>
              <w:t>1,800,000</w:t>
            </w:r>
          </w:p>
        </w:tc>
        <w:tc>
          <w:tcPr>
            <w:tcW w:w="7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127,000</w:t>
            </w:r>
          </w:p>
        </w:tc>
        <w:tc>
          <w:tcPr>
            <w:tcW w:w="320" w:type="dxa"/>
            <w:vAlign w:val="bottom"/>
            <w:shd w:val="clear" w:color="auto" w:fill="D8D8D8"/>
          </w:tcPr>
          <w:p>
            <w:pPr>
              <w:spacing w:after="0"/>
              <w:rPr>
                <w:sz w:val="24"/>
                <w:szCs w:val="24"/>
                <w:color w:val="auto"/>
              </w:rPr>
            </w:pPr>
          </w:p>
        </w:tc>
        <w:tc>
          <w:tcPr>
            <w:tcW w:w="56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3"/>
              </w:rPr>
              <w:t>$ 72.11</w:t>
            </w:r>
          </w:p>
        </w:tc>
        <w:tc>
          <w:tcPr>
            <w:tcW w:w="320" w:type="dxa"/>
            <w:vAlign w:val="bottom"/>
            <w:shd w:val="clear" w:color="auto" w:fill="D8D8D8"/>
          </w:tcPr>
          <w:p>
            <w:pPr>
              <w:spacing w:after="0"/>
              <w:rPr>
                <w:sz w:val="24"/>
                <w:szCs w:val="24"/>
                <w:color w:val="auto"/>
              </w:rPr>
            </w:pPr>
          </w:p>
        </w:tc>
        <w:tc>
          <w:tcPr>
            <w:tcW w:w="100" w:type="dxa"/>
            <w:vAlign w:val="bottom"/>
            <w:vMerge w:val="restart"/>
            <w:shd w:val="clear" w:color="auto" w:fill="D8D8D8"/>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72.86</w:t>
            </w:r>
          </w:p>
        </w:tc>
        <w:tc>
          <w:tcPr>
            <w:tcW w:w="320" w:type="dxa"/>
            <w:vAlign w:val="bottom"/>
            <w:shd w:val="clear" w:color="auto" w:fill="D8D8D8"/>
          </w:tcPr>
          <w:p>
            <w:pPr>
              <w:spacing w:after="0"/>
              <w:rPr>
                <w:sz w:val="24"/>
                <w:szCs w:val="24"/>
                <w:color w:val="auto"/>
              </w:rPr>
            </w:pP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3,220,720</w:t>
            </w:r>
          </w:p>
        </w:tc>
        <w:tc>
          <w:tcPr>
            <w:tcW w:w="1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180" w:type="dxa"/>
            <w:vAlign w:val="bottom"/>
            <w:gridSpan w:val="2"/>
            <w:vMerge w:val="continue"/>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7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56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 w:type="dxa"/>
            <w:vAlign w:val="bottom"/>
            <w:vMerge w:val="continue"/>
            <w:shd w:val="clear" w:color="auto" w:fill="D8D8D8"/>
          </w:tcPr>
          <w:p>
            <w:pPr>
              <w:spacing w:after="0"/>
              <w:rPr>
                <w:sz w:val="18"/>
                <w:szCs w:val="18"/>
                <w:color w:val="auto"/>
              </w:rPr>
            </w:pPr>
          </w:p>
        </w:tc>
        <w:tc>
          <w:tcPr>
            <w:tcW w:w="480" w:type="dxa"/>
            <w:vAlign w:val="bottom"/>
            <w:vMerge w:val="continue"/>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00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right="20" w:hanging="451"/>
        <w:spacing w:after="0" w:line="255"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These columns show the possible payouts for each named executive officer for fiscal year 2012 based on performance goals set in January 2012. Possible payouts are performance-driven.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w:t>
      </w:r>
    </w:p>
    <w:p>
      <w:pPr>
        <w:spacing w:after="0" w:line="35"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The cash incentive amounts actually earned for 2012 and payable in 2013 are reflected in the “Non-Equity Incentive Plan Compensation” column of the Summary Compensation Table. For information regarding the annual cash incentive paid to Schlumberger’s named executive officers with respect to 2012 performance, please see “Compensation Discussion and Analysis—Elements of Compensation—Annual Cash Incentive Decisions for 2012.”</w:t>
      </w:r>
    </w:p>
    <w:p>
      <w:pPr>
        <w:spacing w:after="0" w:line="12" w:lineRule="exact"/>
        <w:rPr>
          <w:sz w:val="20"/>
          <w:szCs w:val="20"/>
          <w:color w:val="auto"/>
        </w:rPr>
      </w:pPr>
    </w:p>
    <w:p>
      <w:pPr>
        <w:ind w:left="500" w:right="160" w:hanging="451"/>
        <w:spacing w:after="0" w:line="259"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exercise price is equal to the average of the high and low per share prices of Schlumberger common stock on the dates of grant, and may be paid in cash or by tendering shares of Schlumberger common stock. Applicable tax obligations may be paid in cash or by withholding of shares of Schlumberger common stock.</w:t>
      </w:r>
    </w:p>
    <w:p>
      <w:pPr>
        <w:spacing w:after="0" w:line="32"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The stock options granted in January 2012 vest in five equal annual installments, except for options granted to employees in France, including Mr. Pai, which are subject to four-year cliff vesting.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2012</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following table provides information regarding unexercised stock options outstanding for each of our named executive officers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600" w:type="dxa"/>
            <w:vAlign w:val="bottom"/>
          </w:tcPr>
          <w:p>
            <w:pPr>
              <w:spacing w:after="0"/>
              <w:rPr>
                <w:sz w:val="14"/>
                <w:szCs w:val="14"/>
                <w:color w:val="auto"/>
              </w:rPr>
            </w:pPr>
          </w:p>
        </w:tc>
        <w:tc>
          <w:tcPr>
            <w:tcW w:w="19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Number of Securities</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19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34"/>
        </w:trPr>
        <w:tc>
          <w:tcPr>
            <w:tcW w:w="3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92"/>
              </w:rPr>
              <w:t>Option Grant</w:t>
            </w:r>
          </w:p>
        </w:tc>
        <w:tc>
          <w:tcPr>
            <w:tcW w:w="5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Unexercised Options</w:t>
            </w:r>
          </w:p>
        </w:tc>
        <w:tc>
          <w:tcPr>
            <w:tcW w:w="600" w:type="dxa"/>
            <w:vAlign w:val="bottom"/>
          </w:tcPr>
          <w:p>
            <w:pPr>
              <w:spacing w:after="0"/>
              <w:rPr>
                <w:sz w:val="11"/>
                <w:szCs w:val="11"/>
                <w:color w:val="auto"/>
              </w:rPr>
            </w:pPr>
          </w:p>
        </w:tc>
        <w:tc>
          <w:tcPr>
            <w:tcW w:w="1960" w:type="dxa"/>
            <w:vAlign w:val="bottom"/>
            <w:gridSpan w:val="2"/>
          </w:tcPr>
          <w:p>
            <w:pPr>
              <w:jc w:val="center"/>
              <w:ind w:right="720"/>
              <w:spacing w:after="0" w:line="135" w:lineRule="exact"/>
              <w:rPr>
                <w:sz w:val="20"/>
                <w:szCs w:val="20"/>
                <w:color w:val="auto"/>
              </w:rPr>
            </w:pPr>
            <w:r>
              <w:rPr>
                <w:rFonts w:ascii="Arial" w:cs="Arial" w:eastAsia="Arial" w:hAnsi="Arial"/>
                <w:sz w:val="14"/>
                <w:szCs w:val="14"/>
                <w:b w:val="1"/>
                <w:bCs w:val="1"/>
                <w:color w:val="auto"/>
                <w:w w:val="85"/>
              </w:rPr>
              <w:t>Unexercised Options</w:t>
            </w:r>
          </w:p>
        </w:tc>
        <w:tc>
          <w:tcPr>
            <w:tcW w:w="11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Exercise</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Expiration</w:t>
            </w:r>
          </w:p>
        </w:tc>
      </w:tr>
      <w:tr>
        <w:trPr>
          <w:trHeight w:val="176"/>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5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 Exercisable</w:t>
            </w:r>
            <w:r>
              <w:rPr>
                <w:rFonts w:ascii="Arial" w:cs="Arial" w:eastAsia="Arial" w:hAnsi="Arial"/>
                <w:sz w:val="20"/>
                <w:szCs w:val="20"/>
                <w:b w:val="1"/>
                <w:bCs w:val="1"/>
                <w:color w:val="auto"/>
                <w:w w:val="90"/>
                <w:vertAlign w:val="superscript"/>
              </w:rPr>
              <w:t>(1)</w:t>
            </w:r>
          </w:p>
        </w:tc>
        <w:tc>
          <w:tcPr>
            <w:tcW w:w="600" w:type="dxa"/>
            <w:vAlign w:val="bottom"/>
          </w:tcPr>
          <w:p>
            <w:pPr>
              <w:spacing w:after="0"/>
              <w:rPr>
                <w:sz w:val="15"/>
                <w:szCs w:val="15"/>
                <w:color w:val="auto"/>
              </w:rPr>
            </w:pPr>
          </w:p>
        </w:tc>
        <w:tc>
          <w:tcPr>
            <w:tcW w:w="1960" w:type="dxa"/>
            <w:vAlign w:val="bottom"/>
            <w:gridSpan w:val="2"/>
          </w:tcPr>
          <w:p>
            <w:pPr>
              <w:jc w:val="center"/>
              <w:ind w:right="720"/>
              <w:spacing w:after="0" w:line="176" w:lineRule="exact"/>
              <w:rPr>
                <w:sz w:val="20"/>
                <w:szCs w:val="20"/>
                <w:color w:val="auto"/>
              </w:rPr>
            </w:pPr>
            <w:r>
              <w:rPr>
                <w:rFonts w:ascii="Arial" w:cs="Arial" w:eastAsia="Arial" w:hAnsi="Arial"/>
                <w:sz w:val="13"/>
                <w:szCs w:val="13"/>
                <w:b w:val="1"/>
                <w:bCs w:val="1"/>
                <w:color w:val="auto"/>
                <w:w w:val="90"/>
              </w:rPr>
              <w:t>(#) Unexercisable</w:t>
            </w:r>
            <w:r>
              <w:rPr>
                <w:rFonts w:ascii="Arial" w:cs="Arial" w:eastAsia="Arial" w:hAnsi="Arial"/>
                <w:sz w:val="20"/>
                <w:szCs w:val="20"/>
                <w:b w:val="1"/>
                <w:bCs w:val="1"/>
                <w:color w:val="auto"/>
                <w:w w:val="90"/>
                <w:vertAlign w:val="superscript"/>
              </w:rPr>
              <w:t>(1)</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r>
      <w:tr>
        <w:trPr>
          <w:trHeight w:val="210"/>
        </w:trPr>
        <w:tc>
          <w:tcPr>
            <w:tcW w:w="354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52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7/19/2006</w:t>
            </w:r>
          </w:p>
        </w:tc>
        <w:tc>
          <w:tcPr>
            <w:tcW w:w="100" w:type="dxa"/>
            <w:vAlign w:val="bottom"/>
            <w:tcBorders>
              <w:top w:val="single" w:sz="8" w:color="D8D8D8"/>
            </w:tcBorders>
            <w:shd w:val="clear" w:color="auto" w:fill="D8D8D8"/>
          </w:tcPr>
          <w:p>
            <w:pPr>
              <w:spacing w:after="0"/>
              <w:rPr>
                <w:sz w:val="18"/>
                <w:szCs w:val="18"/>
                <w:color w:val="auto"/>
              </w:rPr>
            </w:pPr>
          </w:p>
        </w:tc>
        <w:tc>
          <w:tcPr>
            <w:tcW w:w="520" w:type="dxa"/>
            <w:vAlign w:val="bottom"/>
            <w:tcBorders>
              <w:top w:val="single" w:sz="8" w:color="D8D8D8"/>
            </w:tcBorders>
            <w:shd w:val="clear" w:color="auto" w:fill="D8D8D8"/>
          </w:tcPr>
          <w:p>
            <w:pPr>
              <w:spacing w:after="0"/>
              <w:rPr>
                <w:sz w:val="18"/>
                <w:szCs w:val="18"/>
                <w:color w:val="auto"/>
              </w:rPr>
            </w:pPr>
          </w:p>
        </w:tc>
        <w:tc>
          <w:tcPr>
            <w:tcW w:w="12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6,000</w:t>
            </w:r>
          </w:p>
        </w:tc>
        <w:tc>
          <w:tcPr>
            <w:tcW w:w="600" w:type="dxa"/>
            <w:vAlign w:val="bottom"/>
            <w:tcBorders>
              <w:top w:val="single" w:sz="8" w:color="D8D8D8"/>
            </w:tcBorders>
            <w:shd w:val="clear" w:color="auto" w:fill="D8D8D8"/>
          </w:tcPr>
          <w:p>
            <w:pPr>
              <w:spacing w:after="0"/>
              <w:rPr>
                <w:sz w:val="18"/>
                <w:szCs w:val="18"/>
                <w:color w:val="auto"/>
              </w:rPr>
            </w:pPr>
          </w:p>
        </w:tc>
        <w:tc>
          <w:tcPr>
            <w:tcW w:w="12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720" w:type="dxa"/>
            <w:vAlign w:val="bottom"/>
            <w:tcBorders>
              <w:top w:val="single" w:sz="8" w:color="D8D8D8"/>
            </w:tcBorders>
            <w:shd w:val="clear" w:color="auto" w:fill="D8D8D8"/>
          </w:tcPr>
          <w:p>
            <w:pPr>
              <w:spacing w:after="0"/>
              <w:rPr>
                <w:sz w:val="18"/>
                <w:szCs w:val="18"/>
                <w:color w:val="auto"/>
              </w:rPr>
            </w:pPr>
          </w:p>
        </w:tc>
        <w:tc>
          <w:tcPr>
            <w:tcW w:w="540" w:type="dxa"/>
            <w:vAlign w:val="bottom"/>
            <w:tcBorders>
              <w:top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w w:val="83"/>
              </w:rPr>
              <w:t>63.545</w:t>
            </w:r>
          </w:p>
        </w:tc>
        <w:tc>
          <w:tcPr>
            <w:tcW w:w="60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7/19/2016</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1/17/2008</w:t>
            </w: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37,600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9,400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84.930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1/22/2009</w:t>
            </w: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40,000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37.845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4/23/2009</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60,000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40,000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45.880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4/23/2019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1/21/2010</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18,800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28,200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68.505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25,600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38,400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63.760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2/4/2020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1/20/2011</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27,600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110,400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83.885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7/21/2011</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100,000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89.995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7/21/2021</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1/19/2012</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429,000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72.110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1/19/2022</w:t>
            </w:r>
          </w:p>
        </w:tc>
      </w:tr>
      <w:tr>
        <w:trPr>
          <w:trHeight w:val="316"/>
        </w:trPr>
        <w:tc>
          <w:tcPr>
            <w:tcW w:w="3540" w:type="dxa"/>
            <w:vAlign w:val="bottom"/>
          </w:tcPr>
          <w:p>
            <w:pPr>
              <w:spacing w:after="0"/>
              <w:rPr>
                <w:sz w:val="20"/>
                <w:szCs w:val="20"/>
                <w:color w:val="auto"/>
              </w:rPr>
            </w:pPr>
            <w:r>
              <w:rPr>
                <w:rFonts w:ascii="Arial" w:cs="Arial" w:eastAsia="Arial" w:hAnsi="Arial"/>
                <w:sz w:val="18"/>
                <w:szCs w:val="18"/>
                <w:color w:val="auto"/>
              </w:rPr>
              <w:t>S. Ayat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1/18/2006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54.235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1/18/2016</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1/17/2007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58.455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1/17/2017</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1/17/2008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12,000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84.930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1/22/2009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50,000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37.845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1/21/2010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57,000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68.505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1/20/2011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37,600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150,400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83.885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1/20/2021</w:t>
            </w:r>
          </w:p>
        </w:tc>
      </w:tr>
      <w:tr>
        <w:trPr>
          <w:trHeight w:val="223"/>
        </w:trPr>
        <w:tc>
          <w:tcPr>
            <w:tcW w:w="354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1/19/2012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137,000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72.110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1/19/2022</w:t>
            </w:r>
          </w:p>
        </w:tc>
      </w:tr>
      <w:tr>
        <w:trPr>
          <w:trHeight w:val="323"/>
        </w:trPr>
        <w:tc>
          <w:tcPr>
            <w:tcW w:w="3540" w:type="dxa"/>
            <w:vAlign w:val="bottom"/>
            <w:shd w:val="clear" w:color="auto" w:fill="D8D8D8"/>
          </w:tcPr>
          <w:p>
            <w:pPr>
              <w:spacing w:after="0"/>
              <w:rPr>
                <w:sz w:val="20"/>
                <w:szCs w:val="20"/>
                <w:color w:val="auto"/>
              </w:rPr>
            </w:pPr>
            <w:r>
              <w:rPr>
                <w:rFonts w:ascii="Arial" w:cs="Arial" w:eastAsia="Arial" w:hAnsi="Arial"/>
                <w:sz w:val="18"/>
                <w:szCs w:val="18"/>
                <w:color w:val="auto"/>
              </w:rPr>
              <w:t>S. Pai</w:t>
            </w:r>
          </w:p>
        </w:tc>
        <w:tc>
          <w:tcPr>
            <w:tcW w:w="520" w:type="dxa"/>
            <w:vAlign w:val="bottom"/>
            <w:shd w:val="clear" w:color="auto" w:fill="D8D8D8"/>
          </w:tcPr>
          <w:p>
            <w:pPr>
              <w:spacing w:after="0"/>
              <w:rPr>
                <w:sz w:val="24"/>
                <w:szCs w:val="24"/>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1/18/2006</w:t>
            </w: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80,000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54.235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1/18/2016</w:t>
            </w:r>
          </w:p>
        </w:tc>
      </w:tr>
      <w:tr>
        <w:trPr>
          <w:trHeight w:val="218"/>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7/19/2006</w:t>
            </w: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30,000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63.545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7/19/2016</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1/17/2008</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32,000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8,000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84.930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1/22/2009</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51,000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34,000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37.845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4/23/2009</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36,000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24,000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45.880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4/23/2019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1/21/2010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47,000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68.505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68,000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63.760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2/4/2020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3"/>
              </w:rPr>
              <w:t>10/21/2010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83,334</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64.225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w w:val="93"/>
              </w:rPr>
              <w:t>10/21/2020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1/20/2011</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20"/>
              <w:spacing w:after="0"/>
              <w:rPr>
                <w:sz w:val="20"/>
                <w:szCs w:val="20"/>
                <w:color w:val="auto"/>
              </w:rPr>
            </w:pPr>
            <w:r>
              <w:rPr>
                <w:rFonts w:ascii="Arial" w:cs="Arial" w:eastAsia="Arial" w:hAnsi="Arial"/>
                <w:sz w:val="18"/>
                <w:szCs w:val="18"/>
                <w:color w:val="auto"/>
              </w:rPr>
              <w:t>88,000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83.885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1/19/2012</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D8D8D8"/>
          </w:tcPr>
          <w:p>
            <w:pPr>
              <w:spacing w:after="0"/>
              <w:rPr>
                <w:sz w:val="18"/>
                <w:szCs w:val="18"/>
                <w:color w:val="auto"/>
              </w:rPr>
            </w:pPr>
          </w:p>
        </w:tc>
        <w:tc>
          <w:tcPr>
            <w:tcW w:w="1960" w:type="dxa"/>
            <w:vAlign w:val="bottom"/>
            <w:gridSpan w:val="2"/>
            <w:shd w:val="clear" w:color="auto" w:fill="D8D8D8"/>
          </w:tcPr>
          <w:p>
            <w:pPr>
              <w:jc w:val="right"/>
              <w:ind w:right="720"/>
              <w:spacing w:after="0"/>
              <w:rPr>
                <w:sz w:val="20"/>
                <w:szCs w:val="20"/>
                <w:color w:val="auto"/>
              </w:rPr>
            </w:pPr>
            <w:r>
              <w:rPr>
                <w:rFonts w:ascii="Arial" w:cs="Arial" w:eastAsia="Arial" w:hAnsi="Arial"/>
                <w:sz w:val="18"/>
                <w:szCs w:val="18"/>
                <w:color w:val="auto"/>
              </w:rPr>
              <w:t>137,000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72.110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1/19/2022</w:t>
            </w:r>
          </w:p>
        </w:tc>
      </w:tr>
      <w:tr>
        <w:trPr>
          <w:trHeight w:val="316"/>
        </w:trPr>
        <w:tc>
          <w:tcPr>
            <w:tcW w:w="3540" w:type="dxa"/>
            <w:vAlign w:val="bottom"/>
          </w:tcPr>
          <w:p>
            <w:pPr>
              <w:spacing w:after="0"/>
              <w:rPr>
                <w:sz w:val="20"/>
                <w:szCs w:val="20"/>
                <w:color w:val="auto"/>
              </w:rPr>
            </w:pPr>
            <w:r>
              <w:rPr>
                <w:rFonts w:ascii="Arial" w:cs="Arial" w:eastAsia="Arial" w:hAnsi="Arial"/>
                <w:sz w:val="18"/>
                <w:szCs w:val="18"/>
                <w:color w:val="auto"/>
              </w:rPr>
              <w:t>K.-E. Oestdahl</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1/17/2008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4,000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84.930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1/22/2009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4,800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37.845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4/23/2009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6,000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45.880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4/23/2019</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1/21/2010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9,000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68.505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1/20/2011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32,000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83.885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1/20/2021</w:t>
            </w:r>
          </w:p>
        </w:tc>
      </w:tr>
      <w:tr>
        <w:trPr>
          <w:trHeight w:val="216"/>
        </w:trPr>
        <w:tc>
          <w:tcPr>
            <w:tcW w:w="35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4/21/2011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30,000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90.065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4/21/2021</w:t>
            </w:r>
          </w:p>
        </w:tc>
      </w:tr>
      <w:tr>
        <w:trPr>
          <w:trHeight w:val="223"/>
        </w:trPr>
        <w:tc>
          <w:tcPr>
            <w:tcW w:w="354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1/19/2012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tcPr>
          <w:p>
            <w:pPr>
              <w:jc w:val="right"/>
              <w:ind w:right="720"/>
              <w:spacing w:after="0"/>
              <w:rPr>
                <w:sz w:val="20"/>
                <w:szCs w:val="20"/>
                <w:color w:val="auto"/>
              </w:rPr>
            </w:pPr>
            <w:r>
              <w:rPr>
                <w:rFonts w:ascii="Arial" w:cs="Arial" w:eastAsia="Arial" w:hAnsi="Arial"/>
                <w:sz w:val="18"/>
                <w:szCs w:val="18"/>
                <w:color w:val="auto"/>
              </w:rPr>
              <w:t>137,000</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72.110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1/19/2022</w:t>
            </w:r>
          </w:p>
        </w:tc>
      </w:tr>
      <w:tr>
        <w:trPr>
          <w:trHeight w:val="323"/>
        </w:trPr>
        <w:tc>
          <w:tcPr>
            <w:tcW w:w="3540" w:type="dxa"/>
            <w:vAlign w:val="bottom"/>
            <w:shd w:val="clear" w:color="auto" w:fill="D8D8D8"/>
          </w:tcPr>
          <w:p>
            <w:pPr>
              <w:spacing w:after="0"/>
              <w:rPr>
                <w:sz w:val="20"/>
                <w:szCs w:val="20"/>
                <w:color w:val="auto"/>
              </w:rPr>
            </w:pPr>
            <w:r>
              <w:rPr>
                <w:rFonts w:ascii="Arial" w:cs="Arial" w:eastAsia="Arial" w:hAnsi="Arial"/>
                <w:sz w:val="18"/>
                <w:szCs w:val="18"/>
                <w:color w:val="auto"/>
              </w:rPr>
              <w:t>A. Belani</w:t>
            </w:r>
          </w:p>
        </w:tc>
        <w:tc>
          <w:tcPr>
            <w:tcW w:w="520" w:type="dxa"/>
            <w:vAlign w:val="bottom"/>
            <w:shd w:val="clear" w:color="auto" w:fill="D8D8D8"/>
          </w:tcPr>
          <w:p>
            <w:pPr>
              <w:spacing w:after="0"/>
              <w:rPr>
                <w:sz w:val="24"/>
                <w:szCs w:val="24"/>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1/18/2006</w:t>
            </w: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100,000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54.235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1/18/2016</w:t>
            </w:r>
          </w:p>
        </w:tc>
      </w:tr>
      <w:tr>
        <w:trPr>
          <w:trHeight w:val="218"/>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1/17/2007</w:t>
            </w: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50,000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58.455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1/17/2017</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1/17/2008</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48,000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12,000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84.930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1/17/2018</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1/22/2009</w:t>
            </w:r>
          </w:p>
        </w:tc>
        <w:tc>
          <w:tcPr>
            <w:tcW w:w="100" w:type="dxa"/>
            <w:vAlign w:val="bottom"/>
            <w:shd w:val="clear" w:color="auto" w:fill="D8D8D8"/>
          </w:tcPr>
          <w:p>
            <w:pPr>
              <w:spacing w:after="0"/>
              <w:rPr>
                <w:sz w:val="18"/>
                <w:szCs w:val="18"/>
                <w:color w:val="auto"/>
              </w:rPr>
            </w:pP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75,000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50,000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37.845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1/22/2019</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1/21/2010</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23,600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35,400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68.505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1/21/2020</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1/20/2011</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25,800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103,200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83.885</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1/20/2021</w:t>
            </w:r>
          </w:p>
        </w:tc>
      </w:tr>
      <w:tr>
        <w:trPr>
          <w:trHeight w:val="216"/>
        </w:trPr>
        <w:tc>
          <w:tcPr>
            <w:tcW w:w="354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1/19/2012</w:t>
            </w:r>
          </w:p>
        </w:tc>
        <w:tc>
          <w:tcPr>
            <w:tcW w:w="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2560" w:type="dxa"/>
            <w:vAlign w:val="bottom"/>
            <w:gridSpan w:val="3"/>
            <w:shd w:val="clear" w:color="auto" w:fill="D8D8D8"/>
          </w:tcPr>
          <w:p>
            <w:pPr>
              <w:jc w:val="right"/>
              <w:ind w:right="720"/>
              <w:spacing w:after="0"/>
              <w:rPr>
                <w:sz w:val="20"/>
                <w:szCs w:val="20"/>
                <w:color w:val="auto"/>
              </w:rPr>
            </w:pPr>
            <w:r>
              <w:rPr>
                <w:rFonts w:ascii="Arial" w:cs="Arial" w:eastAsia="Arial" w:hAnsi="Arial"/>
                <w:sz w:val="18"/>
                <w:szCs w:val="18"/>
                <w:color w:val="auto"/>
              </w:rPr>
              <w:t>127,000</w:t>
            </w:r>
          </w:p>
        </w:tc>
        <w:tc>
          <w:tcPr>
            <w:tcW w:w="11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72.110</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1/19/2022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right="100" w:hanging="451"/>
        <w:spacing w:after="0" w:line="306" w:lineRule="auto"/>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Options granted from July 2003 to January 2006 have four-year ratable vesting and stock price appreciation is capped at 125% of the exercise price on the date of grant. The grants listed in the table above that were made before and after these dates have five-year ratable vesting and no profit cap, except for options granted to employees in France, including Mr. Pai, which have four-year cliff vesting.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for Fiscal Year 2012</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sets forth certain information with respect to stock options exercised by the named executive officers during 2012. Option award value realized is calculated by subtracting the aggregate exercise price of the options exercised from the aggregate market value of the shares of Schlumberger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Option Awards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6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Acquired</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61"/>
        </w:trPr>
        <w:tc>
          <w:tcPr>
            <w:tcW w:w="8440" w:type="dxa"/>
            <w:vAlign w:val="bottom"/>
            <w:gridSpan w:val="2"/>
            <w:vMerge w:val="continue"/>
          </w:tcPr>
          <w:p>
            <w:pPr>
              <w:spacing w:after="0"/>
              <w:rPr>
                <w:sz w:val="14"/>
                <w:szCs w:val="14"/>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on Exercise(#)</w:t>
            </w: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on Exercise($)</w:t>
            </w: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880" w:type="dxa"/>
            <w:vAlign w:val="bottom"/>
            <w:tcBorders>
              <w:top w:val="single" w:sz="8" w:color="D8D8D8"/>
            </w:tcBorders>
            <w:shd w:val="clear" w:color="auto" w:fill="D8D8D8"/>
          </w:tcPr>
          <w:p>
            <w:pPr>
              <w:spacing w:after="0"/>
              <w:rPr>
                <w:sz w:val="18"/>
                <w:szCs w:val="18"/>
                <w:color w:val="auto"/>
              </w:rPr>
            </w:pPr>
          </w:p>
        </w:tc>
        <w:tc>
          <w:tcPr>
            <w:tcW w:w="10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20,000</w:t>
            </w:r>
          </w:p>
        </w:tc>
        <w:tc>
          <w:tcPr>
            <w:tcW w:w="920" w:type="dxa"/>
            <w:vAlign w:val="bottom"/>
            <w:tcBorders>
              <w:top w:val="single" w:sz="8" w:color="D8D8D8"/>
            </w:tcBorders>
            <w:shd w:val="clear" w:color="auto" w:fill="D8D8D8"/>
          </w:tcPr>
          <w:p>
            <w:pPr>
              <w:spacing w:after="0"/>
              <w:rPr>
                <w:sz w:val="18"/>
                <w:szCs w:val="18"/>
                <w:color w:val="auto"/>
              </w:rPr>
            </w:pPr>
          </w:p>
        </w:tc>
        <w:tc>
          <w:tcPr>
            <w:tcW w:w="60" w:type="dxa"/>
            <w:vAlign w:val="bottom"/>
            <w:tcBorders>
              <w:top w:val="single" w:sz="8" w:color="D8D8D8"/>
            </w:tcBorders>
            <w:shd w:val="clear" w:color="auto" w:fill="D8D8D8"/>
          </w:tcPr>
          <w:p>
            <w:pPr>
              <w:spacing w:after="0"/>
              <w:rPr>
                <w:sz w:val="18"/>
                <w:szCs w:val="18"/>
                <w:color w:val="auto"/>
              </w:rPr>
            </w:pPr>
          </w:p>
        </w:tc>
        <w:tc>
          <w:tcPr>
            <w:tcW w:w="20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8"/>
              </w:rPr>
              <w:t>791,000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96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Pai</w:t>
            </w:r>
          </w:p>
        </w:tc>
        <w:tc>
          <w:tcPr>
            <w:tcW w:w="1960" w:type="dxa"/>
            <w:vAlign w:val="bottom"/>
            <w:gridSpan w:val="2"/>
            <w:shd w:val="clear" w:color="auto" w:fill="D8D8D8"/>
          </w:tcPr>
          <w:p>
            <w:pPr>
              <w:jc w:val="right"/>
              <w:ind w:right="920"/>
              <w:spacing w:after="0"/>
              <w:rPr>
                <w:sz w:val="20"/>
                <w:szCs w:val="20"/>
                <w:color w:val="auto"/>
              </w:rPr>
            </w:pPr>
            <w:r>
              <w:rPr>
                <w:rFonts w:ascii="Arial" w:cs="Arial" w:eastAsia="Arial" w:hAnsi="Arial"/>
                <w:sz w:val="18"/>
                <w:szCs w:val="18"/>
                <w:color w:val="auto"/>
              </w:rPr>
              <w:t>100,000</w:t>
            </w:r>
          </w:p>
        </w:tc>
        <w:tc>
          <w:tcPr>
            <w:tcW w:w="920" w:type="dxa"/>
            <w:vAlign w:val="bottom"/>
            <w:gridSpan w:val="3"/>
            <w:shd w:val="clear" w:color="auto" w:fill="D8D8D8"/>
          </w:tcPr>
          <w:p>
            <w:pPr>
              <w:jc w:val="right"/>
              <w:spacing w:after="0"/>
              <w:rPr>
                <w:sz w:val="20"/>
                <w:szCs w:val="20"/>
                <w:color w:val="auto"/>
              </w:rPr>
            </w:pPr>
            <w:r>
              <w:rPr>
                <w:rFonts w:ascii="Arial" w:cs="Arial" w:eastAsia="Arial" w:hAnsi="Arial"/>
                <w:sz w:val="18"/>
                <w:szCs w:val="18"/>
                <w:color w:val="auto"/>
                <w:w w:val="94"/>
              </w:rPr>
              <w:t>$ 5,103,700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K.-E. Oestdahl</w:t>
            </w:r>
          </w:p>
        </w:tc>
        <w:tc>
          <w:tcPr>
            <w:tcW w:w="1960" w:type="dxa"/>
            <w:vAlign w:val="bottom"/>
            <w:gridSpan w:val="2"/>
          </w:tcPr>
          <w:p>
            <w:pPr>
              <w:jc w:val="right"/>
              <w:ind w:right="920"/>
              <w:spacing w:after="0"/>
              <w:rPr>
                <w:sz w:val="20"/>
                <w:szCs w:val="20"/>
                <w:color w:val="auto"/>
              </w:rPr>
            </w:pPr>
            <w:r>
              <w:rPr>
                <w:rFonts w:ascii="Arial" w:cs="Arial" w:eastAsia="Arial" w:hAnsi="Arial"/>
                <w:sz w:val="18"/>
                <w:szCs w:val="18"/>
                <w:color w:val="auto"/>
              </w:rPr>
              <w:t>16,200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519,066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 Belani</w:t>
            </w:r>
          </w:p>
        </w:tc>
        <w:tc>
          <w:tcPr>
            <w:tcW w:w="1960" w:type="dxa"/>
            <w:vAlign w:val="bottom"/>
            <w:gridSpan w:val="2"/>
            <w:shd w:val="clear" w:color="auto" w:fill="D8D8D8"/>
          </w:tcPr>
          <w:p>
            <w:pPr>
              <w:jc w:val="right"/>
              <w:ind w:right="9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for Fiscal Year 2012</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spacing w:after="0" w:line="51"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the named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5"/>
              </w:rPr>
              <w:t>Number of</w:t>
            </w:r>
          </w:p>
        </w:tc>
        <w:tc>
          <w:tcPr>
            <w:tcW w:w="15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4"/>
              </w:rPr>
              <w:t>Present Value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Years of</w:t>
            </w:r>
          </w:p>
        </w:tc>
        <w:tc>
          <w:tcPr>
            <w:tcW w:w="15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Credited</w:t>
            </w: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spacing w:after="0"/>
              <w:rPr>
                <w:sz w:val="12"/>
                <w:szCs w:val="12"/>
                <w:color w:val="auto"/>
              </w:rPr>
            </w:pPr>
          </w:p>
        </w:tc>
        <w:tc>
          <w:tcPr>
            <w:tcW w:w="37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Plan Name</w:t>
            </w:r>
          </w:p>
        </w:tc>
        <w:tc>
          <w:tcPr>
            <w:tcW w:w="700" w:type="dxa"/>
            <w:vAlign w:val="bottom"/>
          </w:tcPr>
          <w:p>
            <w:pPr>
              <w:spacing w:after="0"/>
              <w:rPr>
                <w:sz w:val="12"/>
                <w:szCs w:val="12"/>
                <w:color w:val="auto"/>
              </w:rPr>
            </w:pPr>
          </w:p>
        </w:tc>
        <w:tc>
          <w:tcPr>
            <w:tcW w:w="14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4"/>
              </w:rPr>
              <w:t>Service (#)</w:t>
            </w: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Benefits ($)</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Payments During</w:t>
            </w:r>
          </w:p>
        </w:tc>
        <w:tc>
          <w:tcPr>
            <w:tcW w:w="0" w:type="dxa"/>
            <w:vAlign w:val="bottom"/>
          </w:tcPr>
          <w:p>
            <w:pPr>
              <w:spacing w:after="0"/>
              <w:rPr>
                <w:sz w:val="1"/>
                <w:szCs w:val="1"/>
                <w:color w:val="auto"/>
              </w:rPr>
            </w:pPr>
          </w:p>
        </w:tc>
      </w:tr>
      <w:tr>
        <w:trPr>
          <w:trHeight w:val="161"/>
        </w:trPr>
        <w:tc>
          <w:tcPr>
            <w:tcW w:w="2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1320" w:type="dxa"/>
            <w:vAlign w:val="bottom"/>
            <w:gridSpan w:val="2"/>
          </w:tcPr>
          <w:p>
            <w:pPr>
              <w:jc w:val="center"/>
              <w:ind w:left="634"/>
              <w:spacing w:after="0"/>
              <w:rPr>
                <w:sz w:val="20"/>
                <w:szCs w:val="20"/>
                <w:color w:val="auto"/>
              </w:rPr>
            </w:pPr>
            <w:r>
              <w:rPr>
                <w:rFonts w:ascii="Arial" w:cs="Arial" w:eastAsia="Arial" w:hAnsi="Arial"/>
                <w:sz w:val="14"/>
                <w:szCs w:val="14"/>
                <w:b w:val="1"/>
                <w:bCs w:val="1"/>
                <w:color w:val="auto"/>
                <w:w w:val="93"/>
              </w:rPr>
              <w:t>(1)</w:t>
            </w:r>
          </w:p>
        </w:tc>
        <w:tc>
          <w:tcPr>
            <w:tcW w:w="8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1"/>
              </w:rPr>
              <w:t>(2)</w:t>
            </w:r>
          </w:p>
        </w:tc>
        <w:tc>
          <w:tcPr>
            <w:tcW w:w="8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Last Fiscal Year</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680" w:type="dxa"/>
            <w:vAlign w:val="bottom"/>
            <w:tcBorders>
              <w:top w:val="single" w:sz="8" w:color="D8D8D8"/>
            </w:tcBorders>
            <w:shd w:val="clear" w:color="auto" w:fill="D8D8D8"/>
          </w:tcPr>
          <w:p>
            <w:pPr>
              <w:spacing w:after="0"/>
              <w:rPr>
                <w:sz w:val="18"/>
                <w:szCs w:val="18"/>
                <w:color w:val="auto"/>
              </w:rPr>
            </w:pPr>
          </w:p>
        </w:tc>
        <w:tc>
          <w:tcPr>
            <w:tcW w:w="378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SLB Pension Plan</w:t>
            </w:r>
          </w:p>
        </w:tc>
        <w:tc>
          <w:tcPr>
            <w:tcW w:w="700" w:type="dxa"/>
            <w:vAlign w:val="bottom"/>
            <w:tcBorders>
              <w:top w:val="single" w:sz="8" w:color="D8D8D8"/>
            </w:tcBorders>
            <w:shd w:val="clear" w:color="auto" w:fill="D8D8D8"/>
          </w:tcPr>
          <w:p>
            <w:pPr>
              <w:spacing w:after="0"/>
              <w:rPr>
                <w:sz w:val="18"/>
                <w:szCs w:val="18"/>
                <w:color w:val="auto"/>
              </w:rPr>
            </w:pPr>
          </w:p>
        </w:tc>
        <w:tc>
          <w:tcPr>
            <w:tcW w:w="6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4.75</w:t>
            </w:r>
          </w:p>
        </w:tc>
        <w:tc>
          <w:tcPr>
            <w:tcW w:w="800" w:type="dxa"/>
            <w:vAlign w:val="bottom"/>
            <w:tcBorders>
              <w:top w:val="single" w:sz="8" w:color="D8D8D8"/>
            </w:tcBorders>
            <w:shd w:val="clear" w:color="auto" w:fill="D8D8D8"/>
          </w:tcPr>
          <w:p>
            <w:pPr>
              <w:spacing w:after="0"/>
              <w:rPr>
                <w:sz w:val="18"/>
                <w:szCs w:val="18"/>
                <w:color w:val="auto"/>
              </w:rPr>
            </w:pPr>
          </w:p>
        </w:tc>
        <w:tc>
          <w:tcPr>
            <w:tcW w:w="7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135,822</w:t>
            </w:r>
          </w:p>
        </w:tc>
        <w:tc>
          <w:tcPr>
            <w:tcW w:w="800" w:type="dxa"/>
            <w:vAlign w:val="bottom"/>
            <w:tcBorders>
              <w:top w:val="single" w:sz="8" w:color="D8D8D8"/>
            </w:tcBorders>
            <w:shd w:val="clear" w:color="auto" w:fill="D8D8D8"/>
          </w:tcPr>
          <w:p>
            <w:pPr>
              <w:spacing w:after="0"/>
              <w:rPr>
                <w:sz w:val="18"/>
                <w:szCs w:val="18"/>
                <w:color w:val="auto"/>
              </w:rPr>
            </w:pPr>
          </w:p>
        </w:tc>
        <w:tc>
          <w:tcPr>
            <w:tcW w:w="10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STC Pension Plan</w:t>
            </w:r>
          </w:p>
        </w:tc>
        <w:tc>
          <w:tcPr>
            <w:tcW w:w="2120" w:type="dxa"/>
            <w:vAlign w:val="bottom"/>
            <w:gridSpan w:val="3"/>
            <w:shd w:val="clear" w:color="auto" w:fill="D8D8D8"/>
          </w:tcPr>
          <w:p>
            <w:pPr>
              <w:jc w:val="right"/>
              <w:ind w:right="800"/>
              <w:spacing w:after="0"/>
              <w:rPr>
                <w:sz w:val="20"/>
                <w:szCs w:val="20"/>
                <w:color w:val="auto"/>
              </w:rPr>
            </w:pPr>
            <w:r>
              <w:rPr>
                <w:rFonts w:ascii="Arial" w:cs="Arial" w:eastAsia="Arial" w:hAnsi="Arial"/>
                <w:sz w:val="18"/>
                <w:szCs w:val="18"/>
                <w:color w:val="auto"/>
              </w:rPr>
              <w:t>5.00</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166,031</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2120" w:type="dxa"/>
            <w:vAlign w:val="bottom"/>
            <w:gridSpan w:val="3"/>
            <w:shd w:val="clear" w:color="auto" w:fill="D8D8D8"/>
          </w:tcPr>
          <w:p>
            <w:pPr>
              <w:jc w:val="right"/>
              <w:ind w:right="800"/>
              <w:spacing w:after="0"/>
              <w:rPr>
                <w:sz w:val="20"/>
                <w:szCs w:val="20"/>
                <w:color w:val="auto"/>
              </w:rPr>
            </w:pPr>
            <w:r>
              <w:rPr>
                <w:rFonts w:ascii="Arial" w:cs="Arial" w:eastAsia="Arial" w:hAnsi="Arial"/>
                <w:sz w:val="18"/>
                <w:szCs w:val="18"/>
                <w:color w:val="auto"/>
              </w:rPr>
              <w:t>4.75</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4"/>
              </w:rPr>
              <w:t>1,159,878</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STC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Arial" w:cs="Arial" w:eastAsia="Arial" w:hAnsi="Arial"/>
                <w:sz w:val="18"/>
                <w:szCs w:val="18"/>
                <w:color w:val="auto"/>
              </w:rPr>
              <w:t>4.25</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235,405</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SLB International Staff Pension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Arial" w:cs="Arial" w:eastAsia="Arial" w:hAnsi="Arial"/>
                <w:sz w:val="18"/>
                <w:szCs w:val="18"/>
                <w:color w:val="auto"/>
              </w:rPr>
              <w:t>3.20</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174,101</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160" w:type="dxa"/>
            <w:vAlign w:val="bottom"/>
          </w:tcPr>
          <w:p>
            <w:pPr>
              <w:spacing w:after="0"/>
              <w:rPr>
                <w:sz w:val="20"/>
                <w:szCs w:val="20"/>
                <w:color w:val="auto"/>
              </w:rPr>
            </w:pPr>
            <w:r>
              <w:rPr>
                <w:rFonts w:ascii="Arial" w:cs="Arial" w:eastAsia="Arial" w:hAnsi="Arial"/>
                <w:sz w:val="18"/>
                <w:szCs w:val="18"/>
                <w:color w:val="auto"/>
              </w:rPr>
              <w:t>S. Ayat</w:t>
            </w:r>
          </w:p>
        </w:tc>
        <w:tc>
          <w:tcPr>
            <w:tcW w:w="4460" w:type="dxa"/>
            <w:vAlign w:val="bottom"/>
            <w:gridSpan w:val="2"/>
          </w:tcPr>
          <w:p>
            <w:pPr>
              <w:ind w:left="680"/>
              <w:spacing w:after="0"/>
              <w:rPr>
                <w:sz w:val="20"/>
                <w:szCs w:val="20"/>
                <w:color w:val="auto"/>
              </w:rPr>
            </w:pPr>
            <w:r>
              <w:rPr>
                <w:rFonts w:ascii="Arial" w:cs="Arial" w:eastAsia="Arial" w:hAnsi="Arial"/>
                <w:sz w:val="18"/>
                <w:szCs w:val="18"/>
                <w:color w:val="auto"/>
              </w:rPr>
              <w:t>SLB Pension Plan</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6.25</w:t>
            </w:r>
          </w:p>
        </w:tc>
        <w:tc>
          <w:tcPr>
            <w:tcW w:w="780" w:type="dxa"/>
            <w:vAlign w:val="bottom"/>
          </w:tcPr>
          <w:p>
            <w:pPr>
              <w:jc w:val="right"/>
              <w:spacing w:after="0"/>
              <w:rPr>
                <w:sz w:val="20"/>
                <w:szCs w:val="20"/>
                <w:color w:val="auto"/>
              </w:rPr>
            </w:pPr>
            <w:r>
              <w:rPr>
                <w:rFonts w:ascii="Arial" w:cs="Arial" w:eastAsia="Arial" w:hAnsi="Arial"/>
                <w:sz w:val="18"/>
                <w:szCs w:val="18"/>
                <w:color w:val="auto"/>
              </w:rPr>
              <w:t>442,389</w:t>
            </w:r>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460" w:type="dxa"/>
            <w:vAlign w:val="bottom"/>
            <w:gridSpan w:val="2"/>
          </w:tcPr>
          <w:p>
            <w:pPr>
              <w:ind w:left="680"/>
              <w:spacing w:after="0"/>
              <w:rPr>
                <w:sz w:val="20"/>
                <w:szCs w:val="20"/>
                <w:color w:val="auto"/>
              </w:rPr>
            </w:pPr>
            <w:r>
              <w:rPr>
                <w:rFonts w:ascii="Arial" w:cs="Arial" w:eastAsia="Arial" w:hAnsi="Arial"/>
                <w:sz w:val="18"/>
                <w:szCs w:val="18"/>
                <w:color w:val="auto"/>
              </w:rPr>
              <w:t>STC Pension Plan</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0.75</w:t>
            </w:r>
          </w:p>
        </w:tc>
        <w:tc>
          <w:tcPr>
            <w:tcW w:w="780" w:type="dxa"/>
            <w:vAlign w:val="bottom"/>
          </w:tcPr>
          <w:p>
            <w:pPr>
              <w:jc w:val="right"/>
              <w:spacing w:after="0"/>
              <w:rPr>
                <w:sz w:val="20"/>
                <w:szCs w:val="20"/>
                <w:color w:val="auto"/>
              </w:rPr>
            </w:pPr>
            <w:r>
              <w:rPr>
                <w:rFonts w:ascii="Arial" w:cs="Arial" w:eastAsia="Arial" w:hAnsi="Arial"/>
                <w:sz w:val="18"/>
                <w:szCs w:val="18"/>
                <w:color w:val="auto"/>
              </w:rPr>
              <w:t>72,470</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460" w:type="dxa"/>
            <w:vAlign w:val="bottom"/>
            <w:gridSpan w:val="2"/>
          </w:tcPr>
          <w:p>
            <w:pPr>
              <w:ind w:left="680"/>
              <w:spacing w:after="0"/>
              <w:rPr>
                <w:sz w:val="20"/>
                <w:szCs w:val="20"/>
                <w:color w:val="auto"/>
              </w:rPr>
            </w:pPr>
            <w:r>
              <w:rPr>
                <w:rFonts w:ascii="Arial" w:cs="Arial" w:eastAsia="Arial" w:hAnsi="Arial"/>
                <w:sz w:val="18"/>
                <w:szCs w:val="18"/>
                <w:color w:val="auto"/>
              </w:rPr>
              <w:t>SLB Supplementary Plan</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6.25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2,167,997</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460" w:type="dxa"/>
            <w:vAlign w:val="bottom"/>
            <w:gridSpan w:val="2"/>
          </w:tcPr>
          <w:p>
            <w:pPr>
              <w:ind w:left="680"/>
              <w:spacing w:after="0"/>
              <w:rPr>
                <w:sz w:val="20"/>
                <w:szCs w:val="20"/>
                <w:color w:val="auto"/>
              </w:rPr>
            </w:pPr>
            <w:r>
              <w:rPr>
                <w:rFonts w:ascii="Arial" w:cs="Arial" w:eastAsia="Arial" w:hAnsi="Arial"/>
                <w:sz w:val="18"/>
                <w:szCs w:val="18"/>
                <w:color w:val="auto"/>
              </w:rPr>
              <w:t>STC Supplementary Plan</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0.50</w:t>
            </w:r>
          </w:p>
        </w:tc>
        <w:tc>
          <w:tcPr>
            <w:tcW w:w="780" w:type="dxa"/>
            <w:vAlign w:val="bottom"/>
          </w:tcPr>
          <w:p>
            <w:pPr>
              <w:jc w:val="right"/>
              <w:spacing w:after="0"/>
              <w:rPr>
                <w:sz w:val="20"/>
                <w:szCs w:val="20"/>
                <w:color w:val="auto"/>
              </w:rPr>
            </w:pPr>
            <w:r>
              <w:rPr>
                <w:rFonts w:ascii="Arial" w:cs="Arial" w:eastAsia="Arial" w:hAnsi="Arial"/>
                <w:sz w:val="18"/>
                <w:szCs w:val="18"/>
                <w:color w:val="auto"/>
              </w:rPr>
              <w:t>5,242</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460" w:type="dxa"/>
            <w:vAlign w:val="bottom"/>
            <w:gridSpan w:val="2"/>
          </w:tcPr>
          <w:p>
            <w:pPr>
              <w:ind w:left="680"/>
              <w:spacing w:after="0"/>
              <w:rPr>
                <w:sz w:val="20"/>
                <w:szCs w:val="20"/>
                <w:color w:val="auto"/>
              </w:rPr>
            </w:pPr>
            <w:r>
              <w:rPr>
                <w:rFonts w:ascii="Arial" w:cs="Arial" w:eastAsia="Arial" w:hAnsi="Arial"/>
                <w:sz w:val="18"/>
                <w:szCs w:val="18"/>
                <w:color w:val="auto"/>
              </w:rPr>
              <w:t>SLB French Supplementary Plan</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0.75</w:t>
            </w:r>
          </w:p>
        </w:tc>
        <w:tc>
          <w:tcPr>
            <w:tcW w:w="780" w:type="dxa"/>
            <w:vAlign w:val="bottom"/>
          </w:tcPr>
          <w:p>
            <w:pPr>
              <w:jc w:val="right"/>
              <w:spacing w:after="0"/>
              <w:rPr>
                <w:sz w:val="20"/>
                <w:szCs w:val="20"/>
                <w:color w:val="auto"/>
              </w:rPr>
            </w:pPr>
            <w:r>
              <w:rPr>
                <w:rFonts w:ascii="Arial" w:cs="Arial" w:eastAsia="Arial" w:hAnsi="Arial"/>
                <w:sz w:val="18"/>
                <w:szCs w:val="18"/>
                <w:color w:val="auto"/>
              </w:rPr>
              <w:t>173,223</w:t>
            </w: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4460" w:type="dxa"/>
            <w:vAlign w:val="bottom"/>
            <w:gridSpan w:val="2"/>
          </w:tcPr>
          <w:p>
            <w:pPr>
              <w:ind w:left="680"/>
              <w:spacing w:after="0"/>
              <w:rPr>
                <w:sz w:val="20"/>
                <w:szCs w:val="20"/>
                <w:color w:val="auto"/>
              </w:rPr>
            </w:pPr>
            <w:r>
              <w:rPr>
                <w:rFonts w:ascii="Arial" w:cs="Arial" w:eastAsia="Arial" w:hAnsi="Arial"/>
                <w:sz w:val="18"/>
                <w:szCs w:val="18"/>
                <w:color w:val="auto"/>
              </w:rPr>
              <w:t>SLB International Staff Pension Plan</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10.60</w:t>
            </w:r>
          </w:p>
        </w:tc>
        <w:tc>
          <w:tcPr>
            <w:tcW w:w="780" w:type="dxa"/>
            <w:vAlign w:val="bottom"/>
          </w:tcPr>
          <w:p>
            <w:pPr>
              <w:jc w:val="right"/>
              <w:spacing w:after="0"/>
              <w:rPr>
                <w:sz w:val="20"/>
                <w:szCs w:val="20"/>
                <w:color w:val="auto"/>
              </w:rPr>
            </w:pPr>
            <w:r>
              <w:rPr>
                <w:rFonts w:ascii="Arial" w:cs="Arial" w:eastAsia="Arial" w:hAnsi="Arial"/>
                <w:sz w:val="18"/>
                <w:szCs w:val="18"/>
                <w:color w:val="auto"/>
              </w:rPr>
              <w:t>814,496</w:t>
            </w:r>
          </w:p>
        </w:tc>
        <w:tc>
          <w:tcPr>
            <w:tcW w:w="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160" w:type="dxa"/>
            <w:vAlign w:val="bottom"/>
            <w:shd w:val="clear" w:color="auto" w:fill="D8D8D8"/>
          </w:tcPr>
          <w:p>
            <w:pPr>
              <w:spacing w:after="0"/>
              <w:rPr>
                <w:sz w:val="20"/>
                <w:szCs w:val="20"/>
                <w:color w:val="auto"/>
              </w:rPr>
            </w:pPr>
            <w:r>
              <w:rPr>
                <w:rFonts w:ascii="Arial" w:cs="Arial" w:eastAsia="Arial" w:hAnsi="Arial"/>
                <w:sz w:val="18"/>
                <w:szCs w:val="18"/>
                <w:color w:val="auto"/>
              </w:rPr>
              <w:t>S. Pai</w:t>
            </w:r>
          </w:p>
        </w:tc>
        <w:tc>
          <w:tcPr>
            <w:tcW w:w="680" w:type="dxa"/>
            <w:vAlign w:val="bottom"/>
            <w:shd w:val="clear" w:color="auto" w:fill="D8D8D8"/>
          </w:tcPr>
          <w:p>
            <w:pPr>
              <w:spacing w:after="0"/>
              <w:rPr>
                <w:sz w:val="24"/>
                <w:szCs w:val="24"/>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SLB Pension Plan</w:t>
            </w:r>
          </w:p>
        </w:tc>
        <w:tc>
          <w:tcPr>
            <w:tcW w:w="2120" w:type="dxa"/>
            <w:vAlign w:val="bottom"/>
            <w:gridSpan w:val="3"/>
            <w:shd w:val="clear" w:color="auto" w:fill="D8D8D8"/>
          </w:tcPr>
          <w:p>
            <w:pPr>
              <w:jc w:val="right"/>
              <w:ind w:right="800"/>
              <w:spacing w:after="0"/>
              <w:rPr>
                <w:sz w:val="20"/>
                <w:szCs w:val="20"/>
                <w:color w:val="auto"/>
              </w:rPr>
            </w:pPr>
            <w:r>
              <w:rPr>
                <w:rFonts w:ascii="Arial" w:cs="Arial" w:eastAsia="Arial" w:hAnsi="Arial"/>
                <w:sz w:val="18"/>
                <w:szCs w:val="18"/>
                <w:color w:val="auto"/>
              </w:rPr>
              <w:t>5.00</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298,200</w:t>
            </w:r>
          </w:p>
        </w:tc>
        <w:tc>
          <w:tcPr>
            <w:tcW w:w="8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STC Pension Plan</w:t>
            </w:r>
          </w:p>
        </w:tc>
        <w:tc>
          <w:tcPr>
            <w:tcW w:w="2120" w:type="dxa"/>
            <w:vAlign w:val="bottom"/>
            <w:gridSpan w:val="3"/>
            <w:shd w:val="clear" w:color="auto" w:fill="D8D8D8"/>
          </w:tcPr>
          <w:p>
            <w:pPr>
              <w:jc w:val="right"/>
              <w:ind w:right="800"/>
              <w:spacing w:after="0"/>
              <w:rPr>
                <w:sz w:val="20"/>
                <w:szCs w:val="20"/>
                <w:color w:val="auto"/>
              </w:rPr>
            </w:pPr>
            <w:r>
              <w:rPr>
                <w:rFonts w:ascii="Arial" w:cs="Arial" w:eastAsia="Arial" w:hAnsi="Arial"/>
                <w:sz w:val="18"/>
                <w:szCs w:val="18"/>
                <w:color w:val="auto"/>
              </w:rPr>
              <w:t>7.25</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272,400</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Arial" w:cs="Arial" w:eastAsia="Arial" w:hAnsi="Arial"/>
                <w:sz w:val="18"/>
                <w:szCs w:val="18"/>
                <w:color w:val="auto"/>
              </w:rPr>
              <w:t>5.00</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4"/>
              </w:rPr>
              <w:t>1,252,511</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STC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Arial" w:cs="Arial" w:eastAsia="Arial" w:hAnsi="Arial"/>
                <w:sz w:val="18"/>
                <w:szCs w:val="18"/>
                <w:color w:val="auto"/>
              </w:rPr>
              <w:t>3.75</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388,518</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SLB French Supplementary Plan</w:t>
            </w:r>
          </w:p>
        </w:tc>
        <w:tc>
          <w:tcPr>
            <w:tcW w:w="700" w:type="dxa"/>
            <w:vAlign w:val="bottom"/>
            <w:shd w:val="clear" w:color="auto" w:fill="D8D8D8"/>
          </w:tcPr>
          <w:p>
            <w:pPr>
              <w:spacing w:after="0"/>
              <w:rPr>
                <w:sz w:val="18"/>
                <w:szCs w:val="18"/>
                <w:color w:val="auto"/>
              </w:rPr>
            </w:pP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3.25</w:t>
            </w:r>
          </w:p>
        </w:tc>
        <w:tc>
          <w:tcPr>
            <w:tcW w:w="800" w:type="dxa"/>
            <w:vAlign w:val="bottom"/>
            <w:shd w:val="clear" w:color="auto" w:fill="D8D8D8"/>
          </w:tcPr>
          <w:p>
            <w:pPr>
              <w:spacing w:after="0"/>
              <w:rPr>
                <w:sz w:val="18"/>
                <w:szCs w:val="18"/>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4"/>
              </w:rPr>
              <w:t>1,531,292</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SLB International Staff Pension Plan</w:t>
            </w:r>
          </w:p>
        </w:tc>
        <w:tc>
          <w:tcPr>
            <w:tcW w:w="700" w:type="dxa"/>
            <w:vAlign w:val="bottom"/>
            <w:shd w:val="clear" w:color="auto" w:fill="D8D8D8"/>
          </w:tcPr>
          <w:p>
            <w:pPr>
              <w:spacing w:after="0"/>
              <w:rPr>
                <w:sz w:val="18"/>
                <w:szCs w:val="18"/>
                <w:color w:val="auto"/>
              </w:rPr>
            </w:pP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9.60</w:t>
            </w:r>
          </w:p>
        </w:tc>
        <w:tc>
          <w:tcPr>
            <w:tcW w:w="800" w:type="dxa"/>
            <w:vAlign w:val="bottom"/>
            <w:shd w:val="clear" w:color="auto" w:fill="D8D8D8"/>
          </w:tcPr>
          <w:p>
            <w:pPr>
              <w:spacing w:after="0"/>
              <w:rPr>
                <w:sz w:val="18"/>
                <w:szCs w:val="18"/>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387,272</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160" w:type="dxa"/>
            <w:vAlign w:val="bottom"/>
          </w:tcPr>
          <w:p>
            <w:pPr>
              <w:spacing w:after="0"/>
              <w:rPr>
                <w:sz w:val="20"/>
                <w:szCs w:val="20"/>
                <w:color w:val="auto"/>
              </w:rPr>
            </w:pPr>
            <w:r>
              <w:rPr>
                <w:rFonts w:ascii="Arial" w:cs="Arial" w:eastAsia="Arial" w:hAnsi="Arial"/>
                <w:sz w:val="18"/>
                <w:szCs w:val="18"/>
                <w:color w:val="auto"/>
              </w:rPr>
              <w:t>K.-E. Oestdahl</w:t>
            </w:r>
          </w:p>
        </w:tc>
        <w:tc>
          <w:tcPr>
            <w:tcW w:w="4460" w:type="dxa"/>
            <w:vAlign w:val="bottom"/>
            <w:gridSpan w:val="2"/>
          </w:tcPr>
          <w:p>
            <w:pPr>
              <w:ind w:left="680"/>
              <w:spacing w:after="0"/>
              <w:rPr>
                <w:sz w:val="20"/>
                <w:szCs w:val="20"/>
                <w:color w:val="auto"/>
              </w:rPr>
            </w:pPr>
            <w:r>
              <w:rPr>
                <w:rFonts w:ascii="Arial" w:cs="Arial" w:eastAsia="Arial" w:hAnsi="Arial"/>
                <w:sz w:val="18"/>
                <w:szCs w:val="18"/>
                <w:color w:val="auto"/>
              </w:rPr>
              <w:t>SLB International Staff Pension Plan</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19.00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2,124,972</w:t>
            </w:r>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160" w:type="dxa"/>
            <w:vAlign w:val="bottom"/>
            <w:shd w:val="clear" w:color="auto" w:fill="D8D8D8"/>
          </w:tcPr>
          <w:p>
            <w:pPr>
              <w:spacing w:after="0"/>
              <w:rPr>
                <w:sz w:val="20"/>
                <w:szCs w:val="20"/>
                <w:color w:val="auto"/>
              </w:rPr>
            </w:pPr>
            <w:r>
              <w:rPr>
                <w:rFonts w:ascii="Arial" w:cs="Arial" w:eastAsia="Arial" w:hAnsi="Arial"/>
                <w:sz w:val="18"/>
                <w:szCs w:val="18"/>
                <w:color w:val="auto"/>
              </w:rPr>
              <w:t>A. Belani</w:t>
            </w:r>
          </w:p>
        </w:tc>
        <w:tc>
          <w:tcPr>
            <w:tcW w:w="680" w:type="dxa"/>
            <w:vAlign w:val="bottom"/>
            <w:shd w:val="clear" w:color="auto" w:fill="D8D8D8"/>
          </w:tcPr>
          <w:p>
            <w:pPr>
              <w:spacing w:after="0"/>
              <w:rPr>
                <w:sz w:val="24"/>
                <w:szCs w:val="24"/>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SLB Pension Plan</w:t>
            </w:r>
          </w:p>
        </w:tc>
        <w:tc>
          <w:tcPr>
            <w:tcW w:w="2120" w:type="dxa"/>
            <w:vAlign w:val="bottom"/>
            <w:gridSpan w:val="3"/>
            <w:shd w:val="clear" w:color="auto" w:fill="D8D8D8"/>
          </w:tcPr>
          <w:p>
            <w:pPr>
              <w:jc w:val="right"/>
              <w:ind w:right="800"/>
              <w:spacing w:after="0"/>
              <w:rPr>
                <w:sz w:val="20"/>
                <w:szCs w:val="20"/>
                <w:color w:val="auto"/>
              </w:rPr>
            </w:pPr>
            <w:r>
              <w:rPr>
                <w:rFonts w:ascii="Arial" w:cs="Arial" w:eastAsia="Arial" w:hAnsi="Arial"/>
                <w:sz w:val="18"/>
                <w:szCs w:val="18"/>
                <w:color w:val="auto"/>
              </w:rPr>
              <w:t>7.75</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597,166</w:t>
            </w:r>
          </w:p>
        </w:tc>
        <w:tc>
          <w:tcPr>
            <w:tcW w:w="8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STC Pension Plan</w:t>
            </w:r>
          </w:p>
        </w:tc>
        <w:tc>
          <w:tcPr>
            <w:tcW w:w="2120" w:type="dxa"/>
            <w:vAlign w:val="bottom"/>
            <w:gridSpan w:val="3"/>
            <w:shd w:val="clear" w:color="auto" w:fill="D8D8D8"/>
          </w:tcPr>
          <w:p>
            <w:pPr>
              <w:jc w:val="right"/>
              <w:ind w:right="800"/>
              <w:spacing w:after="0"/>
              <w:rPr>
                <w:sz w:val="20"/>
                <w:szCs w:val="20"/>
                <w:color w:val="auto"/>
              </w:rPr>
            </w:pPr>
            <w:r>
              <w:rPr>
                <w:rFonts w:ascii="Arial" w:cs="Arial" w:eastAsia="Arial" w:hAnsi="Arial"/>
                <w:sz w:val="18"/>
                <w:szCs w:val="18"/>
                <w:color w:val="auto"/>
              </w:rPr>
              <w:t>2.58</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50,008</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Arial" w:cs="Arial" w:eastAsia="Arial" w:hAnsi="Arial"/>
                <w:sz w:val="18"/>
                <w:szCs w:val="18"/>
                <w:color w:val="auto"/>
              </w:rPr>
              <w:t>7.75</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4"/>
              </w:rPr>
              <w:t>1,877,692</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STC Supplementary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Arial" w:cs="Arial" w:eastAsia="Arial" w:hAnsi="Arial"/>
                <w:sz w:val="18"/>
                <w:szCs w:val="18"/>
                <w:color w:val="auto"/>
              </w:rPr>
              <w:t>2.58</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122,081</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3780" w:type="dxa"/>
            <w:vAlign w:val="bottom"/>
            <w:shd w:val="clear" w:color="auto" w:fill="D8D8D8"/>
          </w:tcPr>
          <w:p>
            <w:pPr>
              <w:spacing w:after="0"/>
              <w:rPr>
                <w:sz w:val="20"/>
                <w:szCs w:val="20"/>
                <w:color w:val="auto"/>
              </w:rPr>
            </w:pPr>
            <w:r>
              <w:rPr>
                <w:rFonts w:ascii="Arial" w:cs="Arial" w:eastAsia="Arial" w:hAnsi="Arial"/>
                <w:sz w:val="18"/>
                <w:szCs w:val="18"/>
                <w:color w:val="auto"/>
              </w:rPr>
              <w:t>SLB International Staff Pension Plan</w:t>
            </w:r>
          </w:p>
        </w:tc>
        <w:tc>
          <w:tcPr>
            <w:tcW w:w="700" w:type="dxa"/>
            <w:vAlign w:val="bottom"/>
            <w:shd w:val="clear" w:color="auto" w:fill="D8D8D8"/>
          </w:tcPr>
          <w:p>
            <w:pPr>
              <w:spacing w:after="0"/>
              <w:rPr>
                <w:sz w:val="18"/>
                <w:szCs w:val="18"/>
                <w:color w:val="auto"/>
              </w:rPr>
            </w:pPr>
          </w:p>
        </w:tc>
        <w:tc>
          <w:tcPr>
            <w:tcW w:w="1420" w:type="dxa"/>
            <w:vAlign w:val="bottom"/>
            <w:gridSpan w:val="2"/>
            <w:shd w:val="clear" w:color="auto" w:fill="D8D8D8"/>
          </w:tcPr>
          <w:p>
            <w:pPr>
              <w:jc w:val="right"/>
              <w:ind w:right="80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593,194</w:t>
            </w:r>
          </w:p>
        </w:tc>
        <w:tc>
          <w:tcPr>
            <w:tcW w:w="800" w:type="dxa"/>
            <w:vAlign w:val="bottom"/>
            <w:shd w:val="clear" w:color="auto" w:fill="D8D8D8"/>
          </w:tcPr>
          <w:p>
            <w:pPr>
              <w:spacing w:after="0"/>
              <w:rPr>
                <w:sz w:val="18"/>
                <w:szCs w:val="18"/>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right="660" w:hanging="451"/>
        <w:spacing w:after="0" w:line="325"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does not grant and does not expect to grant extra years of credited service to named executive officers under the pension plans. The “Number of Years of Credited Service” column reflects each named executive officer’s actual years of service as a participant in each plan.</w:t>
      </w:r>
    </w:p>
    <w:p>
      <w:pPr>
        <w:spacing w:after="0" w:line="1" w:lineRule="exact"/>
        <w:rPr>
          <w:rFonts w:ascii="Arial" w:cs="Arial" w:eastAsia="Arial" w:hAnsi="Arial"/>
          <w:sz w:val="16"/>
          <w:szCs w:val="16"/>
          <w:color w:val="auto"/>
        </w:rPr>
      </w:pPr>
    </w:p>
    <w:p>
      <w:pPr>
        <w:ind w:left="500" w:right="20" w:hanging="451"/>
        <w:spacing w:after="0" w:line="298"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present value of accumulated benefits is calculated using the 1994 Group Annuity Mortality Table and a discount rate of 4.25% at December 31, 2012. Retirement in each case is assumed to be the earlier of normal retirement age or December 31, 2012 if the named executive officer is employed after normal retirement age, or, as to Schlumberger’s U.S. plans, the date that the sum of the named executive officer’s age plus years of service has reached, or is expected to reach, 85, but not before the named executive officer reaches 55.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Tax-Qualified Pension Plans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Both the SLB Pension Plan and the STC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Since January 1, 1989, the benefit earned has been 1.5% of admissible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employment after age 55 and whose combined age and service is 85 or more, is eligible for retirement with an unreduced pension. Mr. Ayat is eligible for retirement with an unreduced pension under the rule of 85. The benefits are usually paid as a lifetime annuity.</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were affected by this change.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 Supplementary Benefit Plans—Nonqualified Pension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Both the SLB Supplementary Plan and the STC Supplementary Plan contain non-tax-qualified pension benefits. Each of these plans, which have substantially identical terms, provides an eligible employee with benefits equal to the benefits that the employee is unable to receive under the applicable qualified pension plan due to the U.S. Internal Revenue Code of 1986, as amended (the “Code”)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leaves the Company before the age of 50 with five years of service, engages in certain dishonest acts or has violated a confidentiality arrangement involving the Company or its affiliates. Mr. Ayat is eligible for retirement with an unreduced pension under the rule of 85, described above. Nonqualified plan benefits are paid to an employee upon separation from service, provided the employee has attained the age of 55, or if earlier, the age of 50 with 20 years of service.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 (“ERISA”).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French Supplementary Pension Plan</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Effective January 2006, the Company adopted the SLB French Supplementary Plan for exempt employees in France. The plan complements existing national plans and provides a pension beginning after age 60 when an employee retires from Schlumberger and is eligible for a French state pension under the current rules at the time of retirement. The benefit is equivalent to 1.5% of admissible compensation (generally base salary and cash incentive) above the earnings cap for fewer than fifteen years of service and 2% of admissible compensation for more than fifteen years of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after age 55, is not subsequently employed and is otherwise entitled to a French pension, then the employee would receive a benefit under the plan. The Company does not grant and does not expect to grant extra years of credited service under the tax-qualified pension plans to executive officers.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Staff Pension Plan</w:t>
      </w:r>
    </w:p>
    <w:p>
      <w:pPr>
        <w:spacing w:after="0" w:line="17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Recognizing the need to maintain a high degree of mobility for certain of the Company’s employees who otherwise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plan provides for a lifetime annuity upon retirement based on a specified number of years of service. The plan is funded through cash contributions made by the Company or its subsidiaries, along with mandatory contributions by employees.</w:t>
      </w:r>
    </w:p>
    <w:p>
      <w:pPr>
        <w:spacing w:after="0" w:line="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Benefits under this plan are based on a participant’s admissible compensation (base salary, geographical or rotational coefficient, as applicable, and performance or incentive bonus) for each year in which the employee participates in the plan and the employee’s length of service. The benefit earned up to December 31, 2009 is 2.4% of admissible compensation prior to completion of 15 years of service, and 3.2% of admissible compensation for each year of service after 15 years. Those employees who remained with Schlumberger beyond 20 years of service had the first 15 years of service upgraded to 3.2%. Benefits are payable upon normal retirement age, at or after age 55, or upon early retirement with a reduction, at or after age 50 with 20 years of service.</w:t>
      </w:r>
    </w:p>
    <w:p>
      <w:pPr>
        <w:spacing w:after="0" w:line="3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Since January 1, 2010, the benefit earned has been equal to 3.5% of admissible compensation regardless of an employee’s years of service. Benefits earned on or after this date are payable upon normal retirement age, at or after age 60, or upon early retirement with a reduction, at or after age 55.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Year 2012</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and narrative disclosure set forth certain information with respect to nonqualified deferred compensation payable to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Executive</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Company</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Aggregate</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Earnings</w:t>
            </w: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Withdrawals/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34"/>
        </w:trPr>
        <w:tc>
          <w:tcPr>
            <w:tcW w:w="1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2"/>
              </w:rPr>
              <w:t>in Last FY</w:t>
            </w: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2"/>
              </w:rPr>
              <w:t>in Last FY</w:t>
            </w:r>
          </w:p>
        </w:tc>
        <w:tc>
          <w:tcPr>
            <w:tcW w:w="10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in Last FY</w:t>
            </w:r>
          </w:p>
        </w:tc>
        <w:tc>
          <w:tcPr>
            <w:tcW w:w="120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87"/>
              </w:rPr>
              <w:t>Distributions</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Last FYE</w:t>
            </w:r>
          </w:p>
        </w:tc>
      </w:tr>
      <w:tr>
        <w:trPr>
          <w:trHeight w:val="176"/>
        </w:trPr>
        <w:tc>
          <w:tcPr>
            <w:tcW w:w="1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3720" w:type="dxa"/>
            <w:vAlign w:val="bottom"/>
          </w:tcPr>
          <w:p>
            <w:pPr>
              <w:ind w:left="1540"/>
              <w:spacing w:after="0"/>
              <w:rPr>
                <w:sz w:val="20"/>
                <w:szCs w:val="20"/>
                <w:color w:val="auto"/>
              </w:rPr>
            </w:pPr>
            <w:r>
              <w:rPr>
                <w:rFonts w:ascii="Arial" w:cs="Arial" w:eastAsia="Arial" w:hAnsi="Arial"/>
                <w:sz w:val="14"/>
                <w:szCs w:val="14"/>
                <w:b w:val="1"/>
                <w:bCs w:val="1"/>
                <w:color w:val="auto"/>
              </w:rPr>
              <w:t>Plan Name</w:t>
            </w:r>
          </w:p>
        </w:tc>
        <w:tc>
          <w:tcPr>
            <w:tcW w:w="1140" w:type="dxa"/>
            <w:vAlign w:val="bottom"/>
            <w:gridSpan w:val="2"/>
          </w:tcPr>
          <w:p>
            <w:pPr>
              <w:jc w:val="center"/>
              <w:ind w:left="234"/>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42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4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r>
      <w:tr>
        <w:trPr>
          <w:trHeight w:val="210"/>
        </w:trPr>
        <w:tc>
          <w:tcPr>
            <w:tcW w:w="146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320" w:type="dxa"/>
            <w:vAlign w:val="bottom"/>
            <w:tcBorders>
              <w:top w:val="single" w:sz="8" w:color="D8D8D8"/>
            </w:tcBorders>
            <w:shd w:val="clear" w:color="auto" w:fill="D8D8D8"/>
          </w:tcPr>
          <w:p>
            <w:pPr>
              <w:spacing w:after="0"/>
              <w:rPr>
                <w:sz w:val="18"/>
                <w:szCs w:val="18"/>
                <w:color w:val="auto"/>
              </w:rPr>
            </w:pPr>
          </w:p>
        </w:tc>
        <w:tc>
          <w:tcPr>
            <w:tcW w:w="37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320" w:type="dxa"/>
            <w:vAlign w:val="bottom"/>
            <w:tcBorders>
              <w:top w:val="single" w:sz="8" w:color="D8D8D8"/>
            </w:tcBorders>
            <w:shd w:val="clear" w:color="auto" w:fill="D8D8D8"/>
          </w:tcPr>
          <w:p>
            <w:pPr>
              <w:spacing w:after="0"/>
              <w:rPr>
                <w:sz w:val="18"/>
                <w:szCs w:val="18"/>
                <w:color w:val="auto"/>
              </w:rPr>
            </w:pPr>
          </w:p>
        </w:tc>
        <w:tc>
          <w:tcPr>
            <w:tcW w:w="8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20" w:type="dxa"/>
            <w:vAlign w:val="bottom"/>
            <w:tcBorders>
              <w:top w:val="single" w:sz="8" w:color="D8D8D8"/>
            </w:tcBorders>
            <w:shd w:val="clear" w:color="auto" w:fill="D8D8D8"/>
          </w:tcPr>
          <w:p>
            <w:pPr>
              <w:spacing w:after="0"/>
              <w:rPr>
                <w:sz w:val="18"/>
                <w:szCs w:val="18"/>
                <w:color w:val="auto"/>
              </w:rPr>
            </w:pPr>
          </w:p>
        </w:tc>
        <w:tc>
          <w:tcPr>
            <w:tcW w:w="8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94,209</w:t>
            </w:r>
          </w:p>
        </w:tc>
        <w:tc>
          <w:tcPr>
            <w:tcW w:w="42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96,394</w:t>
            </w:r>
          </w:p>
        </w:tc>
        <w:tc>
          <w:tcPr>
            <w:tcW w:w="420" w:type="dxa"/>
            <w:vAlign w:val="bottom"/>
            <w:tcBorders>
              <w:top w:val="single" w:sz="8" w:color="D8D8D8"/>
            </w:tcBorders>
            <w:shd w:val="clear" w:color="auto" w:fill="D8D8D8"/>
          </w:tcPr>
          <w:p>
            <w:pPr>
              <w:spacing w:after="0"/>
              <w:rPr>
                <w:sz w:val="18"/>
                <w:szCs w:val="18"/>
                <w:color w:val="auto"/>
              </w:rPr>
            </w:pPr>
          </w:p>
        </w:tc>
        <w:tc>
          <w:tcPr>
            <w:tcW w:w="8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0" w:type="dxa"/>
            <w:vAlign w:val="bottom"/>
            <w:tcBorders>
              <w:top w:val="single" w:sz="8" w:color="D8D8D8"/>
            </w:tcBorders>
            <w:shd w:val="clear" w:color="auto" w:fill="D8D8D8"/>
          </w:tcPr>
          <w:p>
            <w:pPr>
              <w:spacing w:after="0"/>
              <w:rPr>
                <w:sz w:val="18"/>
                <w:szCs w:val="18"/>
                <w:color w:val="auto"/>
              </w:rPr>
            </w:pPr>
          </w:p>
        </w:tc>
        <w:tc>
          <w:tcPr>
            <w:tcW w:w="7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374,334</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Arial" w:cs="Arial" w:eastAsia="Arial" w:hAnsi="Arial"/>
                <w:sz w:val="18"/>
                <w:szCs w:val="18"/>
                <w:color w:val="auto"/>
              </w:rPr>
              <w:t>SLB Restoration Savings Plan</w:t>
            </w:r>
          </w:p>
        </w:tc>
        <w:tc>
          <w:tcPr>
            <w:tcW w:w="15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2,385</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85,142</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Arial" w:cs="Arial" w:eastAsia="Arial" w:hAnsi="Arial"/>
                <w:sz w:val="18"/>
                <w:szCs w:val="18"/>
                <w:color w:val="auto"/>
              </w:rPr>
              <w:t>International Staff Plan</w:t>
            </w:r>
          </w:p>
        </w:tc>
        <w:tc>
          <w:tcPr>
            <w:tcW w:w="15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8,978</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94,653</w:t>
            </w:r>
          </w:p>
        </w:tc>
        <w:tc>
          <w:tcPr>
            <w:tcW w:w="100" w:type="dxa"/>
            <w:vAlign w:val="bottom"/>
            <w:shd w:val="clear" w:color="auto" w:fill="D8D8D8"/>
          </w:tcPr>
          <w:p>
            <w:pPr>
              <w:spacing w:after="0"/>
              <w:rPr>
                <w:sz w:val="18"/>
                <w:szCs w:val="18"/>
                <w:color w:val="auto"/>
              </w:rPr>
            </w:pPr>
          </w:p>
        </w:tc>
      </w:tr>
      <w:tr>
        <w:trPr>
          <w:trHeight w:val="316"/>
        </w:trPr>
        <w:tc>
          <w:tcPr>
            <w:tcW w:w="1460" w:type="dxa"/>
            <w:vAlign w:val="bottom"/>
          </w:tcPr>
          <w:p>
            <w:pPr>
              <w:spacing w:after="0"/>
              <w:rPr>
                <w:sz w:val="20"/>
                <w:szCs w:val="20"/>
                <w:color w:val="auto"/>
              </w:rPr>
            </w:pPr>
            <w:r>
              <w:rPr>
                <w:rFonts w:ascii="Arial" w:cs="Arial" w:eastAsia="Arial" w:hAnsi="Arial"/>
                <w:sz w:val="18"/>
                <w:szCs w:val="18"/>
                <w:color w:val="auto"/>
              </w:rPr>
              <w:t>S. Ayat</w:t>
            </w:r>
          </w:p>
        </w:tc>
        <w:tc>
          <w:tcPr>
            <w:tcW w:w="4040" w:type="dxa"/>
            <w:vAlign w:val="bottom"/>
            <w:gridSpan w:val="2"/>
          </w:tcPr>
          <w:p>
            <w:pPr>
              <w:ind w:left="320"/>
              <w:spacing w:after="0"/>
              <w:rPr>
                <w:sz w:val="20"/>
                <w:szCs w:val="20"/>
                <w:color w:val="auto"/>
              </w:rPr>
            </w:pPr>
            <w:r>
              <w:rPr>
                <w:rFonts w:ascii="Arial" w:cs="Arial" w:eastAsia="Arial" w:hAnsi="Arial"/>
                <w:sz w:val="18"/>
                <w:szCs w:val="18"/>
                <w:color w:val="auto"/>
              </w:rPr>
              <w:t>SLB Supplementary Plan</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50,043</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76,107</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298,236</w:t>
            </w:r>
          </w:p>
        </w:tc>
        <w:tc>
          <w:tcPr>
            <w:tcW w:w="10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4040" w:type="dxa"/>
            <w:vAlign w:val="bottom"/>
            <w:gridSpan w:val="2"/>
          </w:tcPr>
          <w:p>
            <w:pPr>
              <w:ind w:left="320"/>
              <w:spacing w:after="0"/>
              <w:rPr>
                <w:sz w:val="20"/>
                <w:szCs w:val="20"/>
                <w:color w:val="auto"/>
              </w:rPr>
            </w:pPr>
            <w:r>
              <w:rPr>
                <w:rFonts w:ascii="Arial" w:cs="Arial" w:eastAsia="Arial" w:hAnsi="Arial"/>
                <w:sz w:val="18"/>
                <w:szCs w:val="18"/>
                <w:color w:val="auto"/>
              </w:rPr>
              <w:t>SLB Restoration Savings Plan</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9,562</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341,315</w:t>
            </w:r>
          </w:p>
        </w:tc>
        <w:tc>
          <w:tcPr>
            <w:tcW w:w="100" w:type="dxa"/>
            <w:vAlign w:val="bottom"/>
          </w:tcPr>
          <w:p>
            <w:pPr>
              <w:spacing w:after="0"/>
              <w:rPr>
                <w:sz w:val="18"/>
                <w:szCs w:val="18"/>
                <w:color w:val="auto"/>
              </w:rPr>
            </w:pPr>
          </w:p>
        </w:tc>
      </w:tr>
      <w:tr>
        <w:trPr>
          <w:trHeight w:val="223"/>
        </w:trPr>
        <w:tc>
          <w:tcPr>
            <w:tcW w:w="1460" w:type="dxa"/>
            <w:vAlign w:val="bottom"/>
          </w:tcPr>
          <w:p>
            <w:pPr>
              <w:spacing w:after="0"/>
              <w:rPr>
                <w:sz w:val="19"/>
                <w:szCs w:val="19"/>
                <w:color w:val="auto"/>
              </w:rPr>
            </w:pPr>
          </w:p>
        </w:tc>
        <w:tc>
          <w:tcPr>
            <w:tcW w:w="4040" w:type="dxa"/>
            <w:vAlign w:val="bottom"/>
            <w:gridSpan w:val="2"/>
          </w:tcPr>
          <w:p>
            <w:pPr>
              <w:ind w:left="320"/>
              <w:spacing w:after="0"/>
              <w:rPr>
                <w:sz w:val="20"/>
                <w:szCs w:val="20"/>
                <w:color w:val="auto"/>
              </w:rPr>
            </w:pPr>
            <w:r>
              <w:rPr>
                <w:rFonts w:ascii="Arial" w:cs="Arial" w:eastAsia="Arial" w:hAnsi="Arial"/>
                <w:sz w:val="18"/>
                <w:szCs w:val="18"/>
                <w:color w:val="auto"/>
              </w:rPr>
              <w:t>International Staff Plan</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101,377</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1,095,936</w:t>
            </w:r>
          </w:p>
        </w:tc>
        <w:tc>
          <w:tcPr>
            <w:tcW w:w="100" w:type="dxa"/>
            <w:vAlign w:val="bottom"/>
          </w:tcPr>
          <w:p>
            <w:pPr>
              <w:spacing w:after="0"/>
              <w:rPr>
                <w:sz w:val="19"/>
                <w:szCs w:val="19"/>
                <w:color w:val="auto"/>
              </w:rPr>
            </w:pPr>
          </w:p>
        </w:tc>
      </w:tr>
      <w:tr>
        <w:trPr>
          <w:trHeight w:val="323"/>
        </w:trPr>
        <w:tc>
          <w:tcPr>
            <w:tcW w:w="1460" w:type="dxa"/>
            <w:vAlign w:val="bottom"/>
            <w:shd w:val="clear" w:color="auto" w:fill="D8D8D8"/>
          </w:tcPr>
          <w:p>
            <w:pPr>
              <w:spacing w:after="0"/>
              <w:rPr>
                <w:sz w:val="20"/>
                <w:szCs w:val="20"/>
                <w:color w:val="auto"/>
              </w:rPr>
            </w:pPr>
            <w:r>
              <w:rPr>
                <w:rFonts w:ascii="Arial" w:cs="Arial" w:eastAsia="Arial" w:hAnsi="Arial"/>
                <w:sz w:val="18"/>
                <w:szCs w:val="18"/>
                <w:color w:val="auto"/>
              </w:rPr>
              <w:t>S. Pai</w:t>
            </w:r>
          </w:p>
        </w:tc>
        <w:tc>
          <w:tcPr>
            <w:tcW w:w="320" w:type="dxa"/>
            <w:vAlign w:val="bottom"/>
            <w:shd w:val="clear" w:color="auto" w:fill="D8D8D8"/>
          </w:tcPr>
          <w:p>
            <w:pPr>
              <w:spacing w:after="0"/>
              <w:rPr>
                <w:sz w:val="24"/>
                <w:szCs w:val="24"/>
                <w:color w:val="auto"/>
              </w:rPr>
            </w:pPr>
          </w:p>
        </w:tc>
        <w:tc>
          <w:tcPr>
            <w:tcW w:w="3720" w:type="dxa"/>
            <w:vAlign w:val="bottom"/>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15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33,079</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D8D8D8"/>
          </w:tcPr>
          <w:p>
            <w:pPr>
              <w:spacing w:after="0"/>
              <w:rPr>
                <w:sz w:val="24"/>
                <w:szCs w:val="24"/>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327,054</w:t>
            </w:r>
          </w:p>
        </w:tc>
        <w:tc>
          <w:tcPr>
            <w:tcW w:w="100" w:type="dxa"/>
            <w:vAlign w:val="bottom"/>
            <w:shd w:val="clear" w:color="auto" w:fill="D8D8D8"/>
          </w:tcPr>
          <w:p>
            <w:pPr>
              <w:spacing w:after="0"/>
              <w:rPr>
                <w:sz w:val="24"/>
                <w:szCs w:val="24"/>
                <w:color w:val="auto"/>
              </w:rPr>
            </w:pPr>
          </w:p>
        </w:tc>
      </w:tr>
      <w:tr>
        <w:trPr>
          <w:trHeight w:val="218"/>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Arial" w:cs="Arial" w:eastAsia="Arial" w:hAnsi="Arial"/>
                <w:sz w:val="18"/>
                <w:szCs w:val="18"/>
                <w:color w:val="auto"/>
              </w:rPr>
              <w:t>SLB Restoration Savings Plan</w:t>
            </w:r>
          </w:p>
        </w:tc>
        <w:tc>
          <w:tcPr>
            <w:tcW w:w="15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38,102</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1,359,974</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Arial" w:cs="Arial" w:eastAsia="Arial" w:hAnsi="Arial"/>
                <w:sz w:val="18"/>
                <w:szCs w:val="18"/>
                <w:color w:val="auto"/>
              </w:rPr>
              <w:t>International Staff Plan</w:t>
            </w:r>
          </w:p>
        </w:tc>
        <w:tc>
          <w:tcPr>
            <w:tcW w:w="15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96,152</w:t>
            </w:r>
          </w:p>
        </w:tc>
        <w:tc>
          <w:tcPr>
            <w:tcW w:w="10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w w:val="95"/>
              </w:rPr>
              <w:t>141,409</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547,158</w:t>
            </w:r>
          </w:p>
        </w:tc>
        <w:tc>
          <w:tcPr>
            <w:tcW w:w="100" w:type="dxa"/>
            <w:vAlign w:val="bottom"/>
            <w:shd w:val="clear" w:color="auto" w:fill="D8D8D8"/>
          </w:tcPr>
          <w:p>
            <w:pPr>
              <w:spacing w:after="0"/>
              <w:rPr>
                <w:sz w:val="18"/>
                <w:szCs w:val="18"/>
                <w:color w:val="auto"/>
              </w:rPr>
            </w:pPr>
          </w:p>
        </w:tc>
      </w:tr>
      <w:tr>
        <w:trPr>
          <w:trHeight w:val="316"/>
        </w:trPr>
        <w:tc>
          <w:tcPr>
            <w:tcW w:w="1460" w:type="dxa"/>
            <w:vAlign w:val="bottom"/>
          </w:tcPr>
          <w:p>
            <w:pPr>
              <w:spacing w:after="0"/>
              <w:rPr>
                <w:sz w:val="20"/>
                <w:szCs w:val="20"/>
                <w:color w:val="auto"/>
              </w:rPr>
            </w:pPr>
            <w:r>
              <w:rPr>
                <w:rFonts w:ascii="Arial" w:cs="Arial" w:eastAsia="Arial" w:hAnsi="Arial"/>
                <w:sz w:val="18"/>
                <w:szCs w:val="18"/>
                <w:color w:val="auto"/>
              </w:rPr>
              <w:t>K.-E. Oestdahl</w:t>
            </w:r>
          </w:p>
        </w:tc>
        <w:tc>
          <w:tcPr>
            <w:tcW w:w="4040" w:type="dxa"/>
            <w:vAlign w:val="bottom"/>
            <w:gridSpan w:val="2"/>
          </w:tcPr>
          <w:p>
            <w:pPr>
              <w:ind w:left="320"/>
              <w:spacing w:after="0"/>
              <w:rPr>
                <w:sz w:val="20"/>
                <w:szCs w:val="20"/>
                <w:color w:val="auto"/>
              </w:rPr>
            </w:pPr>
            <w:r>
              <w:rPr>
                <w:rFonts w:ascii="Arial" w:cs="Arial" w:eastAsia="Arial" w:hAnsi="Arial"/>
                <w:sz w:val="18"/>
                <w:szCs w:val="18"/>
                <w:color w:val="auto"/>
              </w:rPr>
              <w:t>International Staff Plan</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87,573</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62,464</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320,029</w:t>
            </w:r>
          </w:p>
        </w:tc>
        <w:tc>
          <w:tcPr>
            <w:tcW w:w="100" w:type="dxa"/>
            <w:vAlign w:val="bottom"/>
          </w:tcPr>
          <w:p>
            <w:pPr>
              <w:spacing w:after="0"/>
              <w:rPr>
                <w:sz w:val="24"/>
                <w:szCs w:val="24"/>
                <w:color w:val="auto"/>
              </w:rPr>
            </w:pPr>
          </w:p>
        </w:tc>
      </w:tr>
      <w:tr>
        <w:trPr>
          <w:trHeight w:val="223"/>
        </w:trPr>
        <w:tc>
          <w:tcPr>
            <w:tcW w:w="1460" w:type="dxa"/>
            <w:vAlign w:val="bottom"/>
          </w:tcPr>
          <w:p>
            <w:pPr>
              <w:spacing w:after="0"/>
              <w:rPr>
                <w:sz w:val="19"/>
                <w:szCs w:val="19"/>
                <w:color w:val="auto"/>
              </w:rPr>
            </w:pPr>
          </w:p>
        </w:tc>
        <w:tc>
          <w:tcPr>
            <w:tcW w:w="4040" w:type="dxa"/>
            <w:vAlign w:val="bottom"/>
            <w:gridSpan w:val="2"/>
          </w:tcPr>
          <w:p>
            <w:pPr>
              <w:ind w:left="320"/>
              <w:spacing w:after="0"/>
              <w:rPr>
                <w:sz w:val="20"/>
                <w:szCs w:val="20"/>
                <w:color w:val="auto"/>
              </w:rPr>
            </w:pPr>
            <w:r>
              <w:rPr>
                <w:rFonts w:ascii="Arial" w:cs="Arial" w:eastAsia="Arial" w:hAnsi="Arial"/>
                <w:sz w:val="18"/>
                <w:szCs w:val="18"/>
                <w:color w:val="auto"/>
              </w:rPr>
              <w:t>Norway DC Pension Plan</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8,685</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7,616</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16,301</w:t>
            </w:r>
          </w:p>
        </w:tc>
        <w:tc>
          <w:tcPr>
            <w:tcW w:w="100" w:type="dxa"/>
            <w:vAlign w:val="bottom"/>
          </w:tcPr>
          <w:p>
            <w:pPr>
              <w:spacing w:after="0"/>
              <w:rPr>
                <w:sz w:val="19"/>
                <w:szCs w:val="19"/>
                <w:color w:val="auto"/>
              </w:rPr>
            </w:pPr>
          </w:p>
        </w:tc>
      </w:tr>
      <w:tr>
        <w:trPr>
          <w:trHeight w:val="323"/>
        </w:trPr>
        <w:tc>
          <w:tcPr>
            <w:tcW w:w="1460" w:type="dxa"/>
            <w:vAlign w:val="bottom"/>
            <w:shd w:val="clear" w:color="auto" w:fill="D8D8D8"/>
          </w:tcPr>
          <w:p>
            <w:pPr>
              <w:spacing w:after="0"/>
              <w:rPr>
                <w:sz w:val="20"/>
                <w:szCs w:val="20"/>
                <w:color w:val="auto"/>
              </w:rPr>
            </w:pPr>
            <w:r>
              <w:rPr>
                <w:rFonts w:ascii="Arial" w:cs="Arial" w:eastAsia="Arial" w:hAnsi="Arial"/>
                <w:sz w:val="18"/>
                <w:szCs w:val="18"/>
                <w:color w:val="auto"/>
              </w:rPr>
              <w:t>A. Belani</w:t>
            </w:r>
          </w:p>
        </w:tc>
        <w:tc>
          <w:tcPr>
            <w:tcW w:w="320" w:type="dxa"/>
            <w:vAlign w:val="bottom"/>
            <w:shd w:val="clear" w:color="auto" w:fill="D8D8D8"/>
          </w:tcPr>
          <w:p>
            <w:pPr>
              <w:spacing w:after="0"/>
              <w:rPr>
                <w:sz w:val="24"/>
                <w:szCs w:val="24"/>
                <w:color w:val="auto"/>
              </w:rPr>
            </w:pPr>
          </w:p>
        </w:tc>
        <w:tc>
          <w:tcPr>
            <w:tcW w:w="3720" w:type="dxa"/>
            <w:vAlign w:val="bottom"/>
            <w:shd w:val="clear" w:color="auto" w:fill="D8D8D8"/>
          </w:tcPr>
          <w:p>
            <w:pPr>
              <w:spacing w:after="0"/>
              <w:rPr>
                <w:sz w:val="20"/>
                <w:szCs w:val="20"/>
                <w:color w:val="auto"/>
              </w:rPr>
            </w:pPr>
            <w:r>
              <w:rPr>
                <w:rFonts w:ascii="Arial" w:cs="Arial" w:eastAsia="Arial" w:hAnsi="Arial"/>
                <w:sz w:val="18"/>
                <w:szCs w:val="18"/>
                <w:color w:val="auto"/>
              </w:rPr>
              <w:t>SLB Supplementary Plan</w:t>
            </w:r>
          </w:p>
        </w:tc>
        <w:tc>
          <w:tcPr>
            <w:tcW w:w="15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41,598</w:t>
            </w:r>
          </w:p>
        </w:tc>
        <w:tc>
          <w:tcPr>
            <w:tcW w:w="10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60,572</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D8D8D8"/>
          </w:tcPr>
          <w:p>
            <w:pPr>
              <w:spacing w:after="0"/>
              <w:rPr>
                <w:sz w:val="24"/>
                <w:szCs w:val="24"/>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266,260</w:t>
            </w:r>
          </w:p>
        </w:tc>
        <w:tc>
          <w:tcPr>
            <w:tcW w:w="100" w:type="dxa"/>
            <w:vAlign w:val="bottom"/>
            <w:shd w:val="clear" w:color="auto" w:fill="D8D8D8"/>
          </w:tcPr>
          <w:p>
            <w:pPr>
              <w:spacing w:after="0"/>
              <w:rPr>
                <w:sz w:val="24"/>
                <w:szCs w:val="24"/>
                <w:color w:val="auto"/>
              </w:rPr>
            </w:pPr>
          </w:p>
        </w:tc>
      </w:tr>
      <w:tr>
        <w:trPr>
          <w:trHeight w:val="218"/>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Arial" w:cs="Arial" w:eastAsia="Arial" w:hAnsi="Arial"/>
                <w:sz w:val="18"/>
                <w:szCs w:val="18"/>
                <w:color w:val="auto"/>
              </w:rPr>
              <w:t>SLB Restoration Savings Plan</w:t>
            </w:r>
          </w:p>
        </w:tc>
        <w:tc>
          <w:tcPr>
            <w:tcW w:w="15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207,990</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41,598</w:t>
            </w:r>
          </w:p>
        </w:tc>
        <w:tc>
          <w:tcPr>
            <w:tcW w:w="10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65,122</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1,128,069</w:t>
            </w:r>
          </w:p>
        </w:tc>
        <w:tc>
          <w:tcPr>
            <w:tcW w:w="100" w:type="dxa"/>
            <w:vAlign w:val="bottom"/>
            <w:shd w:val="clear" w:color="auto" w:fill="D8D8D8"/>
          </w:tcPr>
          <w:p>
            <w:pPr>
              <w:spacing w:after="0"/>
              <w:rPr>
                <w:sz w:val="18"/>
                <w:szCs w:val="18"/>
                <w:color w:val="auto"/>
              </w:rPr>
            </w:pPr>
          </w:p>
        </w:tc>
      </w:tr>
      <w:tr>
        <w:trPr>
          <w:trHeight w:val="216"/>
        </w:trPr>
        <w:tc>
          <w:tcPr>
            <w:tcW w:w="146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720" w:type="dxa"/>
            <w:vAlign w:val="bottom"/>
            <w:shd w:val="clear" w:color="auto" w:fill="D8D8D8"/>
          </w:tcPr>
          <w:p>
            <w:pPr>
              <w:spacing w:after="0"/>
              <w:rPr>
                <w:sz w:val="20"/>
                <w:szCs w:val="20"/>
                <w:color w:val="auto"/>
              </w:rPr>
            </w:pPr>
            <w:r>
              <w:rPr>
                <w:rFonts w:ascii="Arial" w:cs="Arial" w:eastAsia="Arial" w:hAnsi="Arial"/>
                <w:sz w:val="18"/>
                <w:szCs w:val="18"/>
                <w:color w:val="auto"/>
              </w:rPr>
              <w:t>International Staff Plan</w:t>
            </w:r>
          </w:p>
        </w:tc>
        <w:tc>
          <w:tcPr>
            <w:tcW w:w="15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74,262</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838,416</w:t>
            </w:r>
          </w:p>
        </w:tc>
        <w:tc>
          <w:tcPr>
            <w:tcW w:w="100" w:type="dxa"/>
            <w:vAlign w:val="bottom"/>
            <w:shd w:val="clear" w:color="auto" w:fill="D8D8D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right="40" w:hanging="451"/>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reported in the “Executive Contributions in Last FY” column represent elective contributions of a portion of a named executive officer’s base salary and non-equity incentive plan compensation to the SLB Restoration Savings Plan (which amounts are also included as 2012 “Salary” and 2012 “Non-Equity Incentive Plan Compensation” in the Summary Compensation Table).</w:t>
      </w:r>
    </w:p>
    <w:p>
      <w:pPr>
        <w:spacing w:after="0" w:line="45" w:lineRule="exact"/>
        <w:rPr>
          <w:rFonts w:ascii="Arial" w:cs="Arial" w:eastAsia="Arial" w:hAnsi="Arial"/>
          <w:sz w:val="18"/>
          <w:szCs w:val="18"/>
          <w:color w:val="auto"/>
        </w:rPr>
      </w:pPr>
    </w:p>
    <w:p>
      <w:pPr>
        <w:ind w:left="500" w:right="20" w:hanging="451"/>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reported in the “Company Contributions in Last FY” column represent Schlumberger’s contributions to each named executive officer’s SLB Supplementary Plan, SLB Restoration Savings Plan, Norway DC Pension Plan and International Staff Plan accounts, as applicable, which amounts are also reported as 2012 “All Other Compensation” in the Summary Compensation Table.</w:t>
      </w:r>
    </w:p>
    <w:p>
      <w:pPr>
        <w:spacing w:after="0" w:line="45" w:lineRule="exact"/>
        <w:rPr>
          <w:rFonts w:ascii="Arial" w:cs="Arial" w:eastAsia="Arial" w:hAnsi="Arial"/>
          <w:sz w:val="18"/>
          <w:szCs w:val="18"/>
          <w:color w:val="auto"/>
        </w:rPr>
      </w:pPr>
    </w:p>
    <w:p>
      <w:pPr>
        <w:jc w:val="both"/>
        <w:ind w:left="500" w:right="20" w:hanging="451"/>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reported in the “Aggregate Balance at Last FYE” column represent balances from the SLB Restoration Savings Plan, the SLB Supplementary Plan, the Norway DC Pension Plan and the International Staff Plan, and include various amounts previously reported in the Summary Compensation Table as All Other Compensation.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Supplementary Benefit Plan—Non-Qualified Profit Sharing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SLB Supplementary Plan provides certain non-tax-qualified defined contribution benefits for eligible employees, including executive officers.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Technology Corporation maintains a plan with substantially identical terms.</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SLB Supplementary Plan provides an eligible employee with discretionary Company profit sharing contributions that are not permissible under the applicable tax-qualified plan due to Code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SLB Supplementary Plan if the employee terminates employment before completing four years of service, engage in certain dishonest acts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Restoration Savings Plan</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SLB Restoration Savings Plan, a non-qualified deferred compensation plan, provides certain defined contribution benefits for eligible employees, including the named executive officers. The SLB Restoration Savings Plan allows an eligible employee to defer compensation (and receive an associated employer match) that the employee cannot defer under the applicable tax-qualified plan because of Code limits on the amount of compensation that can be taken into account.</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 eligible employee may elect in advance to defer a percentage (from 1% to 15% or, effective January 1, 2013, up to 50%) of his or her compensation (generally base salary and cash incentive) over the Code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on the first 6% deferred by the employee. Historically, the Company has not made a matching contribution in non-profitable years; provided, however, that effective January 1, 2013, the match is made each payroll period and is not contingent on profits. Employees’ accounts are credited with interest, calculated to mirror the interest earnings of the Short-Term Fixed Income Fund under the Schlumberger Master Profit Sharing Trust, which was 2.88% in 2012. Matching contributions and related interest vest based on the employee’s years of service, as follows:</w:t>
      </w:r>
    </w:p>
    <w:p>
      <w:pPr>
        <w:spacing w:after="0" w:line="4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20" w:type="dxa"/>
            <w:vAlign w:val="bottom"/>
            <w:shd w:val="clear" w:color="auto" w:fill="D8D8D8"/>
          </w:tcPr>
          <w:p>
            <w:pPr>
              <w:spacing w:after="0"/>
              <w:rPr>
                <w:sz w:val="20"/>
                <w:szCs w:val="20"/>
                <w:color w:val="auto"/>
              </w:rPr>
            </w:pPr>
            <w:r>
              <w:rPr>
                <w:rFonts w:ascii="Arial" w:cs="Arial" w:eastAsia="Arial" w:hAnsi="Arial"/>
                <w:sz w:val="18"/>
                <w:szCs w:val="18"/>
                <w:color w:val="auto"/>
              </w:rPr>
              <w:t>2 years</w:t>
            </w:r>
          </w:p>
        </w:tc>
        <w:tc>
          <w:tcPr>
            <w:tcW w:w="4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vested</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 years</w:t>
            </w:r>
          </w:p>
        </w:tc>
        <w:tc>
          <w:tcPr>
            <w:tcW w:w="4140" w:type="dxa"/>
            <w:vAlign w:val="bottom"/>
          </w:tcPr>
          <w:p>
            <w:pPr>
              <w:jc w:val="right"/>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vested</w:t>
            </w:r>
          </w:p>
        </w:tc>
      </w:tr>
      <w:tr>
        <w:trPr>
          <w:trHeight w:val="216"/>
        </w:trPr>
        <w:tc>
          <w:tcPr>
            <w:tcW w:w="3620" w:type="dxa"/>
            <w:vAlign w:val="bottom"/>
            <w:shd w:val="clear" w:color="auto" w:fill="D8D8D8"/>
          </w:tcPr>
          <w:p>
            <w:pPr>
              <w:spacing w:after="0"/>
              <w:rPr>
                <w:sz w:val="20"/>
                <w:szCs w:val="20"/>
                <w:color w:val="auto"/>
              </w:rPr>
            </w:pPr>
            <w:r>
              <w:rPr>
                <w:rFonts w:ascii="Arial" w:cs="Arial" w:eastAsia="Arial" w:hAnsi="Arial"/>
                <w:sz w:val="18"/>
                <w:szCs w:val="18"/>
                <w:color w:val="auto"/>
              </w:rPr>
              <w:t>4 years</w:t>
            </w:r>
          </w:p>
        </w:tc>
        <w:tc>
          <w:tcPr>
            <w:tcW w:w="4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 vested</w:t>
            </w:r>
          </w:p>
        </w:tc>
      </w:tr>
    </w:tbl>
    <w:p>
      <w:pPr>
        <w:spacing w:after="0" w:line="7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However, an employee forfeits all benefits under the plan if a determination is made that the employee has engaged in certain dishonest acts or violated a confidentiality arrangement involving Schlumberger or its affiliates.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SLB International Staff Profit-Sharing Plan</w:t>
      </w:r>
    </w:p>
    <w:p>
      <w:pPr>
        <w:spacing w:after="0" w:line="17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Schlumberger maintains the SLB International Staff Profit-Sharing Plan, which provides for an annual employer contribution based on admissible compensation (base salary, geographical or rotational coefficient, as applicable, and performance or incentive bonus). Amounts allocated to the participants’ accounts share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investment gains and/or losses of the trust fund and are generally distributed in a lump sum upon the satisfaction of certain conditions on termination of employment. Benefits earned under the SLB International Staff Profit-Sharing Plan will be forfeited upon a determination by the SLB International Staff Profit-Sharing Plan’s administrator that the employee’s separation from service was due to or in circumstances of fraud or misconduct detrimental to the Company, an affiliate or any customer.</w:t>
      </w:r>
    </w:p>
    <w:p>
      <w:pPr>
        <w:spacing w:after="0" w:line="137" w:lineRule="exact"/>
        <w:rPr>
          <w:sz w:val="20"/>
          <w:szCs w:val="20"/>
          <w:color w:val="auto"/>
        </w:rPr>
      </w:pPr>
    </w:p>
    <w:p>
      <w:pPr>
        <w:ind w:right="5360"/>
        <w:spacing w:after="0" w:line="497" w:lineRule="auto"/>
        <w:rPr>
          <w:sz w:val="20"/>
          <w:szCs w:val="20"/>
          <w:color w:val="auto"/>
        </w:rPr>
      </w:pPr>
      <w:r>
        <w:rPr>
          <w:rFonts w:ascii="Arial" w:cs="Arial" w:eastAsia="Arial" w:hAnsi="Arial"/>
          <w:sz w:val="16"/>
          <w:szCs w:val="16"/>
          <w:b w:val="1"/>
          <w:bCs w:val="1"/>
          <w:color w:val="auto"/>
        </w:rPr>
        <w:t xml:space="preserve">Potential Payments Upon Termination or Change in Control for Fiscal Year 2012 </w:t>
      </w:r>
      <w:r>
        <w:rPr>
          <w:rFonts w:ascii="Arial" w:cs="Arial" w:eastAsia="Arial" w:hAnsi="Arial"/>
          <w:sz w:val="16"/>
          <w:szCs w:val="16"/>
          <w:b w:val="1"/>
          <w:bCs w:val="1"/>
          <w:i w:val="1"/>
          <w:iCs w:val="1"/>
          <w:color w:val="auto"/>
        </w:rPr>
        <w:t>No Additional Payments Upon Termination or Change in Control</w:t>
      </w:r>
    </w:p>
    <w:p>
      <w:pPr>
        <w:ind w:right="160" w:firstLine="456"/>
        <w:spacing w:after="0" w:line="306" w:lineRule="auto"/>
        <w:rPr>
          <w:sz w:val="20"/>
          <w:szCs w:val="20"/>
          <w:color w:val="auto"/>
        </w:rPr>
      </w:pPr>
      <w:r>
        <w:rPr>
          <w:rFonts w:ascii="Arial" w:cs="Arial" w:eastAsia="Arial" w:hAnsi="Arial"/>
          <w:sz w:val="16"/>
          <w:szCs w:val="16"/>
          <w:color w:val="auto"/>
        </w:rPr>
        <w:t>Schlumberger’s executive officers generally receive the same benefits as other employees. As is the case with other compensation arrangements, any differences are generally due to local (country-specific) requirements. In line with this practice, executive officers do not have employment agreements, “golden parachutes” or change in control agreements, except for employment agreements in connection with phased retirement.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Phased Retirement</w:t>
      </w:r>
    </w:p>
    <w:p>
      <w:pPr>
        <w:spacing w:after="0" w:line="171"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 Company has a practice of phased retirement, which may be offered to executive officers (other than the CEO) approaching retirement, at the discretion of the Company. Please read “Compensation Discussion and Analysis—Benefits—Retirement Practices” for a more detailed discussion.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 except for certain options assumed in connection with the acquisition of Smith (none of which are held by any named executive officer).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section summarizes the consequences for named executive officers and other employees under the Company’s stock option plans and standard form of stock option award agreement in the event an option holder’s employment terminates.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2260" w:type="dxa"/>
            <w:vAlign w:val="bottom"/>
            <w:gridSpan w:val="2"/>
          </w:tcPr>
          <w:p>
            <w:pPr>
              <w:ind w:left="820"/>
              <w:spacing w:after="0"/>
              <w:rPr>
                <w:sz w:val="20"/>
                <w:szCs w:val="20"/>
                <w:color w:val="auto"/>
              </w:rPr>
            </w:pPr>
            <w:r>
              <w:rPr>
                <w:rFonts w:ascii="Arial" w:cs="Arial" w:eastAsia="Arial" w:hAnsi="Arial"/>
                <w:sz w:val="14"/>
                <w:szCs w:val="14"/>
                <w:b w:val="1"/>
                <w:bCs w:val="1"/>
                <w:color w:val="auto"/>
              </w:rPr>
              <w:t>Vesting</w:t>
            </w:r>
          </w:p>
        </w:tc>
        <w:tc>
          <w:tcPr>
            <w:tcW w:w="4340" w:type="dxa"/>
            <w:vAlign w:val="bottom"/>
          </w:tcPr>
          <w:p>
            <w:pPr>
              <w:ind w:left="1180"/>
              <w:spacing w:after="0"/>
              <w:rPr>
                <w:sz w:val="20"/>
                <w:szCs w:val="20"/>
                <w:color w:val="auto"/>
              </w:rPr>
            </w:pPr>
            <w:r>
              <w:rPr>
                <w:rFonts w:ascii="Arial" w:cs="Arial" w:eastAsia="Arial" w:hAnsi="Arial"/>
                <w:sz w:val="14"/>
                <w:szCs w:val="14"/>
                <w:b w:val="1"/>
                <w:bCs w:val="1"/>
                <w:color w:val="auto"/>
              </w:rPr>
              <w:t>Post-Employment Exercise Period</w:t>
            </w:r>
          </w:p>
        </w:tc>
      </w:tr>
      <w:tr>
        <w:trPr>
          <w:trHeight w:val="201"/>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Voluntary termination with consent of the Company or</w:t>
            </w:r>
          </w:p>
        </w:tc>
        <w:tc>
          <w:tcPr>
            <w:tcW w:w="240" w:type="dxa"/>
            <w:vAlign w:val="bottom"/>
          </w:tcPr>
          <w:p>
            <w:pPr>
              <w:spacing w:after="0"/>
              <w:rPr>
                <w:sz w:val="17"/>
                <w:szCs w:val="17"/>
                <w:color w:val="auto"/>
              </w:rPr>
            </w:pPr>
          </w:p>
        </w:tc>
        <w:tc>
          <w:tcPr>
            <w:tcW w:w="2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 additional vesting</w:t>
            </w:r>
          </w:p>
        </w:tc>
        <w:tc>
          <w:tcPr>
            <w:tcW w:w="220" w:type="dxa"/>
            <w:vAlign w:val="bottom"/>
          </w:tcPr>
          <w:p>
            <w:pPr>
              <w:spacing w:after="0"/>
              <w:rPr>
                <w:sz w:val="17"/>
                <w:szCs w:val="17"/>
                <w:color w:val="auto"/>
              </w:rPr>
            </w:pPr>
          </w:p>
        </w:tc>
        <w:tc>
          <w:tcPr>
            <w:tcW w:w="4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Exercisable (to the extent exercisable at termination) at any</w:t>
            </w:r>
          </w:p>
        </w:tc>
      </w:tr>
      <w:tr>
        <w:trPr>
          <w:trHeight w:val="222"/>
        </w:trPr>
        <w:tc>
          <w:tcPr>
            <w:tcW w:w="4820" w:type="dxa"/>
            <w:vAlign w:val="bottom"/>
            <w:gridSpan w:val="3"/>
          </w:tcPr>
          <w:p>
            <w:pPr>
              <w:spacing w:after="0"/>
              <w:rPr>
                <w:sz w:val="20"/>
                <w:szCs w:val="20"/>
                <w:color w:val="auto"/>
              </w:rPr>
            </w:pPr>
            <w:r>
              <w:rPr>
                <w:rFonts w:ascii="Arial" w:cs="Arial" w:eastAsia="Arial" w:hAnsi="Arial"/>
                <w:sz w:val="18"/>
                <w:szCs w:val="18"/>
                <w:color w:val="auto"/>
              </w:rPr>
              <w:t>termination by the Company other than for cause</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time within three months after termination.</w:t>
            </w:r>
          </w:p>
        </w:tc>
      </w:tr>
      <w:tr>
        <w:trPr>
          <w:trHeight w:val="324"/>
        </w:trPr>
        <w:tc>
          <w:tcPr>
            <w:tcW w:w="4820" w:type="dxa"/>
            <w:vAlign w:val="bottom"/>
            <w:gridSpan w:val="3"/>
          </w:tcPr>
          <w:p>
            <w:pPr>
              <w:spacing w:after="0"/>
              <w:rPr>
                <w:sz w:val="20"/>
                <w:szCs w:val="20"/>
                <w:color w:val="auto"/>
              </w:rPr>
            </w:pPr>
            <w:r>
              <w:rPr>
                <w:rFonts w:ascii="Arial" w:cs="Arial" w:eastAsia="Arial" w:hAnsi="Arial"/>
                <w:sz w:val="18"/>
                <w:szCs w:val="18"/>
                <w:color w:val="auto"/>
              </w:rPr>
              <w:t>Termination by the Company for cause</w:t>
            </w:r>
          </w:p>
        </w:tc>
        <w:tc>
          <w:tcPr>
            <w:tcW w:w="2260" w:type="dxa"/>
            <w:vAlign w:val="bottom"/>
            <w:gridSpan w:val="2"/>
          </w:tcPr>
          <w:p>
            <w:pPr>
              <w:spacing w:after="0"/>
              <w:rPr>
                <w:sz w:val="20"/>
                <w:szCs w:val="20"/>
                <w:color w:val="auto"/>
              </w:rPr>
            </w:pPr>
            <w:r>
              <w:rPr>
                <w:rFonts w:ascii="Arial" w:cs="Arial" w:eastAsia="Arial" w:hAnsi="Arial"/>
                <w:sz w:val="18"/>
                <w:szCs w:val="18"/>
                <w:color w:val="auto"/>
              </w:rPr>
              <w:t>None</w:t>
            </w:r>
          </w:p>
        </w:tc>
        <w:tc>
          <w:tcPr>
            <w:tcW w:w="4340" w:type="dxa"/>
            <w:vAlign w:val="bottom"/>
          </w:tcPr>
          <w:p>
            <w:pPr>
              <w:spacing w:after="0"/>
              <w:rPr>
                <w:sz w:val="20"/>
                <w:szCs w:val="20"/>
                <w:color w:val="auto"/>
              </w:rPr>
            </w:pPr>
            <w:r>
              <w:rPr>
                <w:rFonts w:ascii="Arial" w:cs="Arial" w:eastAsia="Arial" w:hAnsi="Arial"/>
                <w:sz w:val="18"/>
                <w:szCs w:val="18"/>
                <w:color w:val="auto"/>
              </w:rPr>
              <w:t>Vested and unvested options forfeited immediately.</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Disability</w:t>
            </w:r>
          </w:p>
        </w:tc>
        <w:tc>
          <w:tcPr>
            <w:tcW w:w="226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4340" w:type="dxa"/>
            <w:vAlign w:val="bottom"/>
          </w:tcPr>
          <w:p>
            <w:pPr>
              <w:spacing w:after="0"/>
              <w:rPr>
                <w:sz w:val="20"/>
                <w:szCs w:val="20"/>
                <w:color w:val="auto"/>
              </w:rPr>
            </w:pPr>
            <w:r>
              <w:rPr>
                <w:rFonts w:ascii="Arial" w:cs="Arial" w:eastAsia="Arial" w:hAnsi="Arial"/>
                <w:sz w:val="18"/>
                <w:szCs w:val="18"/>
                <w:color w:val="auto"/>
                <w:w w:val="96"/>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3"/>
              </w:rPr>
              <w:t>termination due to disability or during the remainder of the</w:t>
            </w: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option period, whichever is shorter.*</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Retirement (as defined in the applicable plan or award</w:t>
            </w:r>
          </w:p>
        </w:tc>
        <w:tc>
          <w:tcPr>
            <w:tcW w:w="2260" w:type="dxa"/>
            <w:vAlign w:val="bottom"/>
            <w:gridSpan w:val="2"/>
          </w:tcPr>
          <w:p>
            <w:pPr>
              <w:spacing w:after="0"/>
              <w:rPr>
                <w:sz w:val="20"/>
                <w:szCs w:val="20"/>
                <w:color w:val="auto"/>
              </w:rPr>
            </w:pPr>
            <w:r>
              <w:rPr>
                <w:rFonts w:ascii="Arial" w:cs="Arial" w:eastAsia="Arial" w:hAnsi="Arial"/>
                <w:sz w:val="18"/>
                <w:szCs w:val="18"/>
                <w:color w:val="auto"/>
              </w:rPr>
              <w:t>No additional vesting</w:t>
            </w:r>
          </w:p>
        </w:tc>
        <w:tc>
          <w:tcPr>
            <w:tcW w:w="4340" w:type="dxa"/>
            <w:vAlign w:val="bottom"/>
          </w:tcPr>
          <w:p>
            <w:pPr>
              <w:spacing w:after="0"/>
              <w:rPr>
                <w:sz w:val="20"/>
                <w:szCs w:val="20"/>
                <w:color w:val="auto"/>
              </w:rPr>
            </w:pPr>
            <w:r>
              <w:rPr>
                <w:rFonts w:ascii="Arial" w:cs="Arial" w:eastAsia="Arial" w:hAnsi="Arial"/>
                <w:sz w:val="18"/>
                <w:szCs w:val="18"/>
                <w:color w:val="auto"/>
                <w:w w:val="91"/>
              </w:rPr>
              <w:t>Exercisable (to the extent exercisable at termination) at any</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agreement)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time during the 60-month period after termination due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8"/>
              </w:rPr>
              <w:t>retirement or during the remainder of the option period,</w:t>
            </w: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whichever is shorter.</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Death</w:t>
            </w:r>
          </w:p>
        </w:tc>
        <w:tc>
          <w:tcPr>
            <w:tcW w:w="226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4340" w:type="dxa"/>
            <w:vAlign w:val="bottom"/>
          </w:tcPr>
          <w:p>
            <w:pPr>
              <w:spacing w:after="0"/>
              <w:rPr>
                <w:sz w:val="20"/>
                <w:szCs w:val="20"/>
                <w:color w:val="auto"/>
              </w:rPr>
            </w:pPr>
            <w:r>
              <w:rPr>
                <w:rFonts w:ascii="Arial" w:cs="Arial" w:eastAsia="Arial" w:hAnsi="Arial"/>
                <w:sz w:val="18"/>
                <w:szCs w:val="18"/>
                <w:color w:val="auto"/>
                <w:w w:val="96"/>
              </w:rPr>
              <w:t>Exercisable at any time during the 60-month period after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9"/>
              </w:rPr>
              <w:t>termination due to death or during the remainder of the</w:t>
            </w: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975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2" w:lineRule="exact"/>
        <w:rPr>
          <w:sz w:val="20"/>
          <w:szCs w:val="20"/>
          <w:color w:val="auto"/>
        </w:rPr>
      </w:pPr>
    </w:p>
    <w:p>
      <w:pPr>
        <w:ind w:left="500" w:right="240" w:hanging="451"/>
        <w:spacing w:after="0" w:line="332"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3 months following termination of employment.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5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w:t>
      </w:r>
    </w:p>
    <w:p>
      <w:pPr>
        <w:ind w:right="140" w:firstLine="8"/>
        <w:spacing w:after="0" w:line="255" w:lineRule="auto"/>
        <w:tabs>
          <w:tab w:leader="none" w:pos="2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Pursuant to Schlumberger’s stock options plans and standard form of stock option award agreement (other than awards issued under the 2010 Omnibus Stock Incentive Plan and awards proposed to be issued under the 2013 Omnibus Stock Incentive Plan), 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 Under the 2010 Omnibus Stock Incentive Plan and the 2013 Omnibus Stock Incentive Plan, the Compensation Committee retains the discretion to adjust outstanding awards in the event of corporation transactions and outstanding options may be, but are not required to be, accelerated upon such a transaction.</w:t>
      </w:r>
    </w:p>
    <w:p>
      <w:pPr>
        <w:spacing w:after="0" w:line="2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sets forth the intrinsic value of the unvested stock options held by each named executive officer as of December 31, 2012 that would become vested upon the occurrence of death, disability or a change in control in which Schlumberger is not the surviving entity and alternative provisions are not made for the assumption of awards, as described in the preceding paragraphs.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9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r>
      <w:tr>
        <w:trPr>
          <w:trHeight w:val="210"/>
        </w:trPr>
        <w:tc>
          <w:tcPr>
            <w:tcW w:w="90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52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2,430,155</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S. Ayat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1,618,065</w:t>
            </w:r>
          </w:p>
        </w:tc>
      </w:tr>
      <w:tr>
        <w:trPr>
          <w:trHeight w:val="216"/>
        </w:trPr>
        <w:tc>
          <w:tcPr>
            <w:tcW w:w="95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Pai</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2,468,555</w:t>
            </w: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K.-E. Oestdahl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714,459</w:t>
            </w:r>
          </w:p>
        </w:tc>
      </w:tr>
      <w:tr>
        <w:trPr>
          <w:trHeight w:val="216"/>
        </w:trPr>
        <w:tc>
          <w:tcPr>
            <w:tcW w:w="95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 Belani</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1,600,893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right="80" w:hanging="451"/>
        <w:spacing w:after="0" w:line="268"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Calculated based on the difference between the closing price of Schlumberger common stock on December 31, 2012 ($69.30) and the exercise price of the stock option as of such date.</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see “Executive Compensation—Pension Benefits” and “— Nonqualified Deferred Compensation.”</w:t>
      </w:r>
    </w:p>
    <w:p>
      <w:pPr>
        <w:spacing w:after="0" w:line="6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the amounts as of December 31, 2012 of benefit payments that would be accelerated under the Schlumberger Restoration Savings Plan upon a change in control.</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9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 ($)</w:t>
            </w:r>
          </w:p>
        </w:tc>
      </w:tr>
      <w:tr>
        <w:trPr>
          <w:trHeight w:val="210"/>
        </w:trPr>
        <w:tc>
          <w:tcPr>
            <w:tcW w:w="91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42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85,142</w:t>
            </w:r>
          </w:p>
        </w:tc>
        <w:tc>
          <w:tcPr>
            <w:tcW w:w="100" w:type="dxa"/>
            <w:vAlign w:val="bottom"/>
            <w:tcBorders>
              <w:top w:val="single" w:sz="8" w:color="D8D8D8"/>
            </w:tcBorders>
            <w:shd w:val="clear" w:color="auto" w:fill="D8D8D8"/>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S. Ayat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341,315</w:t>
            </w:r>
          </w:p>
        </w:tc>
      </w:tr>
      <w:tr>
        <w:trPr>
          <w:trHeight w:val="216"/>
        </w:trPr>
        <w:tc>
          <w:tcPr>
            <w:tcW w:w="95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Pai</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1,359,974</w:t>
            </w: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K.-E. Oestdahl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95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 Belani</w:t>
            </w: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1,086,471</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Retiree Medical</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satisfying certain age, service and contribution requirements, all U.S. employees, excluding employees who became Schlumberger employees as a result of the Smith acquisition,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IN FISCAL YEAR 2012</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Non-employee directors receive an annual cash retainer of $100,000 plus an additional annual fee of $10,000 for membership on each committee. The chair of each committee receives an additional annual fee of $20,000 in lieu of the additional annual fee of $10,000 for committee membership. Directors who are employees of Schlumberger do not receive compensation for serving on the Board. Additionally, Schlumberger’s current practice is to grant each non-employee director shares of Schlumberger common stock each April. Effective April 30, 2012, Schlumberger granted each non-employee director 2,250 shares of Schlumberger common stock.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64"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Mr. Tony Isaac was elected non-executive Chairman of the Board in April 2012, having previously served as Schlumberger’s independent lead director. On January 19, 2012, the Board, upon recommendation of the Compensation Committee and based on market data provided by Pay Governance, determined that in consideration of the additional responsibilities required of an independent non-executive Chairman of the Board, Mr. Isaac’s annual compensation for service as independent non-executive Chairman of the Board would be $400,000, in addition to amounts otherwise payable to Mr. Isaac as a director, as described in the paragraph above. Accordingly, the amount for Mr. Isaac in the Director Compensation table below (under the “Fees Earned or Paid in Cash” column) includes this increased compensation, prorated from June 2012. Mr. Isaac did not participate in any discussions or in the decision regarding his compensation.</w:t>
      </w:r>
    </w:p>
    <w:p>
      <w:pPr>
        <w:spacing w:after="0" w:line="2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Mr. Gould, our former Chief Executive Officer who retired from that position in August 2011, continued to serve as Chairman of the Board until the 2012 annual general meeting of stockholders (not standing for re-election) and as an executive officer until April 30, 2012, at which time he ceased being an employee of the Company. Mr. Gould did not receive any additional compensation for his service as a director in 2012.</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Schlumberger’s compensation for non-employee directors in 2012.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Fees</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&amp; Nonqualified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Earned or</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9"/>
              </w:rPr>
              <w:t>Non-Equity</w:t>
            </w: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7"/>
              </w:rPr>
              <w:t>Paid in</w:t>
            </w:r>
          </w:p>
        </w:tc>
        <w:tc>
          <w:tcPr>
            <w:tcW w:w="11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Option</w:t>
            </w:r>
          </w:p>
        </w:tc>
        <w:tc>
          <w:tcPr>
            <w:tcW w:w="132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142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34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1"/>
              </w:rPr>
              <w:t>All Other</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Cash</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2"/>
              </w:rPr>
              <w:t>Awards</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Earnings</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4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Philippe Camus</w:t>
            </w:r>
            <w:r>
              <w:rPr>
                <w:rFonts w:ascii="Arial" w:cs="Arial" w:eastAsia="Arial" w:hAnsi="Arial"/>
                <w:sz w:val="11"/>
                <w:szCs w:val="11"/>
                <w:color w:val="auto"/>
              </w:rPr>
              <w:t>(4)</w:t>
            </w:r>
          </w:p>
        </w:tc>
        <w:tc>
          <w:tcPr>
            <w:tcW w:w="38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32,500</w:t>
            </w:r>
          </w:p>
        </w:tc>
        <w:tc>
          <w:tcPr>
            <w:tcW w:w="460" w:type="dxa"/>
            <w:vAlign w:val="bottom"/>
            <w:tcBorders>
              <w:top w:val="single" w:sz="8" w:color="D8D8D8"/>
            </w:tcBorders>
            <w:shd w:val="clear" w:color="auto" w:fill="D8D8D8"/>
          </w:tcPr>
          <w:p>
            <w:pPr>
              <w:spacing w:after="0"/>
              <w:rPr>
                <w:sz w:val="18"/>
                <w:szCs w:val="18"/>
                <w:color w:val="auto"/>
              </w:rPr>
            </w:pPr>
          </w:p>
        </w:tc>
        <w:tc>
          <w:tcPr>
            <w:tcW w:w="6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4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9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D8D8D8"/>
            </w:tcBorders>
            <w:shd w:val="clear" w:color="auto" w:fill="D8D8D8"/>
          </w:tcPr>
          <w:p>
            <w:pPr>
              <w:spacing w:after="0"/>
              <w:rPr>
                <w:sz w:val="18"/>
                <w:szCs w:val="18"/>
                <w:color w:val="auto"/>
              </w:rPr>
            </w:pPr>
          </w:p>
        </w:tc>
        <w:tc>
          <w:tcPr>
            <w:tcW w:w="8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D8D8D8"/>
            </w:tcBorders>
            <w:shd w:val="clear" w:color="auto" w:fill="D8D8D8"/>
          </w:tcPr>
          <w:p>
            <w:pPr>
              <w:spacing w:after="0"/>
              <w:rPr>
                <w:sz w:val="18"/>
                <w:szCs w:val="18"/>
                <w:color w:val="auto"/>
              </w:rPr>
            </w:pPr>
          </w:p>
        </w:tc>
        <w:tc>
          <w:tcPr>
            <w:tcW w:w="62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Peter L.S. Currie</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29,878</w:t>
            </w:r>
            <w:r>
              <w:rPr>
                <w:rFonts w:ascii="Arial" w:cs="Arial" w:eastAsia="Arial" w:hAnsi="Arial"/>
                <w:sz w:val="11"/>
                <w:szCs w:val="11"/>
                <w:color w:val="auto"/>
              </w:rPr>
              <w:t>(5)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316,693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Tony Isaac</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430,000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596,815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 Vaman Kamath</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127,500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11,402</w:t>
            </w:r>
            <w:r>
              <w:rPr>
                <w:rFonts w:ascii="Arial" w:cs="Arial" w:eastAsia="Arial" w:hAnsi="Arial"/>
                <w:sz w:val="11"/>
                <w:szCs w:val="11"/>
                <w:color w:val="auto"/>
              </w:rPr>
              <w:t>(5)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305,717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Nikolay Kudryavtsev</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120,000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286,815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14,806</w:t>
            </w:r>
            <w:r>
              <w:rPr>
                <w:rFonts w:ascii="Arial" w:cs="Arial" w:eastAsia="Arial" w:hAnsi="Arial"/>
                <w:sz w:val="11"/>
                <w:szCs w:val="11"/>
                <w:color w:val="auto"/>
              </w:rPr>
              <w:t>(5)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311,621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Michael E. Marks</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130,000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34,379</w:t>
            </w:r>
            <w:r>
              <w:rPr>
                <w:rFonts w:ascii="Arial" w:cs="Arial" w:eastAsia="Arial" w:hAnsi="Arial"/>
                <w:sz w:val="11"/>
                <w:szCs w:val="11"/>
                <w:color w:val="auto"/>
              </w:rPr>
              <w:t>(5)</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331,194</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Elizabeth A. Moler</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14,230</w:t>
            </w:r>
            <w:r>
              <w:rPr>
                <w:rFonts w:ascii="Arial" w:cs="Arial" w:eastAsia="Arial" w:hAnsi="Arial"/>
                <w:sz w:val="11"/>
                <w:szCs w:val="11"/>
                <w:color w:val="auto"/>
              </w:rPr>
              <w:t>(5)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291,045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Lubna S. Olayan</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130,000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296,815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Leo Rafael Reif</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296,815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Tore I. Sandvold</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120,000</w:t>
            </w:r>
          </w:p>
        </w:tc>
        <w:tc>
          <w:tcPr>
            <w:tcW w:w="460" w:type="dxa"/>
            <w:vAlign w:val="bottom"/>
            <w:shd w:val="clear" w:color="auto" w:fill="D8D8D8"/>
          </w:tcPr>
          <w:p>
            <w:pPr>
              <w:spacing w:after="0"/>
              <w:rPr>
                <w:sz w:val="18"/>
                <w:szCs w:val="18"/>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8D8D8"/>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8D8D8"/>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286,815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Henri Seydoux</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166,815</w:t>
            </w:r>
          </w:p>
        </w:tc>
        <w:tc>
          <w:tcPr>
            <w:tcW w:w="480" w:type="dxa"/>
            <w:vAlign w:val="bottom"/>
          </w:tcPr>
          <w:p>
            <w:pPr>
              <w:spacing w:after="0"/>
              <w:rPr>
                <w:sz w:val="19"/>
                <w:szCs w:val="19"/>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286,815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975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ind w:left="500" w:right="340" w:hanging="451"/>
        <w:spacing w:after="0" w:line="370" w:lineRule="auto"/>
        <w:tabs>
          <w:tab w:leader="none" w:pos="5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Reflects cash fees earned, without taking into account any election to defer receipt of such fees. Ordinarily, the annual cash retainer is paid in cash, but directors can elect to have their retainer paid in stock or deferred under the Schlumberger 2004 Stock and Deferral Plan for Non-Employee Directors.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60"/>
        <w:spacing w:after="0" w:line="268" w:lineRule="auto"/>
        <w:rPr>
          <w:sz w:val="20"/>
          <w:szCs w:val="20"/>
          <w:color w:val="auto"/>
        </w:rPr>
      </w:pPr>
      <w:r>
        <w:rPr>
          <w:rFonts w:ascii="Arial" w:cs="Arial" w:eastAsia="Arial" w:hAnsi="Arial"/>
          <w:sz w:val="18"/>
          <w:szCs w:val="18"/>
          <w:color w:val="auto"/>
        </w:rPr>
        <w:t>The fees disclosed in this column are subject to adjustment in cases where a director has served less than one full year or has changed committee memberships or chairmanships during the year.</w:t>
      </w:r>
    </w:p>
    <w:p>
      <w:pPr>
        <w:spacing w:after="0" w:line="37" w:lineRule="exact"/>
        <w:rPr>
          <w:sz w:val="20"/>
          <w:szCs w:val="20"/>
          <w:color w:val="auto"/>
        </w:rPr>
      </w:pPr>
    </w:p>
    <w:p>
      <w:pPr>
        <w:ind w:left="500" w:right="200" w:hanging="451"/>
        <w:spacing w:after="0" w:line="323" w:lineRule="auto"/>
        <w:tabs>
          <w:tab w:leader="none" w:pos="5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amounts reported reflect the aggregate grant date fair value of the stock awards granted in 2012 computed in accordance with applicable accounting standards, based on the closing stock price on the grant date, without taking into account any election to defer receipt of such stock award. Amounts rounded up to nearest dollar. A non-employee director may elect to defer the receipt of all or part of a stock award. For information on the number of shares of Schlumberger common stock deferred by our directors, please read the footnotes to the table under “Security Ownership by Management.”</w:t>
      </w:r>
    </w:p>
    <w:p>
      <w:pPr>
        <w:spacing w:after="0" w:line="3" w:lineRule="exact"/>
        <w:rPr>
          <w:rFonts w:ascii="Arial" w:cs="Arial" w:eastAsia="Arial" w:hAnsi="Arial"/>
          <w:sz w:val="15"/>
          <w:szCs w:val="15"/>
          <w:color w:val="auto"/>
        </w:rPr>
      </w:pPr>
    </w:p>
    <w:p>
      <w:pPr>
        <w:ind w:left="500" w:hanging="451"/>
        <w:spacing w:after="0"/>
        <w:tabs>
          <w:tab w:leader="none" w:pos="5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Schlumberger reimburses non-management directors for travel and other business expenses incurred in the performance of their services for Schlumberger.</w:t>
      </w:r>
    </w:p>
    <w:p>
      <w:pPr>
        <w:spacing w:after="0" w:line="111" w:lineRule="exact"/>
        <w:rPr>
          <w:rFonts w:ascii="Arial" w:cs="Arial" w:eastAsia="Arial" w:hAnsi="Arial"/>
          <w:sz w:val="15"/>
          <w:szCs w:val="15"/>
          <w:color w:val="auto"/>
        </w:rPr>
      </w:pPr>
    </w:p>
    <w:p>
      <w:pPr>
        <w:ind w:left="520" w:hanging="444"/>
        <w:spacing w:after="0"/>
        <w:tabs>
          <w:tab w:leader="none" w:pos="5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Mr. Camus did not stand for re-election at the 2012 annual general meeting of stockholders.</w:t>
      </w:r>
    </w:p>
    <w:p>
      <w:pPr>
        <w:spacing w:after="0" w:line="77" w:lineRule="exact"/>
        <w:rPr>
          <w:sz w:val="20"/>
          <w:szCs w:val="20"/>
          <w:color w:val="auto"/>
        </w:rPr>
      </w:pPr>
    </w:p>
    <w:p>
      <w:pPr>
        <w:ind w:left="500" w:right="80" w:hanging="451"/>
        <w:spacing w:after="0" w:line="332"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amounts paid for spousal airfare in connection with a Board meeting. Some of these amounts were paid in Euros. For purposes of this column, such compensation was determined using the 2012 full-year average exchange rate of 1 U.S. Dollar = 0.777 Euros.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96" w:lineRule="exact"/>
        <w:rPr>
          <w:sz w:val="20"/>
          <w:szCs w:val="20"/>
          <w:color w:val="auto"/>
        </w:rPr>
      </w:pPr>
    </w:p>
    <w:p>
      <w:pPr>
        <w:ind w:right="500" w:firstLine="456"/>
        <w:spacing w:after="0" w:line="305" w:lineRule="auto"/>
        <w:rPr>
          <w:sz w:val="20"/>
          <w:szCs w:val="20"/>
          <w:color w:val="auto"/>
        </w:rPr>
      </w:pPr>
      <w:r>
        <w:rPr>
          <w:rFonts w:ascii="Arial" w:cs="Arial" w:eastAsia="Arial" w:hAnsi="Arial"/>
          <w:sz w:val="15"/>
          <w:szCs w:val="15"/>
          <w:color w:val="auto"/>
        </w:rPr>
        <w:t>The Board believes that ownership of Schlumberger stock by Board members aligns their interests with the interests of the Company’s stockholders. Accordingly, the Board has established a guideline that each non-employee Board member must, within five years of joining the Board, own at least</w:t>
      </w:r>
    </w:p>
    <w:p>
      <w:pPr>
        <w:ind w:right="460"/>
        <w:spacing w:after="0" w:line="261" w:lineRule="auto"/>
        <w:rPr>
          <w:sz w:val="20"/>
          <w:szCs w:val="20"/>
          <w:color w:val="auto"/>
        </w:rPr>
      </w:pPr>
      <w:r>
        <w:rPr>
          <w:rFonts w:ascii="Arial" w:cs="Arial" w:eastAsia="Arial" w:hAnsi="Arial"/>
          <w:sz w:val="18"/>
          <w:szCs w:val="18"/>
          <w:color w:val="auto"/>
        </w:rPr>
        <w:t>10,000 Schlumberger common shares or restricted stock units. As of December 31, 2012, each of our current non-employee directors who have been Board members for at least five years is in compliance with these stock ownership guidelines.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FINANCIAL STATEMENTS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Following completion of the audit procedures performed by PricewaterhouseCoopers LLP, the following are submitted to the Company’s stockholders for approval pursuant to Schlumberger’s Articles of Incorporation:</w:t>
      </w:r>
    </w:p>
    <w:p>
      <w:pPr>
        <w:spacing w:after="0" w:line="51"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2012;</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its Consolidated Statement of Income for the year ended December 31, 2012, as audited by PricewaterhouseCoopers LLP;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2012.</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items are included in the Schlumberger 2012 Annual Report to Stockholders, which is provided concurrently with this proxy statement. Stockholders should refer to these items in considering this agenda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A majority of the votes cast is required for the approval of the financial results as set forth in the financial statements and of the declaration of dividends by the Board of Directors as reflected in the Company’s 2012 Annual Report to Stockholders. </w:t>
      </w:r>
      <w:r>
        <w:rPr>
          <w:rFonts w:ascii="Arial" w:cs="Arial" w:eastAsia="Arial" w:hAnsi="Arial"/>
          <w:sz w:val="16"/>
          <w:szCs w:val="16"/>
          <w:i w:val="1"/>
          <w:iCs w:val="1"/>
          <w:color w:val="auto"/>
        </w:rPr>
        <w:t>Brokers have discretion to vote on this proposal without your</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instruction. If you do not instruct your broker how to vote on this proposal, your broker will vote on this proposal in its discretion.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APPOINTMENT OF INDEPENDENT REGISTERED PUBLIC ACCOUNTING FIRM</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PricewaterhouseCoopers LLP has been selected by the Audit Committee as the independent registered public accounting firm to audit the annual financial statements of the Company for the year 2013. Although ratification is not required by our By-Laws or otherwise, as a matter of good corporate governance, we are asking stockholders to approve the appointment of PricewaterhouseCoopers LLP as the independent registered public accounting firm. If the selection is not approved, the Audit Committee will consider whether it is appropriate to select another independent registered public accounting firm.</w:t>
      </w:r>
    </w:p>
    <w:p>
      <w:pPr>
        <w:spacing w:after="0" w:line="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representative of PricewaterhouseCoopers LLP is expected to attend the 2013 annual general meeting of stockholders, will have the opportunity to make a statement if he or she desires to do so, and be available to respond to appropriate questions.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PricewaterhouseCoopers LLP</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90"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audit of the Company’s 2012 and 2011 annual financial statements and reviews of quarterly financial statements and other audit services,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2012 and 2011.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w w:val="88"/>
              </w:rPr>
              <w:t>Year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2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7"/>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2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left="341"/>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14,889</w:t>
            </w:r>
          </w:p>
        </w:tc>
        <w:tc>
          <w:tcPr>
            <w:tcW w:w="64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w w:val="87"/>
              </w:rPr>
              <w:t>12,957</w:t>
            </w:r>
            <w:r>
              <w:rPr>
                <w:rFonts w:ascii="Arial" w:cs="Arial" w:eastAsia="Arial" w:hAnsi="Arial"/>
                <w:sz w:val="11"/>
                <w:szCs w:val="11"/>
                <w:color w:val="auto"/>
                <w:w w:val="87"/>
              </w:rPr>
              <w:t>(2)</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731</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924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(4)</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2,323</w:t>
            </w:r>
          </w:p>
        </w:tc>
        <w:tc>
          <w:tcPr>
            <w:tcW w:w="64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1,862</w:t>
            </w: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1"/>
                <w:szCs w:val="11"/>
                <w:color w:val="auto"/>
              </w:rPr>
              <w:t>(5)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1,649</w:t>
            </w:r>
          </w:p>
        </w:tc>
      </w:tr>
      <w:tr>
        <w:trPr>
          <w:trHeight w:val="256"/>
        </w:trPr>
        <w:tc>
          <w:tcPr>
            <w:tcW w:w="9240" w:type="dxa"/>
            <w:vAlign w:val="bottom"/>
            <w:gridSpan w:val="2"/>
            <w:shd w:val="clear" w:color="auto" w:fill="D8D8D8"/>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21,913</w:t>
            </w:r>
          </w:p>
        </w:tc>
        <w:tc>
          <w:tcPr>
            <w:tcW w:w="640" w:type="dxa"/>
            <w:vAlign w:val="bottom"/>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17,134</w:t>
            </w:r>
          </w:p>
        </w:tc>
      </w:tr>
      <w:tr>
        <w:trPr>
          <w:trHeight w:val="102"/>
        </w:trPr>
        <w:tc>
          <w:tcPr>
            <w:tcW w:w="1260" w:type="dxa"/>
            <w:vAlign w:val="bottom"/>
            <w:tcBorders>
              <w:top w:val="single" w:sz="8" w:color="D8D8D8"/>
              <w:bottom w:val="single" w:sz="8" w:color="auto"/>
            </w:tcBorders>
          </w:tcPr>
          <w:p>
            <w:pPr>
              <w:spacing w:after="0"/>
              <w:rPr>
                <w:sz w:val="8"/>
                <w:szCs w:val="8"/>
                <w:color w:val="auto"/>
              </w:rPr>
            </w:pPr>
          </w:p>
        </w:tc>
        <w:tc>
          <w:tcPr>
            <w:tcW w:w="7980" w:type="dxa"/>
            <w:vAlign w:val="bottom"/>
            <w:tcBorders>
              <w:top w:val="single" w:sz="8" w:color="D8D8D8"/>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Borders>
              <w:top w:val="single" w:sz="8" w:color="D8D8D8"/>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D8D8D8"/>
            </w:tcBorders>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fees for statutory audits.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incremental fees of approximately $645,000 not previously reflected.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fees for employee benefit plan audits and other audit-related items.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primarily of fees for tax compliance and fees for tax advice and other permitted tax services.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primarily of fees for permitted advisory services.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Policy and Procedures</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2012,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A majority of the votes cast is required to approve this Item 4. </w:t>
      </w:r>
      <w:r>
        <w:rPr>
          <w:rFonts w:ascii="Arial" w:cs="Arial" w:eastAsia="Arial" w:hAnsi="Arial"/>
          <w:sz w:val="18"/>
          <w:szCs w:val="18"/>
          <w:i w:val="1"/>
          <w:iCs w:val="1"/>
          <w:color w:val="auto"/>
        </w:rPr>
        <w:t>Brokers have discretion to vote on this proposal without your instruction. If you do not</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 your broker how to vote on this proposal, your broker will vote on this proposal in its discretion</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6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240" w:top="459" w:right="6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2012,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applicable Public Company Accounting Oversight Board requirements.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37"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 Company’s independent registered public accounting firm provided the Audit Committee with written disclosures required by Public Company Oversight Board Rule 3526 (Communication with Audit Committees Concerning Independence) and Public Company Oversight Board Rule 3524 (Audit Committee Pre-approval of Certain Tax Services), and the Committee discussed PricewaterhouseCoopers LLP’s independence with them.</w:t>
      </w:r>
    </w:p>
    <w:p>
      <w:pPr>
        <w:spacing w:after="0" w:line="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Based on the foregoing reviews and discussions, the Audit Committee recommended that the Board include the financial statements in the Company’s Annual Report on Form 10-K for the year ended December 31, 2012 filed with the SEC.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80"/>
          </w:cols>
          <w:pgMar w:left="240" w:top="459" w:right="279" w:bottom="1440" w:gutter="0" w:footer="0" w:header="0"/>
        </w:sectPr>
      </w:pP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Peter L.S. Currie, Chair</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K. Vaman Kamath</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1" w:lineRule="exact"/>
        <w:rPr>
          <w:sz w:val="20"/>
          <w:szCs w:val="20"/>
          <w:color w:val="auto"/>
        </w:rPr>
      </w:pPr>
    </w:p>
    <w:p>
      <w:pPr>
        <w:sectPr>
          <w:pgSz w:w="11900" w:h="16838" w:orient="portrait"/>
          <w:cols w:equalWidth="0" w:num="2">
            <w:col w:w="6660" w:space="720"/>
            <w:col w:w="400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459" w:right="27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ITEM 5. APPROVAL OF THE ADOPTION OF THE 2013 SCHLUMBERGER OMNIBUS INCENTIVE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requesting that our stockholders vote in favor of the adoption of the 2013 Schlumberger Omnibus Stock Incentive Plan (the “2013 Incentive Plan”).</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Most of our competitors employ a wide range of incentive instruments. We have traditionally granted only stock options or restricted stock units covering shares of common stock, but have determined to grant performance share units to certain executives, including the named executive officers, commencing in 2013. Approval of the 2013 Incentive Plan would provide for 35 million additional shares for Schlumberger to grant long-term incentives to its employees and would provide for continued flexibility with regard to award types and the terms and conditions of awards.</w:t>
      </w:r>
    </w:p>
    <w:p>
      <w:pPr>
        <w:spacing w:after="0" w:line="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order to continue to attract and retain valuable employees, we are seeking approval of the 2013 Incentive Plan to provide (i) additional shares issuable to employees and (ii) continued flexibility in the types and terms of incentive instruments that we issue in order to remain competitive. In addition, as of December 31, 2012, there were only 11,297,415 shares available in the aggregate for grants under our 2005 Stock Incentive Plan, our 2008 Stock Incentive Plan and our 2010 Incentive Plan.</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2013 Incentive Plan provides for the grant to our employees of stock options, cash, stock appreciation rights, and stock awards, which may include restricted stock or restricted stock units. A stock option gives the holder the right to purchase a specified number of shares of stock, at a fixed exercise price, in the future. Stock appreciation rights give the holder the right to receive a payment, in cash or shares of stock, equal to the fair market value of a specified number of shares of stock on the date the right is exercised over a specified strike price. Restricted stock is common stock that is restricted or subject to forfeiture provisions. Restricted stock units are units evidencing the right to receive shares of common stock that are restricted or subject to forfeiture provisions.</w:t>
      </w:r>
    </w:p>
    <w:p>
      <w:pPr>
        <w:spacing w:after="0" w:line="3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order for awards under the 2013 Incentive Plan to be eligible to qualify as “performance-based compensation” for purposes of Section 162(m) of the Code, the material terms of the performance goals under which compensation may be paid must be disclosed to and approved by the Company’s stockholders every five years. The material terms include (i) the employees eligible to receive compensation, (ii) a description of the business criteria on which the performance goals are based and (iii) the maximum amount of compensation that can be paid to an employee under the performance goals. Each of these aspects is discussed below, and approval of the 2013 Incentive Plan will constitute approval of the material terms of the performance goals.</w:t>
      </w:r>
    </w:p>
    <w:p>
      <w:pPr>
        <w:spacing w:after="0" w:line="35" w:lineRule="exact"/>
        <w:rPr>
          <w:sz w:val="20"/>
          <w:szCs w:val="20"/>
          <w:color w:val="auto"/>
        </w:rPr>
      </w:pPr>
    </w:p>
    <w:p>
      <w:pPr>
        <w:ind w:right="2240" w:firstLine="456"/>
        <w:spacing w:after="0" w:line="438" w:lineRule="auto"/>
        <w:rPr>
          <w:sz w:val="20"/>
          <w:szCs w:val="20"/>
          <w:color w:val="auto"/>
        </w:rPr>
      </w:pPr>
      <w:r>
        <w:rPr>
          <w:rFonts w:ascii="Arial" w:cs="Arial" w:eastAsia="Arial" w:hAnsi="Arial"/>
          <w:sz w:val="18"/>
          <w:szCs w:val="18"/>
          <w:color w:val="auto"/>
        </w:rPr>
        <w:t xml:space="preserve">Schlumberger’s Board of Directors approved the 2013 Incentive Plan on January 17, 2013, subject to stockholder approval. </w:t>
      </w:r>
      <w:r>
        <w:rPr>
          <w:rFonts w:ascii="Arial" w:cs="Arial" w:eastAsia="Arial" w:hAnsi="Arial"/>
          <w:sz w:val="18"/>
          <w:szCs w:val="18"/>
          <w:b w:val="1"/>
          <w:bCs w:val="1"/>
          <w:color w:val="auto"/>
        </w:rPr>
        <w:t>Required Stockholder Vote</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2013 Incentive Plan, provided that the total votes cast on the proposal represents over 50% of all shares entitled to vote on this Item. </w:t>
      </w:r>
      <w:r>
        <w:rPr>
          <w:rFonts w:ascii="Arial" w:cs="Arial" w:eastAsia="Arial" w:hAnsi="Arial"/>
          <w:sz w:val="16"/>
          <w:szCs w:val="16"/>
          <w:i w:val="1"/>
          <w:iCs w:val="1"/>
          <w:color w:val="auto"/>
        </w:rPr>
        <w:t>Brokers do not have discretion to vote on this proposal without your instruction. If you do not instruct your broker how to vote</w:t>
      </w:r>
      <w:r>
        <w:rPr>
          <w:rFonts w:ascii="Arial" w:cs="Arial" w:eastAsia="Arial" w:hAnsi="Arial"/>
          <w:sz w:val="16"/>
          <w:szCs w:val="16"/>
          <w:color w:val="auto"/>
        </w:rPr>
        <w:t xml:space="preserve"> </w:t>
      </w:r>
      <w:r>
        <w:rPr>
          <w:rFonts w:ascii="Arial" w:cs="Arial" w:eastAsia="Arial" w:hAnsi="Arial"/>
          <w:sz w:val="16"/>
          <w:szCs w:val="16"/>
          <w:i w:val="1"/>
          <w:iCs w:val="1"/>
          <w:color w:val="auto"/>
        </w:rPr>
        <w:t>on this proposal, your broker will deliver a non-vote on this proposal. Broker non-votes and abstentions could prevent the total votes cast on the proposal from representing over 50% of all shares entitled to vote, but will not otherwise have an effect on the vote.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2013 Incentive Plan</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major features of the 2013 Incentive Plan is subject to the specific provisions contained in the full text of the 2013 Incentive Plan, which is attached to this proxy statement as Appendix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of the 2013 Incentive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Board approved the 2013 Incentive Plan, subject to stockholder approval, for the purpose of providing incentives to our employees in order to:</w:t>
      </w:r>
    </w:p>
    <w:p>
      <w:pPr>
        <w:spacing w:after="0" w:line="125"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particularly valuable;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growth and financial success.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Key Terms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key provisions of the 2013 Incentive Plan.</w:t>
      </w:r>
    </w:p>
    <w:p>
      <w:pPr>
        <w:sectPr>
          <w:pgSz w:w="11900" w:h="16838" w:orient="portrait"/>
          <w:cols w:equalWidth="0" w:num="1">
            <w:col w:w="11420"/>
          </w:cols>
          <w:pgMar w:left="240" w:top="459"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Award Types: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types of awards (collectively “awards”) are available for issuance under the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Incentive Plan:</w:t>
      </w:r>
    </w:p>
    <w:p>
      <w:pPr>
        <w:spacing w:after="0" w:line="84"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 non-qualified and incentive stock options;</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stock appreciation rights;</w:t>
      </w:r>
    </w:p>
    <w:p>
      <w:pPr>
        <w:spacing w:after="0" w:line="90" w:lineRule="exact"/>
        <w:rPr>
          <w:sz w:val="20"/>
          <w:szCs w:val="20"/>
          <w:color w:val="auto"/>
        </w:rPr>
      </w:pPr>
    </w:p>
    <w:p>
      <w:pPr>
        <w:ind w:left="4780" w:right="580" w:hanging="159"/>
        <w:spacing w:after="0" w:line="268" w:lineRule="auto"/>
        <w:tabs>
          <w:tab w:leader="none" w:pos="4760" w:val="left"/>
        </w:tabs>
        <w:rPr>
          <w:sz w:val="20"/>
          <w:szCs w:val="20"/>
          <w:color w:val="auto"/>
        </w:rPr>
      </w:pPr>
      <w:r>
        <w:rPr>
          <w:rFonts w:ascii="Arial" w:cs="Arial" w:eastAsia="Arial" w:hAnsi="Arial"/>
          <w:sz w:val="18"/>
          <w:szCs w:val="18"/>
          <w:color w:val="auto"/>
        </w:rPr>
        <w:t>•</w:t>
        <w:tab/>
        <w:t>stock awards, including restricted stock and restricted stock units (a term that includes performance stock units); and</w:t>
      </w:r>
    </w:p>
    <w:p>
      <w:pPr>
        <w:spacing w:after="0" w:line="5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cash awards.</w:t>
      </w:r>
    </w:p>
    <w:p>
      <w:pPr>
        <w:sectPr>
          <w:pgSz w:w="11900" w:h="16838" w:orient="portrait"/>
          <w:cols w:equalWidth="0" w:num="1">
            <w:col w:w="11420"/>
          </w:cols>
          <w:pgMar w:left="240" w:top="459" w:right="2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Term:</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Awards may be granted under the 2013 Incentive Plan on or before April 9, 2023.</w:t>
      </w:r>
    </w:p>
    <w:p>
      <w:pPr>
        <w:spacing w:after="0" w:line="138"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162(m) Share Limits:</w:t>
      </w:r>
    </w:p>
    <w:p>
      <w:pPr>
        <w:spacing w:after="0" w:line="20" w:lineRule="exact"/>
        <w:rPr>
          <w:sz w:val="20"/>
          <w:szCs w:val="20"/>
          <w:color w:val="auto"/>
        </w:rPr>
      </w:pPr>
      <w:r>
        <w:rPr>
          <w:sz w:val="20"/>
          <w:szCs w:val="20"/>
          <w:color w:val="auto"/>
        </w:rPr>
        <w:br w:type="column"/>
      </w:r>
    </w:p>
    <w:p>
      <w:pPr>
        <w:ind w:right="180"/>
        <w:spacing w:after="0" w:line="255" w:lineRule="auto"/>
        <w:rPr>
          <w:sz w:val="20"/>
          <w:szCs w:val="20"/>
          <w:color w:val="auto"/>
        </w:rPr>
      </w:pPr>
      <w:r>
        <w:rPr>
          <w:rFonts w:ascii="Arial" w:cs="Arial" w:eastAsia="Arial" w:hAnsi="Arial"/>
          <w:sz w:val="18"/>
          <w:szCs w:val="18"/>
          <w:color w:val="auto"/>
        </w:rPr>
        <w:t>Section 162(m) of the Code requires among other things that the maximum number of shares and cash awarded to an individual must be approved by stockholders in order for the awards under the 2013 Incentive Plan to be eligible for treatment as qualified performance-based compensation that will not be subject to the $1 million limitation on tax deductibility for compensation paid to specified senior executives.</w:t>
      </w:r>
    </w:p>
    <w:p>
      <w:pPr>
        <w:spacing w:after="0" w:line="62"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right="480"/>
        <w:spacing w:after="0" w:line="268" w:lineRule="auto"/>
        <w:rPr>
          <w:sz w:val="20"/>
          <w:szCs w:val="20"/>
          <w:color w:val="auto"/>
        </w:rPr>
      </w:pPr>
      <w:r>
        <w:rPr>
          <w:rFonts w:ascii="Arial" w:cs="Arial" w:eastAsia="Arial" w:hAnsi="Arial"/>
          <w:sz w:val="18"/>
          <w:szCs w:val="18"/>
          <w:color w:val="auto"/>
        </w:rPr>
        <w:t>Accordingly, the 2013 Incentive Plan limits awards granted to an individual participant in any calendar year to:</w:t>
      </w:r>
    </w:p>
    <w:p>
      <w:pPr>
        <w:spacing w:after="0" w:line="51" w:lineRule="exact"/>
        <w:rPr>
          <w:sz w:val="20"/>
          <w:szCs w:val="20"/>
          <w:color w:val="auto"/>
        </w:rPr>
      </w:pPr>
    </w:p>
    <w:p>
      <w:pPr>
        <w:ind w:left="4780" w:hanging="159"/>
        <w:spacing w:after="0" w:line="268" w:lineRule="auto"/>
        <w:tabs>
          <w:tab w:leader="none" w:pos="4760" w:val="left"/>
        </w:tabs>
        <w:rPr>
          <w:sz w:val="20"/>
          <w:szCs w:val="20"/>
          <w:color w:val="auto"/>
        </w:rPr>
      </w:pPr>
      <w:r>
        <w:rPr>
          <w:rFonts w:ascii="Arial" w:cs="Arial" w:eastAsia="Arial" w:hAnsi="Arial"/>
          <w:sz w:val="18"/>
          <w:szCs w:val="18"/>
          <w:color w:val="auto"/>
        </w:rPr>
        <w:t>•</w:t>
        <w:tab/>
        <w:t>no more than 1,000,000 shares consisting of stock options, stock appreciation rights, restricted stock or restricted stock units.</w:t>
      </w:r>
    </w:p>
    <w:p>
      <w:pPr>
        <w:spacing w:after="0" w:line="5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no more than $20 million for the grant date value of cash awards.</w:t>
      </w:r>
    </w:p>
    <w:p>
      <w:pPr>
        <w:sectPr>
          <w:pgSz w:w="11900" w:h="16838" w:orient="portrait"/>
          <w:cols w:equalWidth="0" w:num="1">
            <w:col w:w="11420"/>
          </w:cols>
          <w:pgMar w:left="240" w:top="459" w:right="2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Eligible Participants: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All employees of Schlumberger and our subsidiaries.</w:t>
      </w:r>
    </w:p>
    <w:p>
      <w:pPr>
        <w:spacing w:after="0" w:line="127"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right="120"/>
        <w:spacing w:after="0" w:line="306" w:lineRule="auto"/>
        <w:rPr>
          <w:sz w:val="20"/>
          <w:szCs w:val="20"/>
          <w:color w:val="auto"/>
        </w:rPr>
      </w:pPr>
      <w:r>
        <w:rPr>
          <w:rFonts w:ascii="Arial" w:cs="Arial" w:eastAsia="Arial" w:hAnsi="Arial"/>
          <w:sz w:val="16"/>
          <w:szCs w:val="16"/>
          <w:color w:val="auto"/>
        </w:rPr>
        <w:t>The Compensation Committee will determine which employees will participate in the 2013 Incentive Plan. As of January 31, 2013, approximately 12,750 employees are eligible to participate under our equity compensation plans, including the 2013 Incentive Plan.</w:t>
      </w:r>
    </w:p>
    <w:p>
      <w:pPr>
        <w:sectPr>
          <w:pgSz w:w="11900" w:h="16838" w:orient="portrait"/>
          <w:cols w:equalWidth="0" w:num="1">
            <w:col w:w="11420"/>
          </w:cols>
          <w:pgMar w:left="240" w:top="459" w:right="2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Ineligible Participants: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Directors who are not also employees;</w:t>
      </w:r>
    </w:p>
    <w:p>
      <w:pPr>
        <w:spacing w:after="0" w:line="138"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right="40"/>
        <w:spacing w:after="0" w:line="268" w:lineRule="auto"/>
        <w:rPr>
          <w:sz w:val="20"/>
          <w:szCs w:val="20"/>
          <w:color w:val="auto"/>
        </w:rPr>
      </w:pPr>
      <w:r>
        <w:rPr>
          <w:rFonts w:ascii="Arial" w:cs="Arial" w:eastAsia="Arial" w:hAnsi="Arial"/>
          <w:sz w:val="18"/>
          <w:szCs w:val="18"/>
          <w:color w:val="auto"/>
        </w:rPr>
        <w:t>Any person who owns, directly or indirectly, stock representing more than 5% of the total combined voting power or value of all classes of our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60" w:hanging="4334"/>
        <w:spacing w:after="0" w:line="294" w:lineRule="auto"/>
        <w:rPr>
          <w:sz w:val="20"/>
          <w:szCs w:val="20"/>
          <w:color w:val="auto"/>
        </w:rPr>
      </w:pPr>
      <w:r>
        <w:rPr>
          <w:rFonts w:ascii="Arial" w:cs="Arial" w:eastAsia="Arial" w:hAnsi="Arial"/>
          <w:sz w:val="16"/>
          <w:szCs w:val="16"/>
          <w:color w:val="auto"/>
        </w:rPr>
        <w:t>Shares Available for Issuance under the 2013 Incentive Plan: A total of 35 million shares of Schlumberger common stock are subject to the 2013 Incentive Plan. No more than 7.5 million shares of common stock may be the subject of awards that are not options or stock appreciation rights. Up to 35 million shares of common stock may be subject to incentive stock options. The number of shares available for issuance under the 2013 Incentive Plan is subject to adjustment to reflect stock splits, reorganizations and similar events.</w:t>
      </w:r>
    </w:p>
    <w:p>
      <w:pPr>
        <w:spacing w:after="0" w:line="35" w:lineRule="exact"/>
        <w:rPr>
          <w:sz w:val="20"/>
          <w:szCs w:val="20"/>
          <w:color w:val="auto"/>
        </w:rPr>
      </w:pPr>
    </w:p>
    <w:p>
      <w:pPr>
        <w:ind w:left="4340" w:right="180"/>
        <w:spacing w:after="0" w:line="357" w:lineRule="auto"/>
        <w:rPr>
          <w:sz w:val="20"/>
          <w:szCs w:val="20"/>
          <w:color w:val="auto"/>
        </w:rPr>
      </w:pPr>
      <w:r>
        <w:rPr>
          <w:rFonts w:ascii="Arial" w:cs="Arial" w:eastAsia="Arial" w:hAnsi="Arial"/>
          <w:sz w:val="15"/>
          <w:szCs w:val="15"/>
          <w:color w:val="auto"/>
        </w:rPr>
        <w:t>The shares subject to issuance under the 2013 Incentive Plan consist of authorized and unissued shares or previously issued shares reacquired and held in treasury by us or any of our subsidiaries.</w:t>
      </w:r>
    </w:p>
    <w:p>
      <w:pPr>
        <w:ind w:left="4340" w:right="80"/>
        <w:spacing w:after="0" w:line="259" w:lineRule="auto"/>
        <w:rPr>
          <w:sz w:val="20"/>
          <w:szCs w:val="20"/>
          <w:color w:val="auto"/>
        </w:rPr>
      </w:pPr>
      <w:r>
        <w:rPr>
          <w:rFonts w:ascii="Arial" w:cs="Arial" w:eastAsia="Arial" w:hAnsi="Arial"/>
          <w:sz w:val="18"/>
          <w:szCs w:val="18"/>
          <w:color w:val="auto"/>
        </w:rPr>
        <w:t>Shares that were once subject to issuance upon the exercise or vesting of awards may again become available for future grants under the 2013 Incentive Plan only if an award is cancelled, forfeited, expired or terminated.</w:t>
      </w:r>
    </w:p>
    <w:p>
      <w:pPr>
        <w:spacing w:after="0" w:line="59" w:lineRule="exact"/>
        <w:rPr>
          <w:sz w:val="20"/>
          <w:szCs w:val="20"/>
          <w:color w:val="auto"/>
        </w:rPr>
      </w:pPr>
    </w:p>
    <w:p>
      <w:pPr>
        <w:ind w:left="4340" w:right="420"/>
        <w:spacing w:after="0" w:line="268" w:lineRule="auto"/>
        <w:rPr>
          <w:sz w:val="20"/>
          <w:szCs w:val="20"/>
          <w:color w:val="auto"/>
        </w:rPr>
      </w:pPr>
      <w:r>
        <w:rPr>
          <w:rFonts w:ascii="Arial" w:cs="Arial" w:eastAsia="Arial" w:hAnsi="Arial"/>
          <w:sz w:val="18"/>
          <w:szCs w:val="18"/>
          <w:color w:val="auto"/>
        </w:rPr>
        <w:t>However, the number of shares reserved for issuance under the 2013 Incentive Plan will not be increased by:</w:t>
      </w:r>
    </w:p>
    <w:p>
      <w:pPr>
        <w:spacing w:after="0" w:line="51" w:lineRule="exact"/>
        <w:rPr>
          <w:sz w:val="20"/>
          <w:szCs w:val="20"/>
          <w:color w:val="auto"/>
        </w:rPr>
      </w:pPr>
    </w:p>
    <w:p>
      <w:pPr>
        <w:ind w:left="4780" w:right="680" w:hanging="161"/>
        <w:spacing w:after="0" w:line="268" w:lineRule="auto"/>
        <w:tabs>
          <w:tab w:leader="none" w:pos="4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common stock not issued or delivered as a result of the net settlement of an outstanding stock appreciation right or stock option, or</w:t>
      </w:r>
    </w:p>
    <w:p>
      <w:pPr>
        <w:spacing w:after="0" w:line="50" w:lineRule="exact"/>
        <w:rPr>
          <w:rFonts w:ascii="Arial" w:cs="Arial" w:eastAsia="Arial" w:hAnsi="Arial"/>
          <w:sz w:val="18"/>
          <w:szCs w:val="18"/>
          <w:color w:val="auto"/>
        </w:rPr>
      </w:pPr>
    </w:p>
    <w:p>
      <w:pPr>
        <w:ind w:left="4780" w:right="420" w:hanging="161"/>
        <w:spacing w:after="0" w:line="268" w:lineRule="auto"/>
        <w:tabs>
          <w:tab w:leader="none" w:pos="4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common stock used to pay the exercise price or withholding taxes related to an outstanding stock appreciation right or stock option award.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Issuance Under the 2013 Incentive Plan 2.6%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Outstanding Common Stock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Shares Available for Issuance Under All Equity</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rPr>
          <w:sz w:val="20"/>
          <w:szCs w:val="20"/>
          <w:color w:val="auto"/>
        </w:rPr>
      </w:pPr>
      <w:r>
        <w:rPr>
          <w:rFonts w:ascii="Arial" w:cs="Arial" w:eastAsia="Arial" w:hAnsi="Arial"/>
          <w:sz w:val="18"/>
          <w:szCs w:val="18"/>
          <w:color w:val="auto"/>
        </w:rPr>
        <w:t>Compensation Plans excluding the 2013 Incentive Plan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(including shares issuable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options) as a Percentage of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Number of Stock Options Outstanding</w:t>
            </w:r>
          </w:p>
        </w:tc>
        <w:tc>
          <w:tcPr>
            <w:tcW w:w="7280" w:type="dxa"/>
            <w:vAlign w:val="bottom"/>
          </w:tcPr>
          <w:p>
            <w:pPr>
              <w:ind w:left="200"/>
              <w:spacing w:after="0"/>
              <w:rPr>
                <w:sz w:val="20"/>
                <w:szCs w:val="20"/>
                <w:color w:val="auto"/>
              </w:rPr>
            </w:pPr>
            <w:r>
              <w:rPr>
                <w:rFonts w:ascii="Arial" w:cs="Arial" w:eastAsia="Arial" w:hAnsi="Arial"/>
                <w:sz w:val="18"/>
                <w:szCs w:val="18"/>
                <w:color w:val="auto"/>
              </w:rPr>
              <w:t>42,059,486</w:t>
            </w:r>
          </w:p>
        </w:tc>
      </w:tr>
      <w:tr>
        <w:trPr>
          <w:trHeight w:val="230"/>
        </w:trPr>
        <w:tc>
          <w:tcPr>
            <w:tcW w:w="4140" w:type="dxa"/>
            <w:vAlign w:val="bottom"/>
          </w:tcPr>
          <w:p>
            <w:pPr>
              <w:ind w:left="100"/>
              <w:spacing w:after="0"/>
              <w:rPr>
                <w:sz w:val="20"/>
                <w:szCs w:val="20"/>
                <w:color w:val="auto"/>
              </w:rPr>
            </w:pPr>
            <w:r>
              <w:rPr>
                <w:rFonts w:ascii="Arial" w:cs="Arial" w:eastAsia="Arial" w:hAnsi="Arial"/>
                <w:sz w:val="18"/>
                <w:szCs w:val="18"/>
                <w:i w:val="1"/>
                <w:iCs w:val="1"/>
                <w:color w:val="auto"/>
              </w:rPr>
              <w:t>Weighted Average Exercise Price</w:t>
            </w:r>
          </w:p>
        </w:tc>
        <w:tc>
          <w:tcPr>
            <w:tcW w:w="7280" w:type="dxa"/>
            <w:vAlign w:val="bottom"/>
          </w:tcPr>
          <w:p>
            <w:pPr>
              <w:ind w:left="200"/>
              <w:spacing w:after="0"/>
              <w:rPr>
                <w:sz w:val="20"/>
                <w:szCs w:val="20"/>
                <w:color w:val="auto"/>
              </w:rPr>
            </w:pPr>
            <w:r>
              <w:rPr>
                <w:rFonts w:ascii="Arial" w:cs="Arial" w:eastAsia="Arial" w:hAnsi="Arial"/>
                <w:sz w:val="18"/>
                <w:szCs w:val="18"/>
                <w:color w:val="auto"/>
              </w:rPr>
              <w:t>$67.77</w:t>
            </w:r>
          </w:p>
        </w:tc>
      </w:tr>
      <w:tr>
        <w:trPr>
          <w:trHeight w:val="230"/>
        </w:trPr>
        <w:tc>
          <w:tcPr>
            <w:tcW w:w="4140" w:type="dxa"/>
            <w:vAlign w:val="bottom"/>
          </w:tcPr>
          <w:p>
            <w:pPr>
              <w:ind w:left="100"/>
              <w:spacing w:after="0"/>
              <w:rPr>
                <w:sz w:val="20"/>
                <w:szCs w:val="20"/>
                <w:color w:val="auto"/>
              </w:rPr>
            </w:pPr>
            <w:r>
              <w:rPr>
                <w:rFonts w:ascii="Arial" w:cs="Arial" w:eastAsia="Arial" w:hAnsi="Arial"/>
                <w:sz w:val="18"/>
                <w:szCs w:val="18"/>
                <w:i w:val="1"/>
                <w:iCs w:val="1"/>
                <w:color w:val="auto"/>
              </w:rPr>
              <w:t xml:space="preserve">Weighted Average Term </w:t>
            </w:r>
            <w:r>
              <w:rPr>
                <w:rFonts w:ascii="Arial" w:cs="Arial" w:eastAsia="Arial" w:hAnsi="Arial"/>
                <w:sz w:val="18"/>
                <w:szCs w:val="18"/>
                <w:color w:val="auto"/>
              </w:rPr>
              <w:t>(in years)</w:t>
            </w:r>
          </w:p>
        </w:tc>
        <w:tc>
          <w:tcPr>
            <w:tcW w:w="7280" w:type="dxa"/>
            <w:vAlign w:val="bottom"/>
          </w:tcPr>
          <w:p>
            <w:pPr>
              <w:ind w:left="200"/>
              <w:spacing w:after="0"/>
              <w:rPr>
                <w:sz w:val="20"/>
                <w:szCs w:val="20"/>
                <w:color w:val="auto"/>
              </w:rPr>
            </w:pPr>
            <w:r>
              <w:rPr>
                <w:rFonts w:ascii="Arial" w:cs="Arial" w:eastAsia="Arial" w:hAnsi="Arial"/>
                <w:sz w:val="18"/>
                <w:szCs w:val="18"/>
                <w:color w:val="auto"/>
              </w:rPr>
              <w:t>6.65</w:t>
            </w:r>
          </w:p>
        </w:tc>
      </w:tr>
      <w:tr>
        <w:trPr>
          <w:trHeight w:val="311"/>
        </w:trPr>
        <w:tc>
          <w:tcPr>
            <w:tcW w:w="4140" w:type="dxa"/>
            <w:vAlign w:val="bottom"/>
          </w:tcPr>
          <w:p>
            <w:pPr>
              <w:spacing w:after="0"/>
              <w:rPr>
                <w:sz w:val="20"/>
                <w:szCs w:val="20"/>
                <w:color w:val="auto"/>
              </w:rPr>
            </w:pPr>
            <w:r>
              <w:rPr>
                <w:rFonts w:ascii="Arial" w:cs="Arial" w:eastAsia="Arial" w:hAnsi="Arial"/>
                <w:sz w:val="18"/>
                <w:szCs w:val="18"/>
                <w:color w:val="auto"/>
              </w:rPr>
              <w:t>Number of Full-Value Awards Outstanding:</w:t>
            </w:r>
          </w:p>
        </w:tc>
        <w:tc>
          <w:tcPr>
            <w:tcW w:w="7280" w:type="dxa"/>
            <w:vAlign w:val="bottom"/>
          </w:tcPr>
          <w:p>
            <w:pPr>
              <w:ind w:left="200"/>
              <w:spacing w:after="0"/>
              <w:rPr>
                <w:sz w:val="20"/>
                <w:szCs w:val="20"/>
                <w:color w:val="auto"/>
              </w:rPr>
            </w:pPr>
            <w:r>
              <w:rPr>
                <w:rFonts w:ascii="Arial" w:cs="Arial" w:eastAsia="Arial" w:hAnsi="Arial"/>
                <w:sz w:val="18"/>
                <w:szCs w:val="18"/>
                <w:color w:val="auto"/>
              </w:rPr>
              <w:t>3,564,230</w:t>
            </w:r>
          </w:p>
        </w:tc>
      </w:tr>
      <w:tr>
        <w:trPr>
          <w:trHeight w:val="304"/>
        </w:trPr>
        <w:tc>
          <w:tcPr>
            <w:tcW w:w="4140" w:type="dxa"/>
            <w:vAlign w:val="bottom"/>
          </w:tcPr>
          <w:p>
            <w:pPr>
              <w:spacing w:after="0"/>
              <w:rPr>
                <w:sz w:val="20"/>
                <w:szCs w:val="20"/>
                <w:color w:val="auto"/>
              </w:rPr>
            </w:pPr>
            <w:r>
              <w:rPr>
                <w:rFonts w:ascii="Arial" w:cs="Arial" w:eastAsia="Arial" w:hAnsi="Arial"/>
                <w:sz w:val="18"/>
                <w:szCs w:val="18"/>
                <w:color w:val="auto"/>
              </w:rPr>
              <w:t>Number of Shares Remaining for Future Grant</w:t>
            </w:r>
          </w:p>
        </w:tc>
        <w:tc>
          <w:tcPr>
            <w:tcW w:w="7280" w:type="dxa"/>
            <w:vAlign w:val="bottom"/>
          </w:tcPr>
          <w:p>
            <w:pPr>
              <w:spacing w:after="0"/>
              <w:rPr>
                <w:sz w:val="24"/>
                <w:szCs w:val="24"/>
                <w:color w:val="auto"/>
              </w:rPr>
            </w:pPr>
          </w:p>
        </w:tc>
      </w:tr>
      <w:tr>
        <w:trPr>
          <w:trHeight w:val="222"/>
        </w:trPr>
        <w:tc>
          <w:tcPr>
            <w:tcW w:w="4140" w:type="dxa"/>
            <w:vAlign w:val="bottom"/>
          </w:tcPr>
          <w:p>
            <w:pPr>
              <w:ind w:left="100"/>
              <w:spacing w:after="0"/>
              <w:rPr>
                <w:sz w:val="20"/>
                <w:szCs w:val="20"/>
                <w:color w:val="auto"/>
              </w:rPr>
            </w:pPr>
            <w:r>
              <w:rPr>
                <w:rFonts w:ascii="Arial" w:cs="Arial" w:eastAsia="Arial" w:hAnsi="Arial"/>
                <w:sz w:val="18"/>
                <w:szCs w:val="18"/>
                <w:i w:val="1"/>
                <w:iCs w:val="1"/>
                <w:color w:val="auto"/>
              </w:rPr>
              <w:t>2005 Stock Incentive Plan</w:t>
            </w:r>
          </w:p>
        </w:tc>
        <w:tc>
          <w:tcPr>
            <w:tcW w:w="7280" w:type="dxa"/>
            <w:vAlign w:val="bottom"/>
          </w:tcPr>
          <w:p>
            <w:pPr>
              <w:ind w:left="200"/>
              <w:spacing w:after="0"/>
              <w:rPr>
                <w:sz w:val="20"/>
                <w:szCs w:val="20"/>
                <w:color w:val="auto"/>
              </w:rPr>
            </w:pPr>
            <w:r>
              <w:rPr>
                <w:rFonts w:ascii="Arial" w:cs="Arial" w:eastAsia="Arial" w:hAnsi="Arial"/>
                <w:sz w:val="18"/>
                <w:szCs w:val="18"/>
                <w:color w:val="auto"/>
              </w:rPr>
              <w:t>120,080</w:t>
            </w:r>
          </w:p>
        </w:tc>
      </w:tr>
      <w:tr>
        <w:trPr>
          <w:trHeight w:val="230"/>
        </w:trPr>
        <w:tc>
          <w:tcPr>
            <w:tcW w:w="4140" w:type="dxa"/>
            <w:vAlign w:val="bottom"/>
          </w:tcPr>
          <w:p>
            <w:pPr>
              <w:ind w:left="100"/>
              <w:spacing w:after="0"/>
              <w:rPr>
                <w:sz w:val="20"/>
                <w:szCs w:val="20"/>
                <w:color w:val="auto"/>
              </w:rPr>
            </w:pPr>
            <w:r>
              <w:rPr>
                <w:rFonts w:ascii="Arial" w:cs="Arial" w:eastAsia="Arial" w:hAnsi="Arial"/>
                <w:sz w:val="18"/>
                <w:szCs w:val="18"/>
                <w:i w:val="1"/>
                <w:iCs w:val="1"/>
                <w:color w:val="auto"/>
              </w:rPr>
              <w:t>2008 Stock Incentive Plan</w:t>
            </w:r>
          </w:p>
        </w:tc>
        <w:tc>
          <w:tcPr>
            <w:tcW w:w="7280" w:type="dxa"/>
            <w:vAlign w:val="bottom"/>
          </w:tcPr>
          <w:p>
            <w:pPr>
              <w:ind w:left="200"/>
              <w:spacing w:after="0"/>
              <w:rPr>
                <w:sz w:val="20"/>
                <w:szCs w:val="20"/>
                <w:color w:val="auto"/>
              </w:rPr>
            </w:pPr>
            <w:r>
              <w:rPr>
                <w:rFonts w:ascii="Arial" w:cs="Arial" w:eastAsia="Arial" w:hAnsi="Arial"/>
                <w:sz w:val="18"/>
                <w:szCs w:val="18"/>
                <w:color w:val="auto"/>
              </w:rPr>
              <w:t>531,369</w:t>
            </w:r>
          </w:p>
        </w:tc>
      </w:tr>
      <w:tr>
        <w:trPr>
          <w:trHeight w:val="230"/>
        </w:trPr>
        <w:tc>
          <w:tcPr>
            <w:tcW w:w="4140" w:type="dxa"/>
            <w:vAlign w:val="bottom"/>
          </w:tcPr>
          <w:p>
            <w:pPr>
              <w:ind w:left="100"/>
              <w:spacing w:after="0"/>
              <w:rPr>
                <w:sz w:val="20"/>
                <w:szCs w:val="20"/>
                <w:color w:val="auto"/>
              </w:rPr>
            </w:pPr>
            <w:r>
              <w:rPr>
                <w:rFonts w:ascii="Arial" w:cs="Arial" w:eastAsia="Arial" w:hAnsi="Arial"/>
                <w:sz w:val="18"/>
                <w:szCs w:val="18"/>
                <w:i w:val="1"/>
                <w:iCs w:val="1"/>
                <w:color w:val="auto"/>
              </w:rPr>
              <w:t>2010 Stock Incentive Plan</w:t>
            </w:r>
          </w:p>
        </w:tc>
        <w:tc>
          <w:tcPr>
            <w:tcW w:w="7280" w:type="dxa"/>
            <w:vAlign w:val="bottom"/>
          </w:tcPr>
          <w:p>
            <w:pPr>
              <w:ind w:left="200"/>
              <w:spacing w:after="0"/>
              <w:rPr>
                <w:sz w:val="20"/>
                <w:szCs w:val="20"/>
                <w:color w:val="auto"/>
              </w:rPr>
            </w:pPr>
            <w:r>
              <w:rPr>
                <w:rFonts w:ascii="Arial" w:cs="Arial" w:eastAsia="Arial" w:hAnsi="Arial"/>
                <w:sz w:val="18"/>
                <w:szCs w:val="18"/>
                <w:color w:val="auto"/>
              </w:rPr>
              <w:t>10,645,966</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w w:val="91"/>
              </w:rPr>
              <w:t>Common Shares Outstanding as of December 31, 2012:</w:t>
            </w:r>
          </w:p>
        </w:tc>
        <w:tc>
          <w:tcPr>
            <w:tcW w:w="7280" w:type="dxa"/>
            <w:vAlign w:val="bottom"/>
          </w:tcPr>
          <w:p>
            <w:pPr>
              <w:ind w:left="200"/>
              <w:spacing w:after="0"/>
              <w:rPr>
                <w:sz w:val="20"/>
                <w:szCs w:val="20"/>
                <w:color w:val="auto"/>
              </w:rPr>
            </w:pPr>
            <w:r>
              <w:rPr>
                <w:rFonts w:ascii="Arial" w:cs="Arial" w:eastAsia="Arial" w:hAnsi="Arial"/>
                <w:sz w:val="18"/>
                <w:szCs w:val="18"/>
                <w:color w:val="auto"/>
              </w:rPr>
              <w:t>1,328,255,773</w:t>
            </w:r>
          </w:p>
        </w:tc>
      </w:tr>
      <w:tr>
        <w:trPr>
          <w:trHeight w:val="513"/>
        </w:trPr>
        <w:tc>
          <w:tcPr>
            <w:tcW w:w="4140" w:type="dxa"/>
            <w:vAlign w:val="bottom"/>
          </w:tcPr>
          <w:p>
            <w:pPr>
              <w:spacing w:after="0"/>
              <w:rPr>
                <w:sz w:val="20"/>
                <w:szCs w:val="20"/>
                <w:color w:val="auto"/>
              </w:rPr>
            </w:pPr>
            <w:r>
              <w:rPr>
                <w:rFonts w:ascii="Arial" w:cs="Arial" w:eastAsia="Arial" w:hAnsi="Arial"/>
                <w:sz w:val="18"/>
                <w:szCs w:val="18"/>
                <w:color w:val="auto"/>
              </w:rPr>
              <w:t>Not Permitted:</w:t>
            </w:r>
          </w:p>
        </w:tc>
        <w:tc>
          <w:tcPr>
            <w:tcW w:w="7280" w:type="dxa"/>
            <w:vAlign w:val="bottom"/>
          </w:tcPr>
          <w:p>
            <w:pPr>
              <w:ind w:left="480"/>
              <w:spacing w:after="0"/>
              <w:rPr>
                <w:sz w:val="20"/>
                <w:szCs w:val="20"/>
                <w:color w:val="auto"/>
              </w:rPr>
            </w:pPr>
            <w:r>
              <w:rPr>
                <w:rFonts w:ascii="Arial" w:cs="Arial" w:eastAsia="Arial" w:hAnsi="Arial"/>
                <w:sz w:val="18"/>
                <w:szCs w:val="18"/>
                <w:color w:val="auto"/>
                <w:w w:val="89"/>
              </w:rPr>
              <w:t>• Granting of stock options or stock appreciation rights at a price below the fair market value on</w:t>
            </w:r>
          </w:p>
        </w:tc>
      </w:tr>
    </w:tbl>
    <w:p>
      <w:pPr>
        <w:ind w:left="4780"/>
        <w:spacing w:after="0"/>
        <w:rPr>
          <w:sz w:val="20"/>
          <w:szCs w:val="20"/>
          <w:color w:val="auto"/>
        </w:rPr>
      </w:pPr>
      <w:r>
        <w:rPr>
          <w:rFonts w:ascii="Arial" w:cs="Arial" w:eastAsia="Arial" w:hAnsi="Arial"/>
          <w:sz w:val="18"/>
          <w:szCs w:val="18"/>
          <w:color w:val="auto"/>
        </w:rPr>
        <w:t>the grant date;</w:t>
      </w:r>
    </w:p>
    <w:p>
      <w:pPr>
        <w:spacing w:after="0" w:line="84" w:lineRule="exact"/>
        <w:rPr>
          <w:sz w:val="20"/>
          <w:szCs w:val="20"/>
          <w:color w:val="auto"/>
        </w:rPr>
      </w:pPr>
    </w:p>
    <w:p>
      <w:pPr>
        <w:ind w:left="5620" w:right="620" w:hanging="1006"/>
        <w:spacing w:after="0" w:line="440" w:lineRule="auto"/>
        <w:rPr>
          <w:sz w:val="20"/>
          <w:szCs w:val="20"/>
          <w:color w:val="auto"/>
        </w:rPr>
      </w:pPr>
      <w:r>
        <w:rPr>
          <w:rFonts w:ascii="Arial" w:cs="Arial" w:eastAsia="Arial" w:hAnsi="Arial"/>
          <w:sz w:val="18"/>
          <w:szCs w:val="18"/>
          <w:color w:val="auto"/>
        </w:rPr>
        <w:t>• Repricing, or reducing the exercise price of a stock option or stock appreciation right; 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780" w:right="120" w:hanging="161"/>
        <w:spacing w:after="0" w:line="332" w:lineRule="auto"/>
        <w:tabs>
          <w:tab w:leader="none" w:pos="4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Substituting a new option or stock appreciation right grant with an exercise price lower than the exercise price of an outstanding option or stock appreciation right grant;</w:t>
      </w:r>
    </w:p>
    <w:p>
      <w:pPr>
        <w:spacing w:after="0" w:line="4" w:lineRule="exact"/>
        <w:rPr>
          <w:rFonts w:ascii="Arial" w:cs="Arial" w:eastAsia="Arial" w:hAnsi="Arial"/>
          <w:sz w:val="16"/>
          <w:szCs w:val="16"/>
          <w:color w:val="auto"/>
        </w:rPr>
      </w:pPr>
    </w:p>
    <w:p>
      <w:pPr>
        <w:ind w:left="4780" w:hanging="161"/>
        <w:spacing w:after="0"/>
        <w:tabs>
          <w:tab w:leader="none" w:pos="4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Reload grants; or</w:t>
      </w:r>
    </w:p>
    <w:p>
      <w:pPr>
        <w:spacing w:after="0" w:line="90" w:lineRule="exact"/>
        <w:rPr>
          <w:rFonts w:ascii="Arial" w:cs="Arial" w:eastAsia="Arial" w:hAnsi="Arial"/>
          <w:sz w:val="18"/>
          <w:szCs w:val="18"/>
          <w:color w:val="auto"/>
        </w:rPr>
      </w:pPr>
    </w:p>
    <w:p>
      <w:pPr>
        <w:ind w:left="4780" w:right="40" w:hanging="161"/>
        <w:spacing w:after="0" w:line="268" w:lineRule="auto"/>
        <w:tabs>
          <w:tab w:leader="none" w:pos="4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Granting awards under the 2013 Incentive Plan with respect to more than 1,000,000 shares to any one participant during any year.</w:t>
      </w:r>
    </w:p>
    <w:p>
      <w:pPr>
        <w:spacing w:after="0" w:line="132" w:lineRule="exact"/>
        <w:rPr>
          <w:sz w:val="20"/>
          <w:szCs w:val="20"/>
          <w:color w:val="auto"/>
        </w:rPr>
      </w:pPr>
    </w:p>
    <w:p>
      <w:pPr>
        <w:jc w:val="right"/>
        <w:ind w:right="10360"/>
        <w:spacing w:after="0"/>
        <w:rPr>
          <w:sz w:val="20"/>
          <w:szCs w:val="20"/>
          <w:color w:val="auto"/>
        </w:rPr>
      </w:pPr>
      <w:r>
        <w:rPr>
          <w:rFonts w:ascii="Arial" w:cs="Arial" w:eastAsia="Arial" w:hAnsi="Arial"/>
          <w:sz w:val="15"/>
          <w:szCs w:val="15"/>
          <w:b w:val="1"/>
          <w:bCs w:val="1"/>
          <w:i w:val="1"/>
          <w:iCs w:val="1"/>
          <w:color w:val="auto"/>
        </w:rPr>
        <w:t>Stock Options</w:t>
      </w:r>
    </w:p>
    <w:p>
      <w:pPr>
        <w:spacing w:after="0" w:line="206" w:lineRule="exact"/>
        <w:rPr>
          <w:sz w:val="20"/>
          <w:szCs w:val="20"/>
          <w:color w:val="auto"/>
        </w:rPr>
      </w:pPr>
    </w:p>
    <w:p>
      <w:pPr>
        <w:jc w:val="right"/>
        <w:ind w:right="10400"/>
        <w:spacing w:after="0"/>
        <w:rPr>
          <w:sz w:val="20"/>
          <w:szCs w:val="20"/>
          <w:color w:val="auto"/>
        </w:rPr>
      </w:pPr>
      <w:r>
        <w:rPr>
          <w:rFonts w:ascii="Arial" w:cs="Arial" w:eastAsia="Arial" w:hAnsi="Arial"/>
          <w:sz w:val="18"/>
          <w:szCs w:val="18"/>
          <w:i w:val="1"/>
          <w:iCs w:val="1"/>
          <w:color w:val="auto"/>
        </w:rPr>
        <w:t>Vesting</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Compensation Committee will determine at the time of grant when each stock option will vest. The Compensation Committee’s current practice is to grant options that vest in five equal annual installments beginning on the first anniversary of the grant date, except where local conditions dictate a different vesting schedule.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Exercise Price</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exercise price of stock options granted under the 2013 Incentive Plan may not be less than the fair market value (the mean between the high and low sales prices on the New York Stock Exchange on the grant date) of the common stock on the date of grant. As of March [ ], 2013, the mean between the high and low sales prices of Schlumberger common stock on the New York Stock Exchange was $[ ] per share.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Term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term may not be longer than 10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 of Purchase Price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113" w:lineRule="exact"/>
        <w:rPr>
          <w:sz w:val="20"/>
          <w:szCs w:val="20"/>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Stock options also may be exercised through “cashless exercise” procedures approved by the Compensation Committee involving a broker or dealer approved by the Compensation Committee. Schlumberger may require, prior to issuing common stock under the 2013 Incentive Plan, that the participant remit an amount in cash, or authorize withholding of common stock in connection with the option exercise, sufficient to satisfy tax withholding requirements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Termination of Employment</w:t>
      </w:r>
    </w:p>
    <w:p>
      <w:pPr>
        <w:spacing w:after="0" w:line="171"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2013 Incentive Plan grants the Compensation Committee broad discretion to designate the treatment of stock options following an option holder’s termination of employment with Schlumberger or any of its subsidiaries. However, the Compensation Committee currently expects that the consequences of termination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employment on outstanding stock options will be consistent with past stock options awards. The following table and paragraph following the table summarize the Compensation Committee’s past practice with regards to treatment of stock options in the event an option holder’s employment terminates.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Vesting</w:t>
            </w:r>
          </w:p>
        </w:tc>
        <w:tc>
          <w:tcPr>
            <w:tcW w:w="3980" w:type="dxa"/>
            <w:vAlign w:val="bottom"/>
          </w:tcPr>
          <w:p>
            <w:pPr>
              <w:spacing w:after="0"/>
              <w:rPr>
                <w:sz w:val="20"/>
                <w:szCs w:val="20"/>
                <w:color w:val="auto"/>
              </w:rPr>
            </w:pPr>
            <w:r>
              <w:rPr>
                <w:rFonts w:ascii="Arial" w:cs="Arial" w:eastAsia="Arial" w:hAnsi="Arial"/>
                <w:sz w:val="14"/>
                <w:szCs w:val="14"/>
                <w:b w:val="1"/>
                <w:bCs w:val="1"/>
                <w:color w:val="auto"/>
              </w:rPr>
              <w:t>Post-Employment Exercise Period</w:t>
            </w:r>
          </w:p>
        </w:tc>
      </w:tr>
      <w:tr>
        <w:trPr>
          <w:trHeight w:val="181"/>
        </w:trPr>
        <w:tc>
          <w:tcPr>
            <w:tcW w:w="24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5"/>
              </w:rPr>
              <w:t>Voluntary termination or termination</w:t>
            </w:r>
          </w:p>
        </w:tc>
        <w:tc>
          <w:tcPr>
            <w:tcW w:w="2000" w:type="dxa"/>
            <w:vAlign w:val="bottom"/>
          </w:tcPr>
          <w:p>
            <w:pPr>
              <w:ind w:left="180"/>
              <w:spacing w:after="0" w:line="182" w:lineRule="exact"/>
              <w:rPr>
                <w:sz w:val="20"/>
                <w:szCs w:val="20"/>
                <w:color w:val="auto"/>
              </w:rPr>
            </w:pPr>
            <w:r>
              <w:rPr>
                <w:rFonts w:ascii="Arial" w:cs="Arial" w:eastAsia="Arial" w:hAnsi="Arial"/>
                <w:sz w:val="18"/>
                <w:szCs w:val="18"/>
                <w:color w:val="auto"/>
              </w:rPr>
              <w:t>by the Company or</w:t>
            </w:r>
          </w:p>
        </w:tc>
        <w:tc>
          <w:tcPr>
            <w:tcW w:w="27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No additional vesting.</w:t>
            </w:r>
          </w:p>
        </w:tc>
        <w:tc>
          <w:tcPr>
            <w:tcW w:w="240" w:type="dxa"/>
            <w:vAlign w:val="bottom"/>
          </w:tcPr>
          <w:p>
            <w:pPr>
              <w:spacing w:after="0"/>
              <w:rPr>
                <w:sz w:val="15"/>
                <w:szCs w:val="15"/>
                <w:color w:val="auto"/>
              </w:rPr>
            </w:pPr>
          </w:p>
        </w:tc>
        <w:tc>
          <w:tcPr>
            <w:tcW w:w="39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0"/>
              </w:rPr>
              <w:t>Exercisable (to the extent exercisable at termination) at</w:t>
            </w:r>
          </w:p>
        </w:tc>
      </w:tr>
      <w:tr>
        <w:trPr>
          <w:trHeight w:val="236"/>
        </w:trPr>
        <w:tc>
          <w:tcPr>
            <w:tcW w:w="4460" w:type="dxa"/>
            <w:vAlign w:val="bottom"/>
            <w:gridSpan w:val="2"/>
          </w:tcPr>
          <w:p>
            <w:pPr>
              <w:spacing w:after="0"/>
              <w:rPr>
                <w:sz w:val="20"/>
                <w:szCs w:val="20"/>
                <w:color w:val="auto"/>
              </w:rPr>
            </w:pPr>
            <w:r>
              <w:rPr>
                <w:rFonts w:ascii="Arial" w:cs="Arial" w:eastAsia="Arial" w:hAnsi="Arial"/>
                <w:sz w:val="18"/>
                <w:szCs w:val="18"/>
                <w:color w:val="auto"/>
              </w:rPr>
              <w:t>any subsidiary other than for cause</w:t>
            </w: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any time within three months after termination.</w:t>
            </w:r>
          </w:p>
        </w:tc>
      </w:tr>
      <w:tr>
        <w:trPr>
          <w:trHeight w:val="318"/>
        </w:trPr>
        <w:tc>
          <w:tcPr>
            <w:tcW w:w="4460" w:type="dxa"/>
            <w:vAlign w:val="bottom"/>
            <w:gridSpan w:val="2"/>
          </w:tcPr>
          <w:p>
            <w:pPr>
              <w:spacing w:after="0"/>
              <w:rPr>
                <w:sz w:val="20"/>
                <w:szCs w:val="20"/>
                <w:color w:val="auto"/>
              </w:rPr>
            </w:pPr>
            <w:r>
              <w:rPr>
                <w:rFonts w:ascii="Arial" w:cs="Arial" w:eastAsia="Arial" w:hAnsi="Arial"/>
                <w:sz w:val="18"/>
                <w:szCs w:val="18"/>
                <w:color w:val="auto"/>
                <w:w w:val="98"/>
              </w:rPr>
              <w:t>Termination by the Company or any subsidiary for cause</w:t>
            </w:r>
          </w:p>
        </w:tc>
        <w:tc>
          <w:tcPr>
            <w:tcW w:w="2980" w:type="dxa"/>
            <w:vAlign w:val="bottom"/>
            <w:gridSpan w:val="2"/>
          </w:tcPr>
          <w:p>
            <w:pPr>
              <w:spacing w:after="0"/>
              <w:rPr>
                <w:sz w:val="20"/>
                <w:szCs w:val="20"/>
                <w:color w:val="auto"/>
              </w:rPr>
            </w:pPr>
            <w:r>
              <w:rPr>
                <w:rFonts w:ascii="Arial" w:cs="Arial" w:eastAsia="Arial" w:hAnsi="Arial"/>
                <w:sz w:val="18"/>
                <w:szCs w:val="18"/>
                <w:color w:val="auto"/>
              </w:rPr>
              <w:t>Options forfeited</w:t>
            </w:r>
          </w:p>
        </w:tc>
        <w:tc>
          <w:tcPr>
            <w:tcW w:w="398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immediately.</w:t>
            </w:r>
          </w:p>
        </w:tc>
        <w:tc>
          <w:tcPr>
            <w:tcW w:w="3980" w:type="dxa"/>
            <w:vAlign w:val="bottom"/>
          </w:tcPr>
          <w:p>
            <w:pPr>
              <w:spacing w:after="0"/>
              <w:rPr>
                <w:sz w:val="19"/>
                <w:szCs w:val="19"/>
                <w:color w:val="auto"/>
              </w:rPr>
            </w:pPr>
          </w:p>
        </w:tc>
      </w:tr>
      <w:tr>
        <w:trPr>
          <w:trHeight w:val="331"/>
        </w:trPr>
        <w:tc>
          <w:tcPr>
            <w:tcW w:w="4460" w:type="dxa"/>
            <w:vAlign w:val="bottom"/>
            <w:gridSpan w:val="2"/>
          </w:tcPr>
          <w:p>
            <w:pPr>
              <w:spacing w:after="0"/>
              <w:rPr>
                <w:sz w:val="20"/>
                <w:szCs w:val="20"/>
                <w:color w:val="auto"/>
              </w:rPr>
            </w:pPr>
            <w:r>
              <w:rPr>
                <w:rFonts w:ascii="Arial" w:cs="Arial" w:eastAsia="Arial" w:hAnsi="Arial"/>
                <w:sz w:val="18"/>
                <w:szCs w:val="18"/>
                <w:color w:val="auto"/>
              </w:rPr>
              <w:t>Disability during employment</w:t>
            </w:r>
          </w:p>
        </w:tc>
        <w:tc>
          <w:tcPr>
            <w:tcW w:w="298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3980" w:type="dxa"/>
            <w:vAlign w:val="bottom"/>
          </w:tcPr>
          <w:p>
            <w:pPr>
              <w:spacing w:after="0"/>
              <w:rPr>
                <w:sz w:val="20"/>
                <w:szCs w:val="20"/>
                <w:color w:val="auto"/>
              </w:rPr>
            </w:pPr>
            <w:r>
              <w:rPr>
                <w:rFonts w:ascii="Arial" w:cs="Arial" w:eastAsia="Arial" w:hAnsi="Arial"/>
                <w:sz w:val="18"/>
                <w:szCs w:val="18"/>
                <w:color w:val="auto"/>
                <w:w w:val="97"/>
              </w:rPr>
              <w:t>Exercisable at any time during the 60-month period</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9"/>
              </w:rPr>
              <w:t>after termination by disability (as defined in the relevant</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6"/>
              </w:rPr>
              <w:t>award agreement, and which may not be the same as the</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7"/>
              </w:rPr>
              <w:t>definition used for other benefit plans) or during the</w:t>
            </w:r>
          </w:p>
        </w:tc>
      </w:tr>
      <w:tr>
        <w:trPr>
          <w:trHeight w:val="222"/>
        </w:trPr>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5"/>
              </w:rPr>
              <w:t>remainder of the option period, whichever is shorter.</w:t>
            </w:r>
          </w:p>
        </w:tc>
      </w:tr>
      <w:tr>
        <w:trPr>
          <w:trHeight w:val="318"/>
        </w:trPr>
        <w:tc>
          <w:tcPr>
            <w:tcW w:w="446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2980" w:type="dxa"/>
            <w:vAlign w:val="bottom"/>
            <w:gridSpan w:val="2"/>
          </w:tcPr>
          <w:p>
            <w:pPr>
              <w:spacing w:after="0"/>
              <w:rPr>
                <w:sz w:val="20"/>
                <w:szCs w:val="20"/>
                <w:color w:val="auto"/>
              </w:rPr>
            </w:pPr>
            <w:r>
              <w:rPr>
                <w:rFonts w:ascii="Arial" w:cs="Arial" w:eastAsia="Arial" w:hAnsi="Arial"/>
                <w:sz w:val="18"/>
                <w:szCs w:val="18"/>
                <w:color w:val="auto"/>
              </w:rPr>
              <w:t>No additional vesting.</w:t>
            </w:r>
          </w:p>
        </w:tc>
        <w:tc>
          <w:tcPr>
            <w:tcW w:w="3980" w:type="dxa"/>
            <w:vAlign w:val="bottom"/>
          </w:tcPr>
          <w:p>
            <w:pPr>
              <w:spacing w:after="0"/>
              <w:rPr>
                <w:sz w:val="20"/>
                <w:szCs w:val="20"/>
                <w:color w:val="auto"/>
              </w:rPr>
            </w:pPr>
            <w:r>
              <w:rPr>
                <w:rFonts w:ascii="Arial" w:cs="Arial" w:eastAsia="Arial" w:hAnsi="Arial"/>
                <w:sz w:val="18"/>
                <w:szCs w:val="18"/>
                <w:color w:val="auto"/>
                <w:w w:val="90"/>
              </w:rPr>
              <w:t>Exercisable (to the extent exercisable at termination) at</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3"/>
              </w:rPr>
              <w:t>any time during the 60-month period after termination</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by retirement (as defined in the relevant award</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7"/>
              </w:rPr>
              <w:t>agreement, and which may not be the same as the</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7"/>
              </w:rPr>
              <w:t>definition used for other benefit plans) or during the</w:t>
            </w:r>
          </w:p>
        </w:tc>
      </w:tr>
      <w:tr>
        <w:trPr>
          <w:trHeight w:val="222"/>
        </w:trPr>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5"/>
              </w:rPr>
              <w:t>remainder of the option period, whichever is shorter.</w:t>
            </w:r>
          </w:p>
        </w:tc>
      </w:tr>
      <w:tr>
        <w:trPr>
          <w:trHeight w:val="318"/>
        </w:trPr>
        <w:tc>
          <w:tcPr>
            <w:tcW w:w="4460" w:type="dxa"/>
            <w:vAlign w:val="bottom"/>
            <w:gridSpan w:val="2"/>
          </w:tcPr>
          <w:p>
            <w:pPr>
              <w:spacing w:after="0"/>
              <w:rPr>
                <w:sz w:val="20"/>
                <w:szCs w:val="20"/>
                <w:color w:val="auto"/>
              </w:rPr>
            </w:pPr>
            <w:r>
              <w:rPr>
                <w:rFonts w:ascii="Arial" w:cs="Arial" w:eastAsia="Arial" w:hAnsi="Arial"/>
                <w:sz w:val="18"/>
                <w:szCs w:val="18"/>
                <w:color w:val="auto"/>
              </w:rPr>
              <w:t>Death during employment</w:t>
            </w:r>
          </w:p>
        </w:tc>
        <w:tc>
          <w:tcPr>
            <w:tcW w:w="298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3980" w:type="dxa"/>
            <w:vAlign w:val="bottom"/>
          </w:tcPr>
          <w:p>
            <w:pPr>
              <w:spacing w:after="0"/>
              <w:rPr>
                <w:sz w:val="20"/>
                <w:szCs w:val="20"/>
                <w:color w:val="auto"/>
              </w:rPr>
            </w:pPr>
            <w:r>
              <w:rPr>
                <w:rFonts w:ascii="Arial" w:cs="Arial" w:eastAsia="Arial" w:hAnsi="Arial"/>
                <w:sz w:val="18"/>
                <w:szCs w:val="18"/>
                <w:color w:val="auto"/>
                <w:w w:val="97"/>
              </w:rPr>
              <w:t>Exercisable at any time during the 60-month period</w:t>
            </w:r>
          </w:p>
        </w:tc>
      </w:tr>
      <w:tr>
        <w:trPr>
          <w:trHeight w:val="216"/>
        </w:trPr>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8"/>
              </w:rPr>
              <w:t>after termination by death or during the remainder of the</w:t>
            </w:r>
          </w:p>
        </w:tc>
      </w:tr>
      <w:tr>
        <w:trPr>
          <w:trHeight w:val="222"/>
        </w:trPr>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option period, whichever is shorter.</w:t>
            </w:r>
          </w:p>
        </w:tc>
      </w:tr>
    </w:tbl>
    <w:p>
      <w:pPr>
        <w:spacing w:after="0" w:line="7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w:t>
      </w:r>
    </w:p>
    <w:p>
      <w:pPr>
        <w:spacing w:after="0" w:line="4"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60 months following the date of the optionee’s termination of employment,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expiration of the original term.</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Death or disability following termination of employment will not result in any additional vesting, so that the option will be exercisable to the extent provided in the matrix above based on the circumstances of the optionee’s termination of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Awards may also be in the form of rights to receive a payment, in cash or common stock, equal to the fair market value or other specified value of a number of shares of common stock on the rights exercise date over a specified strike price (“stock appreciation rights”). All stock appreciation rights granted under the 2013 Incentive Plan must have a grant price per share that is not less than the fair market value of a share of common stock on the date of grant and a term of no more than 10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maximum of 7.5 million shares may be the subject of stock awards, such as restricted stock or restricted stock unit awards. The terms, conditions and limitations applicable to grants of restricted stock and restricted stock units will be determined by our Compensation Committee. Restricted stock and restricted stock units will be subject to a restriction period totaling at least three years from the grant date (the vesting, lapse, or termination of which may be no more rapid in combination than pro rata over three years), except that the Compensation Committee may provide for earlier vesting upon a change of control or termination of employment by reason of death, disability or retirement. Furthermore, up to 1.75 million shares of stock may be issued as restricted stock or restricted stock units having a restriction period of three years or 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Awards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Awards may also be in the form of grants denominated in cash. The terms, conditions and limitations applicable to any cash awards granted pursuant to the 2013 Incentive Plan will be determined by the Compensation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At the discretion of the Compensation Committee, any of the above-described employee awards may be made in the form of a performance award. A performance award is an award that is subject to the attainment of one or more performance goals. The terms, conditions and limitations applicable to any performance award will be determined by the Compensation Committee.</w:t>
      </w:r>
    </w:p>
    <w:p>
      <w:pPr>
        <w:spacing w:after="0" w:line="5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2013 Incentive Plan permits, but does not require, the Compensation Committee to structure any performance award made to a named executive officer as performance-based compensation. At the discretion of the Compensation Committee, certain awards under the 2013 Incentive Plan may be intended to qualify as performance-based compensation under Section 162(m) of the Code. Section 162(m) of the Code generally limits the deductibility for federal income tax purposes of annual compensation paid to a company’s executive officers to $1 million per covered executive in a taxable year. The Compensation Committee and the Board of Directors may take deductibility and nondeductibility of compensation into account but retain the discretion to authorize the payment of potentially nondeductible amounts.</w:t>
      </w:r>
    </w:p>
    <w:p>
      <w:pPr>
        <w:spacing w:after="0" w:line="6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making qualified performance awards, the Compensation Committee may base a performance goal on one or more of the following business criteria that may be applied to the participant, one or more business units, divisions or sectors of Schlumberger, or Schlumberger as a whole, or by comparison with a peer group of companies:</w:t>
      </w:r>
    </w:p>
    <w:p>
      <w:pPr>
        <w:spacing w:after="0" w:line="59" w:lineRule="exact"/>
        <w:rPr>
          <w:sz w:val="20"/>
          <w:szCs w:val="20"/>
          <w:color w:val="auto"/>
        </w:rPr>
      </w:pPr>
    </w:p>
    <w:p>
      <w:pPr>
        <w:ind w:left="780" w:right="44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revenue and income measures (which include revenue, gross margin, income from operations, net income, net sales, earnings per share, earnings before interest, taxes, depreciation and amortization (“EBITDA”), and economic value added (“EVA”));</w:t>
      </w:r>
    </w:p>
    <w:p>
      <w:pPr>
        <w:spacing w:after="0" w:line="5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expense measures (which include costs of goods sold, selling, finding and development costs, general and administrative expenses and overhead costs);</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operating measures (which include productivity, operating income, funds from operations, cash from operations, after-tax operating income, market share, margin and sales volumes);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flow measures (which include net cash flow from operating activities and working capital);</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liquidity measures (which include earnings before or after the effect of certain items such as interest, taxes, depreciation and amortization, and free cash flow);</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leverage measures (which include debt-to-equity ratio and net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market measures (which include market share, stock price, growth measures, total shareholder return and market capitalization measures);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return measures (which include return on equity, return on capital employed, return on assets and return on invested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measures relating to ethics, Quality, safety, the environment and diversity</w:t>
      </w:r>
      <w:r>
        <w:rPr>
          <w:rFonts w:ascii="Arial" w:cs="Arial" w:eastAsia="Arial" w:hAnsi="Arial"/>
          <w:sz w:val="18"/>
          <w:szCs w:val="18"/>
          <w:i w:val="1"/>
          <w:iCs w:val="1"/>
          <w:color w:val="auto"/>
        </w:rPr>
        <w:t>;</w:t>
      </w:r>
      <w:r>
        <w:rPr>
          <w:rFonts w:ascii="Arial" w:cs="Arial" w:eastAsia="Arial" w:hAnsi="Arial"/>
          <w:sz w:val="18"/>
          <w:szCs w:val="18"/>
          <w:color w:val="auto"/>
        </w:rPr>
        <w:t xml:space="preserv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measures relating to acquisitions, dispositions or customer satisfaction.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Performance goals need not be based upon an increase or positive result under a particular business criterion and could include, for example, maintaining the status quo or limiting economic losses.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award agreement may provide that an employee granted an award may forfeit his or her right to such award or be required to return common stock or cash received as a result of the exercise or vesting of an award if such holder engages in “detrimental activity” (as defined by the Compensation Committee in the award agreement under the 2013 Incentive Plan) during or following termination of employment. Under Schlumberger’s current standard terms for stock options grants, forfeiture may occur due to detrimental activity within one year after termination of employment (or five years after termination of employment in the event of retirement or disability).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1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Unless otherwise determined by the Compensation Committee in an award agreement, no award will be assignable or otherwise transferable. Any attempted assignment of an award will be void.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will administer the 2013 Incentive Plan. The Compensation Committee has full power and authority to:</w:t>
      </w:r>
    </w:p>
    <w:p>
      <w:pPr>
        <w:spacing w:after="0" w:line="90"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select the employees to be granted awards;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determine the terms of awards to be made;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determine the time when awards are to be granted and any conditions that must be satisfied before an award is granted;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establish objectives and conditions for earning awards;</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determine the terms and conditions of award agreements (which shall not be inconsistent with the 2013 Incentive Plan) and which parties must sign each award agreement;</w:t>
      </w:r>
    </w:p>
    <w:p>
      <w:pPr>
        <w:spacing w:after="0" w:line="5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determine whether the conditions for earning an award have been met and whether a performance award will be paid at the end of an applicable performance period;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as otherwise provided in the 2013 Incentive Plan, to modify the terms of awards made under the 2013 Incentive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determine if, when and under what conditions payment of all or any part of an award may be deferred;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determine whether the amount or payment of an award should be reduced or eliminated;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determine the guidelines and/or procedures for the payment or exercise of awards; and</w:t>
      </w:r>
    </w:p>
    <w:p>
      <w:pPr>
        <w:spacing w:after="0" w:line="90" w:lineRule="exact"/>
        <w:rPr>
          <w:rFonts w:ascii="Arial" w:cs="Arial" w:eastAsia="Arial" w:hAnsi="Arial"/>
          <w:sz w:val="18"/>
          <w:szCs w:val="18"/>
          <w:color w:val="auto"/>
        </w:rPr>
      </w:pPr>
    </w:p>
    <w:p>
      <w:pPr>
        <w:ind w:left="780" w:right="480" w:hanging="326"/>
        <w:spacing w:after="0" w:line="332"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Compensation Committee may correct any defect or supply any omission or reconcile any inconsistency in the 2013 Incentive Plan or in any award in the manner and to the extent the Compensation Committee deems necessary or desirable to further the purposes of the 2013 Incentive Plan or to avoid unanticipated consequences or address unanticipated events (including any temporary closure of a stock</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exchange on which the Schlumberger’s common stock is traded, disruption of communications or natural catastrophe) deemed by the Compensation Committee to be inconsistent with the purposes of the 2013 Incentive Plan or any award agreement, provided that no such action shall be taken absent stockholder approval to the extent required by the 2013 Incentive Plan. 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3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Except with respect to matters related to awards to executive officers or other awards intended to qualify as qualified performance-based compensation under Section 162(m), the Compensation Committee may delegate to the Chief Executive Officer and to other senior officers of Schlumberger or to such other committee of the Board of Directors its duties under the 2013 Incentive Plan pursuant to such conditions or limitations as the Compensation Committee may establish.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or Termination</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Board of Directors or the Compensation Committee may amend, modify, suspend or terminate the 2013 Incentive Plan for the purpose of addressing any changes in legal requirements or for any other lawful purpose, except that</w:t>
      </w:r>
    </w:p>
    <w:p>
      <w:pPr>
        <w:spacing w:after="0" w:line="51" w:lineRule="exact"/>
        <w:rPr>
          <w:sz w:val="20"/>
          <w:szCs w:val="20"/>
          <w:color w:val="auto"/>
        </w:rPr>
      </w:pPr>
    </w:p>
    <w:p>
      <w:pPr>
        <w:ind w:left="780" w:right="18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amendment that would adversely affect the rights of any participant under any award previously granted to such participant may be made without the consent of such participant, and</w:t>
      </w:r>
    </w:p>
    <w:p>
      <w:pPr>
        <w:spacing w:after="0" w:line="5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amendment will be effective prior to its approval by the stockholders of Schlumberger to the extent such approval is otherwise required by applicable law or the requirements of any exchange on which the common stock is listed.</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Additionally, no stock option or stock appreciation right may be repriced, replaced, regranted through cancellation or modified without stockholder approval (except in connection with a change in Schlumberger’s capitalization) if the effect would be to reduce the exercise price for the shares underlying such stock option or stock appreciation right.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2013 Incentive Plan and the 2013 Incentive Plan limits in the number of shares subject to awards granted to an individual participant in any calendar year will be proportionally adjusted and the number of shares of common stock with respect to which outstanding awards or other property subject to an outstanding award granted under the Incentive Plan will:</w:t>
      </w:r>
    </w:p>
    <w:p>
      <w:pPr>
        <w:spacing w:after="0" w:line="62" w:lineRule="exact"/>
        <w:rPr>
          <w:sz w:val="20"/>
          <w:szCs w:val="20"/>
          <w:color w:val="auto"/>
        </w:rPr>
      </w:pPr>
    </w:p>
    <w:p>
      <w:pPr>
        <w:ind w:left="780" w:right="16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spacing w:after="0" w:line="5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the event of any corporate merger, consolidation, acquisition of property or stock, separation, spinoff, reorganization or liquidation, the Board of Directors may make certain adjustments to awards as it deems equitable, including, providing for the substitution of a new award (or other arrangement) or the assumption of the award, prior to the transaction providing for the acceleration of the vesting and exercisability of or the lapse of restrictions with respect to the award, and cancelling any outstanding award in exchange for cash in an amount deemed by the Board to be equal to the fair market value of the award.</w:t>
      </w:r>
    </w:p>
    <w:p>
      <w:pPr>
        <w:spacing w:after="0" w:line="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Consistent with past practice, we currently expect that any award agreement documenting an award under the 2013 Incentive Plan will not contain a contractual right to an automatic acceleration upon a change in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Rather, we expect that any acceleration of vesting of an award in connection with a transaction would be made only where (i) a transaction results in a change in control of Schlumberger and (ii) in connection with such transaction the outstanding awards are not assumed by Schlumberger’s successor.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following discussion of tax consequences relates only to U.S. federal income tax matters. The tax consequences of participating in the 2013 Incentive Plan may vary according to country of participation. Also, the tax consequences of participating in the 2013 Incentive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Some of the options issued under the 2013 Incentive Plan are intended to constitute “incentive stock options” within the meaning of Section 422 of the Code, while other options granted under the 2013 Incentive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spacing w:after="0" w:line="3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Except with respect to death or permanent and total disability (in which case the optionee has one year to exercise and obtain incentive stock option treatment),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spacing w:after="0" w:line="39"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w:t>
      </w:r>
    </w:p>
    <w:p>
      <w:pPr>
        <w:spacing w:after="0" w:line="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Participants will not realize taxable income upon the grant of a stock appreciation right. Upon the exercise of a stock appreciation right, the participant will recognize ordinary income (subject to withholding by Schlumberger) in an amount equal to the cash or fair market value of the shares of stock received on the date of exercise of the stock appreciation right. The participant will generally have a tax basis in any shares of stock received on the exercise of a stock appreciation right that equals the fair market value of such shares on the date of exercise. Subject to the limitations discussed below, Schlumberger will be entitled to a deduction for U.S. federal income tax purposes that corresponds as to timing and amount with the compensation income recognized by the participant under the foregoing rules.</w:t>
      </w:r>
    </w:p>
    <w:p>
      <w:pPr>
        <w:spacing w:after="0" w:line="6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or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appreciation right, the employer corporation is entitled to a deduction in an amount equal to the income recognized by the employee. A non-U.S. corporation, such as Schlumberger, is entitled to deductions only to the extent allocable to “effectively connected income” which is subject to U.S. federal income tax.</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Awards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participant generally will not have taxable income upon the grant of stock awards, such as restricted stock or restricted stock units. Instead,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stock when it first becomes transferable or is no longer subject to a substantial risk of forfeiture, unless the participant makes an election to be taxed on the fair market value of the stock underlying the award when it is received.</w:t>
      </w:r>
    </w:p>
    <w:p>
      <w:pPr>
        <w:spacing w:after="0" w:line="3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that has been held for the requisite holding period, the employee will generally recognize capital gain or loss equal to the difference between the amount received in the disposition and the amount previously recognized as compensation income.</w:t>
      </w:r>
    </w:p>
    <w:p>
      <w:pPr>
        <w:spacing w:after="0" w:line="6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under “Certain Tax Code Limitations on Deductibility,” Schlumberger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Tax Code Limitations on Deductibility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162(m) of the Code provides that certain compensation received in any year by a “covered employee” in excess of $1 million is non-deductible by Schlumberger for federal income tax purposes. Section 162(m) provides an exception, however, for “qualified performance-based compensation.” The Compensation Committee may determine to designate awards granted to “covered employees” as qualified performance-based compensation. However, the Compensation Committee may award compensation that is or may become non-deductible, and expects to consider whether it believes such grants are in the best interest of Schlumberger, balancing tax efficiency with long-term strategic objectives.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Code Section 409A</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409A of the Code generally provides that any deferred compensation arrangement must satisfy specific requirements, both in operation and in form, regarding (1) the timing of payment, (2) the advance election of deferrals, and (3) restrictions on the acceleration of payment. Failure to comply with Section 409A may result in the early taxation (plus interest) to the participant of deferred compensation and the imposition of a 20% penalty on the participant on such deferred amounts included in the participant’s income. Schlumberger intends to structure awards under the 2013 Incentive Plan in a manner that is designed to be exempt from or comply with Section 409A.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Code Section 457A</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457A of the Code has significantly changed the rules applicable to deferred compensation paid to U.S. persons by certain foreign corporations and other entities. We expect that stock options, stock-settled stock appreciation rights, restricted stock and restricted stock units granted under the 2013 Incentive Plan will be exempt from Section 457A. However, stock appreciation rights that may be settled in cash may be subject to Section 457A, as well as cash awards or stock units that are not paid within one year after vesting.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Section 457A requires that any compensation paid under a deferred compensation plan of a nonqualified entity must be included in the participant’s income at the time such amounts are no longer subject to a substantial risk of forfeiture. Therefore, stock appreciation rights that may be settled in cash as well as cash awards or stock units that are not paid within one year after vesting may result in income inclusion upon vesting, even though the participant has not exercised the stock appreciation right or received delivery of cash or shares of stock at that time. Schlumberger currently intends to grant awards that are exempt from Section 457A.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sets forth the following information as of the end of December 31, 2012 for all equity compensation plans approved and not approved by our stockholders.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3"/>
              </w:rPr>
              <w:t>(a)</w:t>
            </w:r>
          </w:p>
        </w:tc>
        <w:tc>
          <w:tcPr>
            <w:tcW w:w="30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9"/>
              </w:rPr>
              <w:t>(b)</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gridSpan w:val="2"/>
          </w:tcPr>
          <w:p>
            <w:pPr>
              <w:jc w:val="center"/>
              <w:ind w:right="174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60" w:type="dxa"/>
            <w:vAlign w:val="bottom"/>
            <w:gridSpan w:val="2"/>
          </w:tcPr>
          <w:p>
            <w:pPr>
              <w:jc w:val="center"/>
              <w:ind w:right="174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300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Weighted-average exercise</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equity compensation</w:t>
            </w:r>
          </w:p>
        </w:tc>
      </w:tr>
      <w:tr>
        <w:trPr>
          <w:trHeight w:val="134"/>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60" w:type="dxa"/>
            <w:vAlign w:val="bottom"/>
            <w:gridSpan w:val="2"/>
          </w:tcPr>
          <w:p>
            <w:pPr>
              <w:jc w:val="center"/>
              <w:ind w:right="1740"/>
              <w:spacing w:after="0" w:line="135" w:lineRule="exact"/>
              <w:rPr>
                <w:sz w:val="20"/>
                <w:szCs w:val="20"/>
                <w:color w:val="auto"/>
              </w:rPr>
            </w:pPr>
            <w:r>
              <w:rPr>
                <w:rFonts w:ascii="Arial" w:cs="Arial" w:eastAsia="Arial" w:hAnsi="Arial"/>
                <w:sz w:val="14"/>
                <w:szCs w:val="14"/>
                <w:b w:val="1"/>
                <w:bCs w:val="1"/>
                <w:color w:val="auto"/>
                <w:w w:val="85"/>
              </w:rPr>
              <w:t>outstanding options, warrants</w:t>
            </w:r>
          </w:p>
        </w:tc>
        <w:tc>
          <w:tcPr>
            <w:tcW w:w="300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5"/>
              </w:rPr>
              <w:t>price of such outstanding</w:t>
            </w:r>
          </w:p>
        </w:tc>
        <w:tc>
          <w:tcPr>
            <w:tcW w:w="19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4"/>
              </w:rPr>
              <w:t>plans (excluding securities</w:t>
            </w:r>
          </w:p>
        </w:tc>
      </w:tr>
      <w:tr>
        <w:trPr>
          <w:trHeight w:val="176"/>
        </w:trPr>
        <w:tc>
          <w:tcPr>
            <w:tcW w:w="20" w:type="dxa"/>
            <w:vAlign w:val="bottom"/>
          </w:tcPr>
          <w:p>
            <w:pPr>
              <w:spacing w:after="0"/>
              <w:rPr>
                <w:sz w:val="15"/>
                <w:szCs w:val="15"/>
                <w:color w:val="auto"/>
              </w:rPr>
            </w:pPr>
          </w:p>
        </w:tc>
        <w:tc>
          <w:tcPr>
            <w:tcW w:w="3020" w:type="dxa"/>
            <w:vAlign w:val="bottom"/>
            <w:gridSpan w:val="2"/>
          </w:tcPr>
          <w:p>
            <w:pPr>
              <w:ind w:left="760"/>
              <w:spacing w:after="0"/>
              <w:rPr>
                <w:sz w:val="20"/>
                <w:szCs w:val="20"/>
                <w:color w:val="auto"/>
              </w:rPr>
            </w:pPr>
            <w:r>
              <w:rPr>
                <w:rFonts w:ascii="Arial" w:cs="Arial" w:eastAsia="Arial" w:hAnsi="Arial"/>
                <w:sz w:val="14"/>
                <w:szCs w:val="14"/>
                <w:b w:val="1"/>
                <w:bCs w:val="1"/>
                <w:color w:val="auto"/>
              </w:rPr>
              <w:t>Plan category</w:t>
            </w:r>
          </w:p>
        </w:tc>
        <w:tc>
          <w:tcPr>
            <w:tcW w:w="34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8"/>
              </w:rPr>
              <w:t>and rights</w:t>
            </w:r>
          </w:p>
        </w:tc>
        <w:tc>
          <w:tcPr>
            <w:tcW w:w="3000" w:type="dxa"/>
            <w:vAlign w:val="bottom"/>
            <w:gridSpan w:val="2"/>
          </w:tcPr>
          <w:p>
            <w:pPr>
              <w:jc w:val="right"/>
              <w:ind w:right="1240"/>
              <w:spacing w:after="0" w:line="176" w:lineRule="exact"/>
              <w:rPr>
                <w:sz w:val="20"/>
                <w:szCs w:val="20"/>
                <w:color w:val="auto"/>
              </w:rPr>
            </w:pPr>
            <w:r>
              <w:rPr>
                <w:rFonts w:ascii="Arial" w:cs="Arial" w:eastAsia="Arial" w:hAnsi="Arial"/>
                <w:sz w:val="13"/>
                <w:szCs w:val="13"/>
                <w:b w:val="1"/>
                <w:bCs w:val="1"/>
                <w:color w:val="auto"/>
                <w:w w:val="91"/>
              </w:rPr>
              <w:t>options, warrants and rights</w:t>
            </w:r>
            <w:r>
              <w:rPr>
                <w:rFonts w:ascii="Arial" w:cs="Arial" w:eastAsia="Arial" w:hAnsi="Arial"/>
                <w:sz w:val="20"/>
                <w:szCs w:val="20"/>
                <w:b w:val="1"/>
                <w:bCs w:val="1"/>
                <w:color w:val="auto"/>
                <w:w w:val="91"/>
                <w:vertAlign w:val="superscript"/>
              </w:rPr>
              <w:t>(1)</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reflected in column (a))</w:t>
            </w:r>
          </w:p>
        </w:tc>
      </w:tr>
      <w:tr>
        <w:trPr>
          <w:trHeight w:val="201"/>
        </w:trPr>
        <w:tc>
          <w:tcPr>
            <w:tcW w:w="20" w:type="dxa"/>
            <w:vAlign w:val="bottom"/>
          </w:tcPr>
          <w:p>
            <w:pPr>
              <w:spacing w:after="0"/>
              <w:rPr>
                <w:sz w:val="17"/>
                <w:szCs w:val="17"/>
                <w:color w:val="auto"/>
              </w:rPr>
            </w:pPr>
          </w:p>
        </w:tc>
        <w:tc>
          <w:tcPr>
            <w:tcW w:w="2320" w:type="dxa"/>
            <w:vAlign w:val="bottom"/>
            <w:tcBorders>
              <w:top w:val="single" w:sz="8" w:color="auto"/>
            </w:tcBorders>
            <w:shd w:val="clear" w:color="auto" w:fill="D8D8D8"/>
          </w:tcPr>
          <w:p>
            <w:pPr>
              <w:spacing w:after="0" w:line="201" w:lineRule="exact"/>
              <w:rPr>
                <w:sz w:val="20"/>
                <w:szCs w:val="20"/>
                <w:color w:val="auto"/>
              </w:rPr>
            </w:pPr>
            <w:r>
              <w:rPr>
                <w:rFonts w:ascii="Arial" w:cs="Arial" w:eastAsia="Arial" w:hAnsi="Arial"/>
                <w:sz w:val="18"/>
                <w:szCs w:val="18"/>
                <w:color w:val="auto"/>
              </w:rPr>
              <w:t>Equity compensation plans</w:t>
            </w:r>
          </w:p>
        </w:tc>
        <w:tc>
          <w:tcPr>
            <w:tcW w:w="700" w:type="dxa"/>
            <w:vAlign w:val="bottom"/>
            <w:tcBorders>
              <w:top w:val="single" w:sz="8" w:color="D8D8D8"/>
            </w:tcBorders>
            <w:shd w:val="clear" w:color="auto" w:fill="D8D8D8"/>
          </w:tcPr>
          <w:p>
            <w:pPr>
              <w:spacing w:after="0"/>
              <w:rPr>
                <w:sz w:val="17"/>
                <w:szCs w:val="17"/>
                <w:color w:val="auto"/>
              </w:rPr>
            </w:pPr>
          </w:p>
        </w:tc>
        <w:tc>
          <w:tcPr>
            <w:tcW w:w="1740" w:type="dxa"/>
            <w:vAlign w:val="bottom"/>
            <w:tcBorders>
              <w:top w:val="single" w:sz="8" w:color="auto"/>
            </w:tcBorders>
            <w:shd w:val="clear" w:color="auto" w:fill="D8D8D8"/>
          </w:tcPr>
          <w:p>
            <w:pPr>
              <w:spacing w:after="0"/>
              <w:rPr>
                <w:sz w:val="17"/>
                <w:szCs w:val="17"/>
                <w:color w:val="auto"/>
              </w:rPr>
            </w:pPr>
          </w:p>
        </w:tc>
        <w:tc>
          <w:tcPr>
            <w:tcW w:w="1720" w:type="dxa"/>
            <w:vAlign w:val="bottom"/>
            <w:tcBorders>
              <w:top w:val="single" w:sz="8" w:color="D8D8D8"/>
            </w:tcBorders>
            <w:shd w:val="clear" w:color="auto" w:fill="D8D8D8"/>
          </w:tcPr>
          <w:p>
            <w:pPr>
              <w:spacing w:after="0"/>
              <w:rPr>
                <w:sz w:val="17"/>
                <w:szCs w:val="17"/>
                <w:color w:val="auto"/>
              </w:rPr>
            </w:pPr>
          </w:p>
        </w:tc>
        <w:tc>
          <w:tcPr>
            <w:tcW w:w="1760" w:type="dxa"/>
            <w:vAlign w:val="bottom"/>
            <w:tcBorders>
              <w:top w:val="single" w:sz="8" w:color="auto"/>
            </w:tcBorders>
            <w:shd w:val="clear" w:color="auto" w:fill="D8D8D8"/>
          </w:tcPr>
          <w:p>
            <w:pPr>
              <w:spacing w:after="0"/>
              <w:rPr>
                <w:sz w:val="17"/>
                <w:szCs w:val="17"/>
                <w:color w:val="auto"/>
              </w:rPr>
            </w:pPr>
          </w:p>
        </w:tc>
        <w:tc>
          <w:tcPr>
            <w:tcW w:w="1240" w:type="dxa"/>
            <w:vAlign w:val="bottom"/>
            <w:tcBorders>
              <w:top w:val="single" w:sz="8" w:color="D8D8D8"/>
            </w:tcBorders>
            <w:shd w:val="clear" w:color="auto" w:fill="D8D8D8"/>
          </w:tcPr>
          <w:p>
            <w:pPr>
              <w:spacing w:after="0"/>
              <w:rPr>
                <w:sz w:val="17"/>
                <w:szCs w:val="17"/>
                <w:color w:val="auto"/>
              </w:rPr>
            </w:pPr>
          </w:p>
        </w:tc>
        <w:tc>
          <w:tcPr>
            <w:tcW w:w="1820" w:type="dxa"/>
            <w:vAlign w:val="bottom"/>
            <w:tcBorders>
              <w:top w:val="single" w:sz="8" w:color="auto"/>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020" w:type="dxa"/>
            <w:vAlign w:val="bottom"/>
            <w:gridSpan w:val="2"/>
            <w:shd w:val="clear" w:color="auto" w:fill="D8D8D8"/>
          </w:tcPr>
          <w:p>
            <w:pPr>
              <w:ind w:left="200"/>
              <w:spacing w:after="0"/>
              <w:rPr>
                <w:sz w:val="20"/>
                <w:szCs w:val="20"/>
                <w:color w:val="auto"/>
              </w:rPr>
            </w:pPr>
            <w:r>
              <w:rPr>
                <w:rFonts w:ascii="Arial" w:cs="Arial" w:eastAsia="Arial" w:hAnsi="Arial"/>
                <w:sz w:val="18"/>
                <w:szCs w:val="18"/>
                <w:color w:val="auto"/>
              </w:rPr>
              <w:t>approved by security holders</w:t>
            </w:r>
          </w:p>
        </w:tc>
        <w:tc>
          <w:tcPr>
            <w:tcW w:w="17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45,625,916</w:t>
            </w:r>
            <w:r>
              <w:rPr>
                <w:rFonts w:ascii="Arial" w:cs="Arial" w:eastAsia="Arial" w:hAnsi="Arial"/>
                <w:sz w:val="11"/>
                <w:szCs w:val="11"/>
                <w:color w:val="auto"/>
              </w:rPr>
              <w:t>(2)</w:t>
            </w:r>
          </w:p>
        </w:tc>
        <w:tc>
          <w:tcPr>
            <w:tcW w:w="1720" w:type="dxa"/>
            <w:vAlign w:val="bottom"/>
            <w:shd w:val="clear" w:color="auto" w:fill="D8D8D8"/>
          </w:tcPr>
          <w:p>
            <w:pPr>
              <w:spacing w:after="0"/>
              <w:rPr>
                <w:sz w:val="19"/>
                <w:szCs w:val="19"/>
                <w:color w:val="auto"/>
              </w:rPr>
            </w:pPr>
          </w:p>
        </w:tc>
        <w:tc>
          <w:tcPr>
            <w:tcW w:w="3000" w:type="dxa"/>
            <w:vAlign w:val="bottom"/>
            <w:gridSpan w:val="2"/>
            <w:shd w:val="clear" w:color="auto" w:fill="D8D8D8"/>
          </w:tcPr>
          <w:p>
            <w:pPr>
              <w:jc w:val="right"/>
              <w:ind w:right="1240"/>
              <w:spacing w:after="0"/>
              <w:rPr>
                <w:sz w:val="20"/>
                <w:szCs w:val="20"/>
                <w:color w:val="auto"/>
              </w:rPr>
            </w:pPr>
            <w:r>
              <w:rPr>
                <w:rFonts w:ascii="Arial" w:cs="Arial" w:eastAsia="Arial" w:hAnsi="Arial"/>
                <w:sz w:val="18"/>
                <w:szCs w:val="18"/>
                <w:color w:val="auto"/>
              </w:rPr>
              <w:t>$63.93</w:t>
            </w:r>
          </w:p>
        </w:tc>
        <w:tc>
          <w:tcPr>
            <w:tcW w:w="192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11,297,415</w:t>
            </w:r>
            <w:r>
              <w:rPr>
                <w:rFonts w:ascii="Arial" w:cs="Arial" w:eastAsia="Arial" w:hAnsi="Arial"/>
                <w:sz w:val="11"/>
                <w:szCs w:val="11"/>
                <w:color w:val="auto"/>
              </w:rPr>
              <w:t>(3)</w:t>
            </w:r>
          </w:p>
        </w:tc>
      </w:tr>
      <w:tr>
        <w:trPr>
          <w:trHeight w:val="208"/>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approved by security holders</w:t>
            </w:r>
          </w:p>
        </w:tc>
        <w:tc>
          <w:tcPr>
            <w:tcW w:w="3460" w:type="dxa"/>
            <w:vAlign w:val="bottom"/>
            <w:gridSpan w:val="2"/>
          </w:tcPr>
          <w:p>
            <w:pPr>
              <w:jc w:val="right"/>
              <w:ind w:right="1720"/>
              <w:spacing w:after="0"/>
              <w:rPr>
                <w:sz w:val="20"/>
                <w:szCs w:val="20"/>
                <w:color w:val="auto"/>
              </w:rPr>
            </w:pPr>
            <w:r>
              <w:rPr>
                <w:rFonts w:ascii="Arial" w:cs="Arial" w:eastAsia="Arial" w:hAnsi="Arial"/>
                <w:sz w:val="18"/>
                <w:szCs w:val="18"/>
                <w:color w:val="auto"/>
              </w:rPr>
              <w:t>N/A</w:t>
            </w:r>
          </w:p>
        </w:tc>
        <w:tc>
          <w:tcPr>
            <w:tcW w:w="3000" w:type="dxa"/>
            <w:vAlign w:val="bottom"/>
            <w:gridSpan w:val="2"/>
          </w:tcPr>
          <w:p>
            <w:pPr>
              <w:jc w:val="right"/>
              <w:ind w:right="1240"/>
              <w:spacing w:after="0"/>
              <w:rPr>
                <w:sz w:val="20"/>
                <w:szCs w:val="20"/>
                <w:color w:val="auto"/>
              </w:rPr>
            </w:pPr>
            <w:r>
              <w:rPr>
                <w:rFonts w:ascii="Arial" w:cs="Arial" w:eastAsia="Arial" w:hAnsi="Arial"/>
                <w:sz w:val="18"/>
                <w:szCs w:val="18"/>
                <w:color w:val="auto"/>
              </w:rPr>
              <w:t>N/A</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45,625,916</w:t>
            </w:r>
            <w:r>
              <w:rPr>
                <w:rFonts w:ascii="Arial" w:cs="Arial" w:eastAsia="Arial" w:hAnsi="Arial"/>
                <w:sz w:val="11"/>
                <w:szCs w:val="11"/>
                <w:color w:val="auto"/>
              </w:rPr>
              <w:t>(2)</w:t>
            </w:r>
          </w:p>
        </w:tc>
        <w:tc>
          <w:tcPr>
            <w:tcW w:w="1720" w:type="dxa"/>
            <w:vAlign w:val="bottom"/>
            <w:shd w:val="clear" w:color="auto" w:fill="D8D8D8"/>
          </w:tcPr>
          <w:p>
            <w:pPr>
              <w:spacing w:after="0"/>
              <w:rPr>
                <w:sz w:val="18"/>
                <w:szCs w:val="18"/>
                <w:color w:val="auto"/>
              </w:rPr>
            </w:pPr>
          </w:p>
        </w:tc>
        <w:tc>
          <w:tcPr>
            <w:tcW w:w="3000" w:type="dxa"/>
            <w:vAlign w:val="bottom"/>
            <w:tcBorders>
              <w:top w:val="single" w:sz="8" w:color="auto"/>
            </w:tcBorders>
            <w:gridSpan w:val="2"/>
            <w:shd w:val="clear" w:color="auto" w:fill="D8D8D8"/>
          </w:tcPr>
          <w:p>
            <w:pPr>
              <w:jc w:val="right"/>
              <w:ind w:right="1240"/>
              <w:spacing w:after="0"/>
              <w:rPr>
                <w:sz w:val="20"/>
                <w:szCs w:val="20"/>
                <w:color w:val="auto"/>
              </w:rPr>
            </w:pPr>
            <w:r>
              <w:rPr>
                <w:rFonts w:ascii="Arial" w:cs="Arial" w:eastAsia="Arial" w:hAnsi="Arial"/>
                <w:sz w:val="18"/>
                <w:szCs w:val="18"/>
                <w:color w:val="auto"/>
              </w:rPr>
              <w:t>$63.93</w:t>
            </w:r>
          </w:p>
        </w:tc>
        <w:tc>
          <w:tcPr>
            <w:tcW w:w="1920" w:type="dxa"/>
            <w:vAlign w:val="bottom"/>
            <w:tcBorders>
              <w:top w:val="single" w:sz="8" w:color="auto"/>
            </w:tcBorders>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11,297,415</w:t>
            </w:r>
            <w:r>
              <w:rPr>
                <w:rFonts w:ascii="Arial" w:cs="Arial" w:eastAsia="Arial" w:hAnsi="Arial"/>
                <w:sz w:val="11"/>
                <w:szCs w:val="1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00" w:hanging="451"/>
        <w:spacing w:after="0"/>
        <w:tabs>
          <w:tab w:leader="none" w:pos="5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weighted average price does not take into account the shares issuable upon vesting of outstanding restricted stock units, which have no exercise price.</w:t>
      </w:r>
    </w:p>
    <w:p>
      <w:pPr>
        <w:spacing w:after="0" w:line="111" w:lineRule="exact"/>
        <w:rPr>
          <w:rFonts w:ascii="Arial" w:cs="Arial" w:eastAsia="Arial" w:hAnsi="Arial"/>
          <w:sz w:val="15"/>
          <w:szCs w:val="15"/>
          <w:color w:val="auto"/>
        </w:rPr>
      </w:pPr>
    </w:p>
    <w:p>
      <w:pPr>
        <w:ind w:left="500" w:hanging="451"/>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172,254 shares of common stock issuable upon the exercise of outstanding stock options assumed in the acquisition of Smith.</w:t>
      </w:r>
    </w:p>
    <w:p>
      <w:pPr>
        <w:spacing w:after="0" w:line="90" w:lineRule="exact"/>
        <w:rPr>
          <w:rFonts w:ascii="Arial" w:cs="Arial" w:eastAsia="Arial" w:hAnsi="Arial"/>
          <w:sz w:val="18"/>
          <w:szCs w:val="18"/>
          <w:color w:val="auto"/>
        </w:rPr>
      </w:pPr>
    </w:p>
    <w:p>
      <w:pPr>
        <w:ind w:left="500" w:hanging="451"/>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179,687 shares of common stock issuable under Schlumberger’s 2004 Stock and Deferral Plan for Non-Employee Directors.</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Equity compensation plans approved by Schlumberger stockholders include the 2010 Schlumberger Omnibus Stock Incentive Plan; the Schlumberger Discounted Stock Purchase Plan, as amended; the Schlumberger 2004 Stock and Deferral Plan for Non-Employee Directors; the Schlumberger 2008 Stock Incentive Plan, as amended; and the Schlumberger 2005 Stock Incentive Plan, as amended; the Schlumberger 2001 Stock Option Plan, as amended; the Schlumberger 1998 Stock Option Plan, as amended; and the Schlumberger 1994 Stock Option Plan, as amended.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Item 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 APPROVAL OF THE AMENDMENT AND RESTATEMENT OF THE SCHLUMBERGER DISCOUNTED STOCK PURCHASE PLAN</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requesting that our stockholders vote in favor of approving an amendment and restatement of the Schlumberger Discounted Stock Purchase Plan (as amended, the “DSPP”), that would increase the number of shares available for purchase under the DSPP by 22,000,000 shares. The proposed amendment and restatement of the DSPP was approved by the Board as of January 1, 2013, subject to approval by our stockholders. No other changes are being made to the DSPP.</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DSPP was originally approved by the Board and our stockholders in 1988. In 1998 and in 2010, the DSPP was amended and restated with the approval of our stockholders. The DSPP was amended and restated in 2010 to increase the number of shares authorized for issuance under the DSPP by 10,000,000 and to update the DSPP to reflect changes to U.S. tax laws. The following summary of certain major features of the DSPP is subject to the specific provisions contained in the full text of the DSPP, which is attached to this proxy statement as Appendix B.</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amendment and restatement of the Discounted Stock Purchase Plan, provided that the total votes cast on the proposal represents over 50% of all shares entitled to vote on this Item. </w:t>
      </w:r>
      <w:r>
        <w:rPr>
          <w:rFonts w:ascii="Arial" w:cs="Arial" w:eastAsia="Arial" w:hAnsi="Arial"/>
          <w:sz w:val="16"/>
          <w:szCs w:val="16"/>
          <w:i w:val="1"/>
          <w:iCs w:val="1"/>
          <w:color w:val="auto"/>
        </w:rPr>
        <w:t>Brokers do not have discretion to vote on this proposal without your</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instruction. If you do not instruct your broker how to vote on this 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DSPP and Proposed Amendment and Restatement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DSPP is designed to encourage and assist all employees of Schlumberger and its subsidiaries to acquire an equity interest in Schlumberger through the purchase of common stock. The proposed amendment and restatement is designed to allow an additional 22,000,000 shares to be granted pursuant to the DSPP, which will insure that a sufficient number of shares will be available under the DSPP for future purchase periods. A total of zero shares currently remain available for purchase under the DSPP; during 2012, a total of 4,290,058 shares were purchased under the DSPP. If the proposed amendment and restatement is approved, an aggregate of 22,000,000 shares will be available for purchase under the DSPP.</w:t>
      </w:r>
    </w:p>
    <w:p>
      <w:pPr>
        <w:spacing w:after="0" w:line="35" w:lineRule="exact"/>
        <w:rPr>
          <w:sz w:val="20"/>
          <w:szCs w:val="20"/>
          <w:color w:val="auto"/>
        </w:rPr>
      </w:pPr>
    </w:p>
    <w:p>
      <w:pPr>
        <w:ind w:right="960" w:firstLine="456"/>
        <w:spacing w:after="0" w:line="438" w:lineRule="auto"/>
        <w:rPr>
          <w:sz w:val="20"/>
          <w:szCs w:val="20"/>
          <w:color w:val="auto"/>
        </w:rPr>
      </w:pPr>
      <w:r>
        <w:rPr>
          <w:rFonts w:ascii="Arial" w:cs="Arial" w:eastAsia="Arial" w:hAnsi="Arial"/>
          <w:sz w:val="18"/>
          <w:szCs w:val="18"/>
          <w:color w:val="auto"/>
        </w:rPr>
        <w:t xml:space="preserve">The DSPP is intended to constitute an “employee stock purchase plan” under Section 423 of the Internal Revenue Code of 1986 (the “Code”). </w:t>
      </w:r>
      <w:r>
        <w:rPr>
          <w:rFonts w:ascii="Arial" w:cs="Arial" w:eastAsia="Arial" w:hAnsi="Arial"/>
          <w:sz w:val="18"/>
          <w:szCs w:val="18"/>
          <w:b w:val="1"/>
          <w:bCs w:val="1"/>
          <w:color w:val="auto"/>
        </w:rPr>
        <w:t>Administration</w:t>
      </w:r>
    </w:p>
    <w:p>
      <w:pPr>
        <w:spacing w:after="0" w:line="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DSPP is administered by a committee of at least three persons appointed by the Board (the “DSPP Committee”). The DSPP Committee has the full power and authority to:</w:t>
      </w:r>
    </w:p>
    <w:p>
      <w:pPr>
        <w:spacing w:after="0" w:line="51"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employ and compensate agents for the purpose of administering the accounts of participating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construe and interpret the DSPP;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determine all questions of eligibility;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compute the amount and determine the manner and time of payment of all benefits.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key provisions of the DSPP Plan.</w:t>
      </w:r>
    </w:p>
    <w:p>
      <w:pPr>
        <w:sectPr>
          <w:pgSz w:w="11900" w:h="16838" w:orient="portrait"/>
          <w:cols w:equalWidth="0" w:num="1">
            <w:col w:w="11400"/>
          </w:cols>
          <w:pgMar w:left="240" w:top="459" w:right="25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Eligible Participants: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employees of Schlumberger (including officers) and its subsidiaries (connected to Schlumberger by at least a 50% ownership</w:t>
      </w:r>
    </w:p>
    <w:p>
      <w:pPr>
        <w:spacing w:after="0" w:line="118"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459" w:right="2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Shares Available for Issuance Under the DSPP: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 of Payment: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chain) are eligible to participate in the DSPP, except as described below under “Ineligible Participants.” As of January 1, 2013, there were approximately 95,000 employees who were eligible to participate in the DSPP.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-960120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employees are not eligible to participate in the DSPP (unless otherwise required by applicable law):</w:t>
      </w:r>
    </w:p>
    <w:p>
      <w:pPr>
        <w:spacing w:after="0" w:line="51" w:lineRule="exact"/>
        <w:rPr>
          <w:sz w:val="20"/>
          <w:szCs w:val="20"/>
          <w:color w:val="auto"/>
        </w:rPr>
      </w:pPr>
    </w:p>
    <w:p>
      <w:pPr>
        <w:ind w:left="440" w:right="40" w:hanging="161"/>
        <w:spacing w:after="0" w:line="306"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DSPP, own, directly or indirectly, or hold options or rights to acquire, an aggregate of 5% or more of the total combined voting power or value of all outstanding shares of all classes of our stock or our subsidiaries’ stock;</w:t>
      </w:r>
    </w:p>
    <w:p>
      <w:pPr>
        <w:spacing w:after="0" w:line="25" w:lineRule="exact"/>
        <w:rPr>
          <w:rFonts w:ascii="Arial" w:cs="Arial" w:eastAsia="Arial" w:hAnsi="Arial"/>
          <w:sz w:val="16"/>
          <w:szCs w:val="16"/>
          <w:color w:val="auto"/>
        </w:rPr>
      </w:pPr>
    </w:p>
    <w:p>
      <w:pPr>
        <w:ind w:left="440" w:right="120" w:hanging="161"/>
        <w:spacing w:after="0" w:line="268"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employees who are customarily employed by us less than twenty hours per week or less than five months in any calendar year; and</w:t>
      </w:r>
    </w:p>
    <w:p>
      <w:pPr>
        <w:spacing w:after="0" w:line="50" w:lineRule="exact"/>
        <w:rPr>
          <w:rFonts w:ascii="Arial" w:cs="Arial" w:eastAsia="Arial" w:hAnsi="Arial"/>
          <w:sz w:val="18"/>
          <w:szCs w:val="18"/>
          <w:color w:val="auto"/>
        </w:rPr>
      </w:pPr>
    </w:p>
    <w:p>
      <w:pPr>
        <w:ind w:left="440" w:right="160" w:hanging="161"/>
        <w:spacing w:after="0" w:line="332"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employees who are prohibited by the laws and regulations of the nation of their residence or employment from participating in the DSPP as determined by the DSPP Committee.</w:t>
      </w:r>
    </w:p>
    <w:p>
      <w:pPr>
        <w:spacing w:after="0" w:line="4"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Zero shares currently remain available for purchase under the DSPP. If the proposed amendment and restatement is approved, an additional 22,000,000 shares would be newly approved for purchase, and an aggregate of 22,000,000 shares will be available for purchase under the DSPP. As of March</w:t>
      </w:r>
    </w:p>
    <w:p>
      <w:pPr>
        <w:spacing w:after="0" w:line="1" w:lineRule="exact"/>
        <w:rPr>
          <w:sz w:val="20"/>
          <w:szCs w:val="20"/>
          <w:color w:val="auto"/>
        </w:rPr>
      </w:pPr>
    </w:p>
    <w:p>
      <w:pPr>
        <w:ind w:left="240" w:hanging="237"/>
        <w:spacing w:after="0"/>
        <w:tabs>
          <w:tab w:leader="none" w:pos="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2013, the mean between the high and low sales prices of Schlumberger common stock on the</w:t>
      </w:r>
    </w:p>
    <w:p>
      <w:pPr>
        <w:spacing w:after="0" w:line="32"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New York Stock Exchange was $[</w:t>
      </w:r>
      <w:r>
        <w:rPr>
          <w:sz w:val="20"/>
          <w:szCs w:val="20"/>
          <w:color w:val="auto"/>
        </w:rPr>
        <w:tab/>
      </w:r>
      <w:r>
        <w:rPr>
          <w:rFonts w:ascii="Arial" w:cs="Arial" w:eastAsia="Arial" w:hAnsi="Arial"/>
          <w:sz w:val="15"/>
          <w:szCs w:val="15"/>
          <w:color w:val="auto"/>
        </w:rPr>
        <w:t>] per share.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There are two purchase periods each calendar year: January 1 to June 30 and July 1 to December 31.</w:t>
      </w:r>
    </w:p>
    <w:p>
      <w:pPr>
        <w:spacing w:after="0" w:line="13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cost to a participant for shares of our common stock purchased during a purchase period is equal to 92.5% of the lower of:</w:t>
      </w:r>
    </w:p>
    <w:p>
      <w:pPr>
        <w:spacing w:after="0" w:line="51" w:lineRule="exact"/>
        <w:rPr>
          <w:sz w:val="20"/>
          <w:szCs w:val="20"/>
          <w:color w:val="auto"/>
        </w:rPr>
      </w:pPr>
    </w:p>
    <w:p>
      <w:pPr>
        <w:ind w:left="440" w:right="20" w:hanging="161"/>
        <w:spacing w:after="0" w:line="332"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fair market value of a share of our common stock on the grant date (the first trading day of a purchase period or such other trading day determined by the DSPP Committee); and</w:t>
      </w:r>
    </w:p>
    <w:p>
      <w:pPr>
        <w:spacing w:after="0" w:line="4" w:lineRule="exact"/>
        <w:rPr>
          <w:rFonts w:ascii="Arial" w:cs="Arial" w:eastAsia="Arial" w:hAnsi="Arial"/>
          <w:sz w:val="16"/>
          <w:szCs w:val="16"/>
          <w:color w:val="auto"/>
        </w:rPr>
      </w:pPr>
    </w:p>
    <w:p>
      <w:pPr>
        <w:ind w:left="440" w:right="280" w:hanging="161"/>
        <w:spacing w:after="0" w:line="357" w:lineRule="auto"/>
        <w:tabs>
          <w:tab w:leader="none" w:pos="4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fair market value of a share of our common stock on the purchase date (the last trading day of a purchase period or such other trading day determined by the DSPP Committee).</w:t>
      </w:r>
    </w:p>
    <w:p>
      <w:pPr>
        <w:ind w:right="300"/>
        <w:spacing w:after="0" w:line="332" w:lineRule="auto"/>
        <w:rPr>
          <w:sz w:val="20"/>
          <w:szCs w:val="20"/>
          <w:color w:val="auto"/>
        </w:rPr>
      </w:pPr>
      <w:r>
        <w:rPr>
          <w:rFonts w:ascii="Arial" w:cs="Arial" w:eastAsia="Arial" w:hAnsi="Arial"/>
          <w:sz w:val="16"/>
          <w:szCs w:val="16"/>
          <w:color w:val="auto"/>
        </w:rPr>
        <w:t>“Fair market value” is determined by averaging the highest and lowest composite sale prices per share of our common stock on the New York Stock Exchange on a date.</w:t>
      </w:r>
    </w:p>
    <w:p>
      <w:pPr>
        <w:spacing w:after="0" w:line="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Each DSPP participant may make contributions through payroll deductions from one to ten percent of his or her eligible compensation. A participant’s contributions, together with interest on such contributions and dividends on shares held in the DSPP, where applicable, are used to purchase shares of common stock at the end of each purchase period.</w:t>
      </w:r>
    </w:p>
    <w:p>
      <w:pPr>
        <w:spacing w:after="0" w:line="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a participant’s contributions during a purchase period exceed $11,562.50, or if the purchase of shares with such allocations would exceed the share limitations discussed above under “Shares Available for Issuance Under the DSPP,” such excess amounts will be refunded to the participant as soon as administratively feasible.</w:t>
      </w:r>
    </w:p>
    <w:p>
      <w:pPr>
        <w:spacing w:after="0" w:line="13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70</w:t>
      </w:r>
    </w:p>
    <w:p>
      <w:pPr>
        <w:sectPr>
          <w:pgSz w:w="11900" w:h="16838" w:orient="portrait"/>
          <w:cols w:equalWidth="0" w:num="2">
            <w:col w:w="3620" w:space="720"/>
            <w:col w:w="708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Maximum Number of Shares: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Withdrawal of Shares: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Termination of Rights to Participate in the DSPP:</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and Termination of the DSPP: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participant may not purchase shares of our common stock under the DSPP having a fair market value in excess of $25,000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-828040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the first trading day of a purchase period, the maximum number of shares that may be purchased by a participant in that purchase period will be determined by dividing $12,500 by the fair market value of a share on that date.</w:t>
      </w:r>
    </w:p>
    <w:p>
      <w:pPr>
        <w:spacing w:after="0" w:line="5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participant may elect to withdraw previously purchased shares held in his or her account at any time (without withdrawing from the DSPP).</w:t>
      </w:r>
    </w:p>
    <w:p>
      <w:pPr>
        <w:spacing w:after="0" w:line="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right to participate in the DSPP terminates immediately when a participant ceases to be employed by us for any reason (including death, unpaid disability or when the participant’s employer ceases to be a subsidiary) or the participant otherwise becomes ineligible or withdraws his or her contributions from the DSPP.</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limited exceptions, the Board may amend or terminate the DSPP at any time. No amendment will be effective unless within one year after it is adopted by the Board it is approved by the holders of a majority of the votes cast at a meeting if such amendment would otherwise cause the rights granted under the DSPP to purchase shares of our common stock to fail to meet the requirements of Section 423 of the Code. Section 423 currently requires stockholder approval of a plan amendment that would (1) change the number of shares subject to the DSPP, or (2) change the class of employees eligible to participate in the DSPP.</w:t>
      </w:r>
    </w:p>
    <w:p>
      <w:pPr>
        <w:spacing w:after="0" w:line="112" w:lineRule="exact"/>
        <w:rPr>
          <w:sz w:val="20"/>
          <w:szCs w:val="20"/>
          <w:color w:val="auto"/>
        </w:rPr>
      </w:pPr>
    </w:p>
    <w:p>
      <w:pPr>
        <w:sectPr>
          <w:pgSz w:w="11900" w:h="16838" w:orient="portrait"/>
          <w:cols w:equalWidth="0" w:num="2">
            <w:col w:w="3620" w:space="720"/>
            <w:col w:w="7060"/>
          </w:cols>
          <w:pgMar w:left="240" w:top="459" w:right="259" w:bottom="1440" w:gutter="0" w:footer="0" w:header="0"/>
        </w:sectPr>
      </w:pPr>
    </w:p>
    <w:p>
      <w:pPr>
        <w:spacing w:after="0"/>
        <w:rPr>
          <w:sz w:val="20"/>
          <w:szCs w:val="20"/>
          <w:color w:val="auto"/>
        </w:rPr>
      </w:pPr>
      <w:r>
        <w:rPr>
          <w:rFonts w:ascii="Arial" w:cs="Arial" w:eastAsia="Arial" w:hAnsi="Arial"/>
          <w:sz w:val="18"/>
          <w:szCs w:val="18"/>
          <w:b w:val="1"/>
          <w:bCs w:val="1"/>
          <w:color w:val="auto"/>
        </w:rPr>
        <w:t>U.S. Federal Income Tax Consequences to Schlumberger and to Participants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DSPP may vary according to country of participation. Also, the tax consequences of participating in the DSPP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DSPP is intended to qualify as an “employee stock purchase plan” under Section 423 of the Code. Amounts withheld from pay under the DSPP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 purchase period) or when the right to purchase common stock is exercised (on the last day of the purchase period).</w:t>
      </w:r>
    </w:p>
    <w:p>
      <w:pPr>
        <w:spacing w:after="0" w:line="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participant holds the common stock purchased under the DSPP for at least two years after the first day of the purchase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26"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excess of the fair market value of the common stock on the date of disposition over the price paid for the common stock;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fair market value of the common stock on the Enrollment Date multiplied by the original 7.5% discount.</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If the participant disposes of the common stock within two years after the Enrollment Date or within one year after the Exercise Date, he or she will recognize ordinary income equal to the fair market value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Common Stock on the Exercise Date in which the common stock was acquired less the amount paid for the common stock. The ordinary income recognition pertains to any disposition of common stock acquired under the DSPP (such as by sale, exchange or gift).</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Upon disposition of the common stock acquired under the DSPP, any gain realized in excess of the amount reported as ordinary income will be reportable by the participant as a capital gain, and any loss will be reportable as a capital loss. Capital gain or loss will be long-term if the employee has satisfied the holding periods requirement described above or, in any event, if the employee has held the common stock for at least one year. Otherwise, the capital gain or loss will be short-term. If the participant satisfies the statutory holding periods, described above, for common stock purchased under the DSPP, we will not receive any deduction for federal income tax purposes. If the participant does not satisfy the holding periods, we will be entitled to a deduction in an amount equal to the amount that is considered ordinary income taxable to the participant. We are entitled to a compensation expense deduction under Section 162 of the Code only to the extent that ordinary income is realized by the participant as a result of a disqualifying disposition.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Since participation in the plan is voluntary and we are unable to predict the future value of our common stock, we cannot currently determine the benefits or amounts that will be received in the future by any person or group under the DSPP. The following table sets forth the number of shares purchased under the DSPP during 2012 by our Chief Executive Officer, the other named executive officers, executive officers as a group and all employees as a group, other than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Dollar Value</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9120" w:type="dxa"/>
            <w:vAlign w:val="bottom"/>
            <w:gridSpan w:val="2"/>
            <w:vMerge w:val="continue"/>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10"/>
        </w:trPr>
        <w:tc>
          <w:tcPr>
            <w:tcW w:w="890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P. Kibsgaard</w:t>
            </w:r>
          </w:p>
        </w:tc>
        <w:tc>
          <w:tcPr>
            <w:tcW w:w="220" w:type="dxa"/>
            <w:vAlign w:val="bottom"/>
            <w:tcBorders>
              <w:top w:val="single" w:sz="8" w:color="D8D8D8"/>
            </w:tcBorders>
            <w:shd w:val="clear" w:color="auto" w:fill="D8D8D8"/>
          </w:tcPr>
          <w:p>
            <w:pPr>
              <w:spacing w:after="0"/>
              <w:rPr>
                <w:sz w:val="18"/>
                <w:szCs w:val="18"/>
                <w:color w:val="auto"/>
              </w:rPr>
            </w:pPr>
          </w:p>
        </w:tc>
        <w:tc>
          <w:tcPr>
            <w:tcW w:w="104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D8D8D8"/>
            </w:tcBorders>
            <w:shd w:val="clear" w:color="auto" w:fill="D8D8D8"/>
          </w:tcPr>
          <w:p>
            <w:pPr>
              <w:spacing w:after="0"/>
              <w:rPr>
                <w:sz w:val="18"/>
                <w:szCs w:val="18"/>
                <w:color w:val="auto"/>
              </w:rPr>
            </w:pPr>
          </w:p>
        </w:tc>
        <w:tc>
          <w:tcPr>
            <w:tcW w:w="86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D8D8D8"/>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 Ayat</w:t>
            </w:r>
          </w:p>
        </w:tc>
        <w:tc>
          <w:tcPr>
            <w:tcW w:w="1040" w:type="dxa"/>
            <w:vAlign w:val="bottom"/>
          </w:tcPr>
          <w:p>
            <w:pPr>
              <w:jc w:val="right"/>
              <w:spacing w:after="0"/>
              <w:rPr>
                <w:sz w:val="20"/>
                <w:szCs w:val="20"/>
                <w:color w:val="auto"/>
              </w:rPr>
            </w:pPr>
            <w:r>
              <w:rPr>
                <w:rFonts w:ascii="Arial" w:cs="Arial" w:eastAsia="Arial" w:hAnsi="Arial"/>
                <w:sz w:val="18"/>
                <w:szCs w:val="18"/>
                <w:color w:val="auto"/>
              </w:rPr>
              <w:t>19,473</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S. Pai</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15,791</w:t>
            </w:r>
          </w:p>
        </w:tc>
        <w:tc>
          <w:tcPr>
            <w:tcW w:w="30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K.-E. Oestdahl</w:t>
            </w:r>
          </w:p>
        </w:tc>
        <w:tc>
          <w:tcPr>
            <w:tcW w:w="1040" w:type="dxa"/>
            <w:vAlign w:val="bottom"/>
          </w:tcPr>
          <w:p>
            <w:pPr>
              <w:jc w:val="right"/>
              <w:spacing w:after="0"/>
              <w:rPr>
                <w:sz w:val="20"/>
                <w:szCs w:val="20"/>
                <w:color w:val="auto"/>
              </w:rPr>
            </w:pPr>
            <w:r>
              <w:rPr>
                <w:rFonts w:ascii="Arial" w:cs="Arial" w:eastAsia="Arial" w:hAnsi="Arial"/>
                <w:sz w:val="18"/>
                <w:szCs w:val="18"/>
                <w:color w:val="auto"/>
              </w:rPr>
              <w:t>22,129</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 Belani</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All executive officers as a group</w:t>
            </w:r>
          </w:p>
        </w:tc>
        <w:tc>
          <w:tcPr>
            <w:tcW w:w="1040" w:type="dxa"/>
            <w:vAlign w:val="bottom"/>
          </w:tcPr>
          <w:p>
            <w:pPr>
              <w:jc w:val="right"/>
              <w:spacing w:after="0"/>
              <w:rPr>
                <w:sz w:val="20"/>
                <w:szCs w:val="20"/>
                <w:color w:val="auto"/>
              </w:rPr>
            </w:pPr>
            <w:r>
              <w:rPr>
                <w:rFonts w:ascii="Arial" w:cs="Arial" w:eastAsia="Arial" w:hAnsi="Arial"/>
                <w:sz w:val="18"/>
                <w:szCs w:val="18"/>
                <w:color w:val="auto"/>
              </w:rPr>
              <w:t>245,504</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All employees as a group, excluding executive officers</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257,600,971</w:t>
            </w:r>
          </w:p>
        </w:tc>
        <w:tc>
          <w:tcPr>
            <w:tcW w:w="300" w:type="dxa"/>
            <w:vAlign w:val="bottom"/>
            <w:shd w:val="clear" w:color="auto" w:fill="D8D8D8"/>
          </w:tcPr>
          <w:p>
            <w:pPr>
              <w:spacing w:after="0"/>
              <w:rPr>
                <w:sz w:val="18"/>
                <w:szCs w:val="18"/>
                <w:color w:val="auto"/>
              </w:rPr>
            </w:pPr>
          </w:p>
        </w:tc>
        <w:tc>
          <w:tcPr>
            <w:tcW w:w="96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4,284,834</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Item 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OWNERSHIP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information as of December 31, 2012 with respect to persons known by the Company to be the beneficial owners of more than 5% of the Company’s common stock. This information is reported by such persons in their Schedule 13D and 13G filings with the SEC. For each entity included in the table below, percentage ownership is calculated by dividing the number of shares beneficially owned by such entity by the 1,328,255,773 shares of common stock outstanding on December 31, 2012.</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42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2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w w:val="85"/>
              </w:rPr>
              <w:t>Common Stock</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and Address</w:t>
            </w:r>
          </w:p>
        </w:tc>
        <w:tc>
          <w:tcPr>
            <w:tcW w:w="6860" w:type="dxa"/>
            <w:vAlign w:val="bottom"/>
            <w:vMerge w:val="restart"/>
          </w:tcPr>
          <w:p>
            <w:pPr>
              <w:spacing w:after="0"/>
              <w:rPr>
                <w:sz w:val="11"/>
                <w:szCs w:val="11"/>
                <w:color w:val="auto"/>
              </w:rPr>
            </w:pPr>
          </w:p>
        </w:tc>
        <w:tc>
          <w:tcPr>
            <w:tcW w:w="162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vMerge w:val="continue"/>
          </w:tcPr>
          <w:p>
            <w:pPr>
              <w:spacing w:after="0"/>
              <w:rPr>
                <w:sz w:val="14"/>
                <w:szCs w:val="14"/>
                <w:color w:val="auto"/>
              </w:rPr>
            </w:pPr>
          </w:p>
        </w:tc>
        <w:tc>
          <w:tcPr>
            <w:tcW w:w="6860" w:type="dxa"/>
            <w:vAlign w:val="bottom"/>
            <w:vMerge w:val="continue"/>
          </w:tcPr>
          <w:p>
            <w:pPr>
              <w:spacing w:after="0"/>
              <w:rPr>
                <w:sz w:val="14"/>
                <w:szCs w:val="14"/>
                <w:color w:val="auto"/>
              </w:rPr>
            </w:pPr>
          </w:p>
        </w:tc>
        <w:tc>
          <w:tcPr>
            <w:tcW w:w="162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gridSpan w:val="2"/>
          </w:tcPr>
          <w:p>
            <w:pPr>
              <w:jc w:val="right"/>
              <w:ind w:right="152"/>
              <w:spacing w:after="0" w:line="148" w:lineRule="exact"/>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181"/>
        </w:trPr>
        <w:tc>
          <w:tcPr>
            <w:tcW w:w="8020" w:type="dxa"/>
            <w:vAlign w:val="bottom"/>
            <w:gridSpan w:val="2"/>
          </w:tcPr>
          <w:p>
            <w:pPr>
              <w:spacing w:after="0" w:line="182"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8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78,893,584</w:t>
            </w:r>
          </w:p>
        </w:tc>
        <w:tc>
          <w:tcPr>
            <w:tcW w:w="780" w:type="dxa"/>
            <w:vAlign w:val="bottom"/>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5.9</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40 East 52nd Street</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975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36" w:lineRule="exact"/>
        <w:rPr>
          <w:sz w:val="20"/>
          <w:szCs w:val="20"/>
          <w:color w:val="auto"/>
        </w:rPr>
      </w:pPr>
    </w:p>
    <w:p>
      <w:pPr>
        <w:ind w:left="500" w:right="500" w:hanging="451"/>
        <w:spacing w:after="0" w:line="268"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solely on a Statement on Schedule 13G/A filed on February 8, 2012. Such filing indicates that BlackRock Inc. has sole voting power and sole investment power with respect to 78,893,584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Management</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sets forth information known to Schlumberger with respect to beneficial ownership of Schlumberger common stock as of January 31, 2013 by (i) each director and director nominee, (ii) each of the named executive officers and (iii) all directors and executive officers as a group.</w:t>
      </w:r>
    </w:p>
    <w:p>
      <w:pPr>
        <w:spacing w:after="0" w:line="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Beneficial ownership is determined under the rules of the SEC and generally includes voting or investment power with respect to securities. Except as indicated in the footnotes to the following table, to Schlumberger’s knowledge the persons named in the table below have sole voting and investment power with respect to all shares of Schlumberger common stock beneficially owned. The number of shares beneficially owned by each person or group as of January 31, 2013 includes shares of common stock that such person or group has the right to acquire within 60 days of January 31, 2013, including upon the exercise of options to purchase common stock or the vesting of restricted stock units. References to options in the footnotes to the table below include only options outstanding as of January 31, 2013 that are currently exercisable or that become exercisable within 60 days of January 31, 2013, and references to any restricted stock units in the footnotes to the table below include only restricted stock units outstanding as of January 31, 2013 are currently vested or that vest within 60 days of January 31, 2013.</w:t>
      </w:r>
    </w:p>
    <w:p>
      <w:pPr>
        <w:spacing w:after="0" w:line="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each individual and group included in the table below, percentage ownership is calculated by dividing the number of shares beneficially owned by such person or group by the sum of the 1,328,255,773 shares of common stock outstanding on December 31, 2012, plus the number of shares of common stock that such person or group had the right to acquire on or within 60 days after January 31, 2013.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As of January 31, 2013, no director, director nominee or named executive officer owned more than 1% of the outstanding shares of Schlumberger’s common stock. All directors and executive officers as a group owned less than 1% of the outstanding shares of our common stock at January 31, 2013.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bottom w:val="single" w:sz="8" w:color="D8D8D8"/>
            </w:tcBorders>
          </w:tcPr>
          <w:p>
            <w:pPr>
              <w:spacing w:after="0"/>
              <w:rPr>
                <w:sz w:val="15"/>
                <w:szCs w:val="15"/>
                <w:color w:val="auto"/>
              </w:rPr>
            </w:pPr>
          </w:p>
        </w:tc>
        <w:tc>
          <w:tcPr>
            <w:tcW w:w="11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Shares</w:t>
            </w:r>
          </w:p>
        </w:tc>
      </w:tr>
      <w:tr>
        <w:trPr>
          <w:trHeight w:val="210"/>
        </w:trPr>
        <w:tc>
          <w:tcPr>
            <w:tcW w:w="9700" w:type="dxa"/>
            <w:vAlign w:val="bottom"/>
            <w:shd w:val="clear" w:color="auto" w:fill="D8D8D8"/>
          </w:tcPr>
          <w:p>
            <w:pPr>
              <w:spacing w:after="0"/>
              <w:rPr>
                <w:sz w:val="20"/>
                <w:szCs w:val="20"/>
                <w:color w:val="auto"/>
              </w:rPr>
            </w:pPr>
            <w:r>
              <w:rPr>
                <w:rFonts w:ascii="Arial" w:cs="Arial" w:eastAsia="Arial" w:hAnsi="Arial"/>
                <w:sz w:val="18"/>
                <w:szCs w:val="18"/>
                <w:color w:val="auto"/>
              </w:rPr>
              <w:t>Simon Ayat</w:t>
            </w:r>
          </w:p>
        </w:tc>
        <w:tc>
          <w:tcPr>
            <w:tcW w:w="580" w:type="dxa"/>
            <w:vAlign w:val="bottom"/>
            <w:shd w:val="clear" w:color="auto" w:fill="D8D8D8"/>
          </w:tcPr>
          <w:p>
            <w:pPr>
              <w:spacing w:after="0"/>
              <w:rPr>
                <w:sz w:val="18"/>
                <w:szCs w:val="18"/>
                <w:color w:val="auto"/>
              </w:rPr>
            </w:pPr>
          </w:p>
        </w:tc>
        <w:tc>
          <w:tcPr>
            <w:tcW w:w="1140" w:type="dxa"/>
            <w:vAlign w:val="bottom"/>
            <w:shd w:val="clear" w:color="auto" w:fill="D8D8D8"/>
          </w:tcPr>
          <w:p>
            <w:pPr>
              <w:jc w:val="right"/>
              <w:ind w:right="242"/>
              <w:spacing w:after="0"/>
              <w:rPr>
                <w:sz w:val="20"/>
                <w:szCs w:val="20"/>
                <w:color w:val="auto"/>
              </w:rPr>
            </w:pPr>
            <w:r>
              <w:rPr>
                <w:rFonts w:ascii="Arial" w:cs="Arial" w:eastAsia="Arial" w:hAnsi="Arial"/>
                <w:sz w:val="18"/>
                <w:szCs w:val="18"/>
                <w:color w:val="auto"/>
              </w:rPr>
              <w:t>612,227</w:t>
            </w:r>
            <w:r>
              <w:rPr>
                <w:rFonts w:ascii="Arial" w:cs="Arial" w:eastAsia="Arial" w:hAnsi="Arial"/>
                <w:sz w:val="11"/>
                <w:szCs w:val="11"/>
                <w:color w:val="auto"/>
              </w:rPr>
              <w:t>(1)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Ashok Belani</w:t>
            </w:r>
          </w:p>
        </w:tc>
        <w:tc>
          <w:tcPr>
            <w:tcW w:w="1720" w:type="dxa"/>
            <w:vAlign w:val="bottom"/>
            <w:gridSpan w:val="2"/>
          </w:tcPr>
          <w:p>
            <w:pPr>
              <w:jc w:val="right"/>
              <w:ind w:right="242"/>
              <w:spacing w:after="0"/>
              <w:rPr>
                <w:sz w:val="20"/>
                <w:szCs w:val="20"/>
                <w:color w:val="auto"/>
              </w:rPr>
            </w:pPr>
            <w:r>
              <w:rPr>
                <w:rFonts w:ascii="Arial" w:cs="Arial" w:eastAsia="Arial" w:hAnsi="Arial"/>
                <w:sz w:val="18"/>
                <w:szCs w:val="18"/>
                <w:color w:val="auto"/>
              </w:rPr>
              <w:t>443,492</w:t>
            </w:r>
            <w:r>
              <w:rPr>
                <w:rFonts w:ascii="Arial" w:cs="Arial" w:eastAsia="Arial" w:hAnsi="Arial"/>
                <w:sz w:val="11"/>
                <w:szCs w:val="11"/>
                <w:color w:val="auto"/>
              </w:rPr>
              <w:t>(2)</w:t>
            </w:r>
          </w:p>
        </w:tc>
      </w:tr>
      <w:tr>
        <w:trPr>
          <w:trHeight w:val="216"/>
        </w:trPr>
        <w:tc>
          <w:tcPr>
            <w:tcW w:w="9700" w:type="dxa"/>
            <w:vAlign w:val="bottom"/>
            <w:shd w:val="clear" w:color="auto" w:fill="D8D8D8"/>
          </w:tcPr>
          <w:p>
            <w:pPr>
              <w:spacing w:after="0"/>
              <w:rPr>
                <w:sz w:val="20"/>
                <w:szCs w:val="20"/>
                <w:color w:val="auto"/>
              </w:rPr>
            </w:pPr>
            <w:r>
              <w:rPr>
                <w:rFonts w:ascii="Arial" w:cs="Arial" w:eastAsia="Arial" w:hAnsi="Arial"/>
                <w:sz w:val="18"/>
                <w:szCs w:val="18"/>
                <w:color w:val="auto"/>
              </w:rPr>
              <w:t>Peter L.S. Currie</w:t>
            </w:r>
          </w:p>
        </w:tc>
        <w:tc>
          <w:tcPr>
            <w:tcW w:w="1720" w:type="dxa"/>
            <w:vAlign w:val="bottom"/>
            <w:gridSpan w:val="2"/>
            <w:shd w:val="clear" w:color="auto" w:fill="D8D8D8"/>
          </w:tcPr>
          <w:p>
            <w:pPr>
              <w:jc w:val="right"/>
              <w:ind w:right="362"/>
              <w:spacing w:after="0"/>
              <w:rPr>
                <w:sz w:val="20"/>
                <w:szCs w:val="20"/>
                <w:color w:val="auto"/>
              </w:rPr>
            </w:pPr>
            <w:r>
              <w:rPr>
                <w:rFonts w:ascii="Arial" w:cs="Arial" w:eastAsia="Arial" w:hAnsi="Arial"/>
                <w:sz w:val="18"/>
                <w:szCs w:val="18"/>
                <w:color w:val="auto"/>
              </w:rPr>
              <w:t>27,050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Tony Isaac</w:t>
            </w:r>
          </w:p>
        </w:tc>
        <w:tc>
          <w:tcPr>
            <w:tcW w:w="1720" w:type="dxa"/>
            <w:vAlign w:val="bottom"/>
            <w:gridSpan w:val="2"/>
          </w:tcPr>
          <w:p>
            <w:pPr>
              <w:jc w:val="right"/>
              <w:ind w:right="202"/>
              <w:spacing w:after="0"/>
              <w:rPr>
                <w:sz w:val="20"/>
                <w:szCs w:val="20"/>
                <w:color w:val="auto"/>
              </w:rPr>
            </w:pPr>
            <w:r>
              <w:rPr>
                <w:rFonts w:ascii="Arial" w:cs="Arial" w:eastAsia="Arial" w:hAnsi="Arial"/>
                <w:sz w:val="18"/>
                <w:szCs w:val="18"/>
                <w:color w:val="auto"/>
              </w:rPr>
              <w:t>21,000</w:t>
            </w:r>
            <w:r>
              <w:rPr>
                <w:rFonts w:ascii="Arial" w:cs="Arial" w:eastAsia="Arial" w:hAnsi="Arial"/>
                <w:sz w:val="11"/>
                <w:szCs w:val="11"/>
                <w:color w:val="auto"/>
              </w:rPr>
              <w:t>(3)</w:t>
            </w:r>
          </w:p>
        </w:tc>
      </w:tr>
      <w:tr>
        <w:trPr>
          <w:trHeight w:val="216"/>
        </w:trPr>
        <w:tc>
          <w:tcPr>
            <w:tcW w:w="9700" w:type="dxa"/>
            <w:vAlign w:val="bottom"/>
            <w:shd w:val="clear" w:color="auto" w:fill="D8D8D8"/>
          </w:tcPr>
          <w:p>
            <w:pPr>
              <w:spacing w:after="0"/>
              <w:rPr>
                <w:sz w:val="20"/>
                <w:szCs w:val="20"/>
                <w:color w:val="auto"/>
              </w:rPr>
            </w:pPr>
            <w:r>
              <w:rPr>
                <w:rFonts w:ascii="Arial" w:cs="Arial" w:eastAsia="Arial" w:hAnsi="Arial"/>
                <w:sz w:val="18"/>
                <w:szCs w:val="18"/>
                <w:color w:val="auto"/>
              </w:rPr>
              <w:t>K. Vaman Kamath</w:t>
            </w:r>
          </w:p>
        </w:tc>
        <w:tc>
          <w:tcPr>
            <w:tcW w:w="1720" w:type="dxa"/>
            <w:vAlign w:val="bottom"/>
            <w:gridSpan w:val="2"/>
            <w:shd w:val="clear" w:color="auto" w:fill="D8D8D8"/>
          </w:tcPr>
          <w:p>
            <w:pPr>
              <w:jc w:val="right"/>
              <w:ind w:right="362"/>
              <w:spacing w:after="0"/>
              <w:rPr>
                <w:sz w:val="20"/>
                <w:szCs w:val="20"/>
                <w:color w:val="auto"/>
              </w:rPr>
            </w:pPr>
            <w:r>
              <w:rPr>
                <w:rFonts w:ascii="Arial" w:cs="Arial" w:eastAsia="Arial" w:hAnsi="Arial"/>
                <w:sz w:val="18"/>
                <w:szCs w:val="18"/>
                <w:color w:val="auto"/>
              </w:rPr>
              <w:t>6,750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Paal Kibsgaard</w:t>
            </w:r>
          </w:p>
        </w:tc>
        <w:tc>
          <w:tcPr>
            <w:tcW w:w="1720" w:type="dxa"/>
            <w:vAlign w:val="bottom"/>
            <w:gridSpan w:val="2"/>
          </w:tcPr>
          <w:p>
            <w:pPr>
              <w:jc w:val="right"/>
              <w:ind w:right="242"/>
              <w:spacing w:after="0"/>
              <w:rPr>
                <w:sz w:val="20"/>
                <w:szCs w:val="20"/>
                <w:color w:val="auto"/>
              </w:rPr>
            </w:pPr>
            <w:r>
              <w:rPr>
                <w:rFonts w:ascii="Arial" w:cs="Arial" w:eastAsia="Arial" w:hAnsi="Arial"/>
                <w:sz w:val="18"/>
                <w:szCs w:val="18"/>
                <w:color w:val="auto"/>
              </w:rPr>
              <w:t>407,281</w:t>
            </w:r>
            <w:r>
              <w:rPr>
                <w:rFonts w:ascii="Arial" w:cs="Arial" w:eastAsia="Arial" w:hAnsi="Arial"/>
                <w:sz w:val="11"/>
                <w:szCs w:val="11"/>
                <w:color w:val="auto"/>
              </w:rPr>
              <w:t>(4)</w:t>
            </w:r>
          </w:p>
        </w:tc>
      </w:tr>
      <w:tr>
        <w:trPr>
          <w:trHeight w:val="216"/>
        </w:trPr>
        <w:tc>
          <w:tcPr>
            <w:tcW w:w="9700" w:type="dxa"/>
            <w:vAlign w:val="bottom"/>
            <w:shd w:val="clear" w:color="auto" w:fill="D8D8D8"/>
          </w:tcPr>
          <w:p>
            <w:pPr>
              <w:spacing w:after="0"/>
              <w:rPr>
                <w:sz w:val="20"/>
                <w:szCs w:val="20"/>
                <w:color w:val="auto"/>
              </w:rPr>
            </w:pPr>
            <w:r>
              <w:rPr>
                <w:rFonts w:ascii="Arial" w:cs="Arial" w:eastAsia="Arial" w:hAnsi="Arial"/>
                <w:sz w:val="18"/>
                <w:szCs w:val="18"/>
                <w:color w:val="auto"/>
              </w:rPr>
              <w:t>Nikolay Kudryavtsev</w:t>
            </w:r>
          </w:p>
        </w:tc>
        <w:tc>
          <w:tcPr>
            <w:tcW w:w="1720" w:type="dxa"/>
            <w:vAlign w:val="bottom"/>
            <w:gridSpan w:val="2"/>
            <w:shd w:val="clear" w:color="auto" w:fill="D8D8D8"/>
          </w:tcPr>
          <w:p>
            <w:pPr>
              <w:jc w:val="right"/>
              <w:ind w:right="362"/>
              <w:spacing w:after="0"/>
              <w:rPr>
                <w:sz w:val="20"/>
                <w:szCs w:val="20"/>
                <w:color w:val="auto"/>
              </w:rPr>
            </w:pPr>
            <w:r>
              <w:rPr>
                <w:rFonts w:ascii="Arial" w:cs="Arial" w:eastAsia="Arial" w:hAnsi="Arial"/>
                <w:sz w:val="18"/>
                <w:szCs w:val="18"/>
                <w:color w:val="auto"/>
              </w:rPr>
              <w:t>13,000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Adrian Lajous</w:t>
            </w:r>
          </w:p>
        </w:tc>
        <w:tc>
          <w:tcPr>
            <w:tcW w:w="1720" w:type="dxa"/>
            <w:vAlign w:val="bottom"/>
            <w:gridSpan w:val="2"/>
          </w:tcPr>
          <w:p>
            <w:pPr>
              <w:jc w:val="right"/>
              <w:ind w:right="202"/>
              <w:spacing w:after="0"/>
              <w:rPr>
                <w:sz w:val="20"/>
                <w:szCs w:val="20"/>
                <w:color w:val="auto"/>
              </w:rPr>
            </w:pPr>
            <w:r>
              <w:rPr>
                <w:rFonts w:ascii="Arial" w:cs="Arial" w:eastAsia="Arial" w:hAnsi="Arial"/>
                <w:sz w:val="18"/>
                <w:szCs w:val="18"/>
                <w:color w:val="auto"/>
              </w:rPr>
              <w:t>18,732</w:t>
            </w:r>
            <w:r>
              <w:rPr>
                <w:rFonts w:ascii="Arial" w:cs="Arial" w:eastAsia="Arial" w:hAnsi="Arial"/>
                <w:sz w:val="11"/>
                <w:szCs w:val="11"/>
                <w:color w:val="auto"/>
              </w:rPr>
              <w:t>(5)</w:t>
            </w:r>
          </w:p>
        </w:tc>
      </w:tr>
      <w:tr>
        <w:trPr>
          <w:trHeight w:val="216"/>
        </w:trPr>
        <w:tc>
          <w:tcPr>
            <w:tcW w:w="9700" w:type="dxa"/>
            <w:vAlign w:val="bottom"/>
            <w:shd w:val="clear" w:color="auto" w:fill="D8D8D8"/>
          </w:tcPr>
          <w:p>
            <w:pPr>
              <w:spacing w:after="0"/>
              <w:rPr>
                <w:sz w:val="20"/>
                <w:szCs w:val="20"/>
                <w:color w:val="auto"/>
              </w:rPr>
            </w:pPr>
            <w:r>
              <w:rPr>
                <w:rFonts w:ascii="Arial" w:cs="Arial" w:eastAsia="Arial" w:hAnsi="Arial"/>
                <w:sz w:val="18"/>
                <w:szCs w:val="18"/>
                <w:color w:val="auto"/>
              </w:rPr>
              <w:t>Michael E. Marks</w:t>
            </w:r>
          </w:p>
        </w:tc>
        <w:tc>
          <w:tcPr>
            <w:tcW w:w="1720" w:type="dxa"/>
            <w:vAlign w:val="bottom"/>
            <w:gridSpan w:val="2"/>
            <w:shd w:val="clear" w:color="auto" w:fill="D8D8D8"/>
          </w:tcPr>
          <w:p>
            <w:pPr>
              <w:jc w:val="right"/>
              <w:ind w:right="202"/>
              <w:spacing w:after="0"/>
              <w:rPr>
                <w:sz w:val="20"/>
                <w:szCs w:val="20"/>
                <w:color w:val="auto"/>
              </w:rPr>
            </w:pPr>
            <w:r>
              <w:rPr>
                <w:rFonts w:ascii="Arial" w:cs="Arial" w:eastAsia="Arial" w:hAnsi="Arial"/>
                <w:sz w:val="18"/>
                <w:szCs w:val="18"/>
                <w:color w:val="auto"/>
              </w:rPr>
              <w:t>32,750</w:t>
            </w:r>
            <w:r>
              <w:rPr>
                <w:rFonts w:ascii="Arial" w:cs="Arial" w:eastAsia="Arial" w:hAnsi="Arial"/>
                <w:sz w:val="11"/>
                <w:szCs w:val="11"/>
                <w:color w:val="auto"/>
              </w:rPr>
              <w:t>(6)</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Elizabeth A. Moler</w:t>
            </w:r>
          </w:p>
        </w:tc>
        <w:tc>
          <w:tcPr>
            <w:tcW w:w="1720" w:type="dxa"/>
            <w:vAlign w:val="bottom"/>
            <w:gridSpan w:val="2"/>
          </w:tcPr>
          <w:p>
            <w:pPr>
              <w:jc w:val="right"/>
              <w:ind w:right="362"/>
              <w:spacing w:after="0"/>
              <w:rPr>
                <w:sz w:val="20"/>
                <w:szCs w:val="20"/>
                <w:color w:val="auto"/>
              </w:rPr>
            </w:pPr>
            <w:r>
              <w:rPr>
                <w:rFonts w:ascii="Arial" w:cs="Arial" w:eastAsia="Arial" w:hAnsi="Arial"/>
                <w:sz w:val="18"/>
                <w:szCs w:val="18"/>
                <w:color w:val="auto"/>
              </w:rPr>
              <w:t>5,813</w:t>
            </w:r>
          </w:p>
        </w:tc>
      </w:tr>
      <w:tr>
        <w:trPr>
          <w:trHeight w:val="216"/>
        </w:trPr>
        <w:tc>
          <w:tcPr>
            <w:tcW w:w="9700" w:type="dxa"/>
            <w:vAlign w:val="bottom"/>
            <w:shd w:val="clear" w:color="auto" w:fill="D8D8D8"/>
          </w:tcPr>
          <w:p>
            <w:pPr>
              <w:spacing w:after="0"/>
              <w:rPr>
                <w:sz w:val="20"/>
                <w:szCs w:val="20"/>
                <w:color w:val="auto"/>
              </w:rPr>
            </w:pPr>
            <w:r>
              <w:rPr>
                <w:rFonts w:ascii="Arial" w:cs="Arial" w:eastAsia="Arial" w:hAnsi="Arial"/>
                <w:sz w:val="18"/>
                <w:szCs w:val="18"/>
                <w:color w:val="auto"/>
              </w:rPr>
              <w:t>Kjell-Erik Oestdahl</w:t>
            </w:r>
          </w:p>
        </w:tc>
        <w:tc>
          <w:tcPr>
            <w:tcW w:w="1720" w:type="dxa"/>
            <w:vAlign w:val="bottom"/>
            <w:gridSpan w:val="2"/>
            <w:shd w:val="clear" w:color="auto" w:fill="D8D8D8"/>
          </w:tcPr>
          <w:p>
            <w:pPr>
              <w:jc w:val="right"/>
              <w:ind w:right="202"/>
              <w:spacing w:after="0"/>
              <w:rPr>
                <w:sz w:val="20"/>
                <w:szCs w:val="20"/>
                <w:color w:val="auto"/>
              </w:rPr>
            </w:pPr>
            <w:r>
              <w:rPr>
                <w:rFonts w:ascii="Arial" w:cs="Arial" w:eastAsia="Arial" w:hAnsi="Arial"/>
                <w:sz w:val="18"/>
                <w:szCs w:val="18"/>
                <w:color w:val="auto"/>
              </w:rPr>
              <w:t>85,418</w:t>
            </w:r>
            <w:r>
              <w:rPr>
                <w:rFonts w:ascii="Arial" w:cs="Arial" w:eastAsia="Arial" w:hAnsi="Arial"/>
                <w:sz w:val="11"/>
                <w:szCs w:val="11"/>
                <w:color w:val="auto"/>
              </w:rPr>
              <w:t>(7)</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Lubna S. Olayan</w:t>
            </w:r>
          </w:p>
        </w:tc>
        <w:tc>
          <w:tcPr>
            <w:tcW w:w="1720" w:type="dxa"/>
            <w:vAlign w:val="bottom"/>
            <w:gridSpan w:val="2"/>
          </w:tcPr>
          <w:p>
            <w:pPr>
              <w:jc w:val="right"/>
              <w:ind w:right="362"/>
              <w:spacing w:after="0"/>
              <w:rPr>
                <w:sz w:val="20"/>
                <w:szCs w:val="20"/>
                <w:color w:val="auto"/>
              </w:rPr>
            </w:pPr>
            <w:r>
              <w:rPr>
                <w:rFonts w:ascii="Arial" w:cs="Arial" w:eastAsia="Arial" w:hAnsi="Arial"/>
                <w:sz w:val="18"/>
                <w:szCs w:val="18"/>
                <w:color w:val="auto"/>
              </w:rPr>
              <w:t>4,500</w:t>
            </w:r>
          </w:p>
        </w:tc>
      </w:tr>
      <w:tr>
        <w:trPr>
          <w:trHeight w:val="216"/>
        </w:trPr>
        <w:tc>
          <w:tcPr>
            <w:tcW w:w="9700" w:type="dxa"/>
            <w:vAlign w:val="bottom"/>
            <w:shd w:val="clear" w:color="auto" w:fill="D8D8D8"/>
          </w:tcPr>
          <w:p>
            <w:pPr>
              <w:spacing w:after="0"/>
              <w:rPr>
                <w:sz w:val="20"/>
                <w:szCs w:val="20"/>
                <w:color w:val="auto"/>
              </w:rPr>
            </w:pPr>
            <w:r>
              <w:rPr>
                <w:rFonts w:ascii="Arial" w:cs="Arial" w:eastAsia="Arial" w:hAnsi="Arial"/>
                <w:sz w:val="18"/>
                <w:szCs w:val="18"/>
                <w:color w:val="auto"/>
              </w:rPr>
              <w:t>Satish Pai</w:t>
            </w:r>
          </w:p>
        </w:tc>
        <w:tc>
          <w:tcPr>
            <w:tcW w:w="1720" w:type="dxa"/>
            <w:vAlign w:val="bottom"/>
            <w:gridSpan w:val="2"/>
            <w:shd w:val="clear" w:color="auto" w:fill="D8D8D8"/>
          </w:tcPr>
          <w:p>
            <w:pPr>
              <w:jc w:val="right"/>
              <w:ind w:right="242"/>
              <w:spacing w:after="0"/>
              <w:rPr>
                <w:sz w:val="20"/>
                <w:szCs w:val="20"/>
                <w:color w:val="auto"/>
              </w:rPr>
            </w:pPr>
            <w:r>
              <w:rPr>
                <w:rFonts w:ascii="Arial" w:cs="Arial" w:eastAsia="Arial" w:hAnsi="Arial"/>
                <w:sz w:val="18"/>
                <w:szCs w:val="18"/>
                <w:color w:val="auto"/>
              </w:rPr>
              <w:t>460,955</w:t>
            </w:r>
            <w:r>
              <w:rPr>
                <w:rFonts w:ascii="Arial" w:cs="Arial" w:eastAsia="Arial" w:hAnsi="Arial"/>
                <w:sz w:val="11"/>
                <w:szCs w:val="11"/>
                <w:color w:val="auto"/>
              </w:rPr>
              <w:t>(8)</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Leo Rafael Reif</w:t>
            </w:r>
          </w:p>
        </w:tc>
        <w:tc>
          <w:tcPr>
            <w:tcW w:w="1720" w:type="dxa"/>
            <w:vAlign w:val="bottom"/>
            <w:gridSpan w:val="2"/>
          </w:tcPr>
          <w:p>
            <w:pPr>
              <w:jc w:val="right"/>
              <w:ind w:right="362"/>
              <w:spacing w:after="0"/>
              <w:rPr>
                <w:sz w:val="20"/>
                <w:szCs w:val="20"/>
                <w:color w:val="auto"/>
              </w:rPr>
            </w:pPr>
            <w:r>
              <w:rPr>
                <w:rFonts w:ascii="Arial" w:cs="Arial" w:eastAsia="Arial" w:hAnsi="Arial"/>
                <w:sz w:val="18"/>
                <w:szCs w:val="18"/>
                <w:color w:val="auto"/>
              </w:rPr>
              <w:t>13,000</w:t>
            </w:r>
          </w:p>
        </w:tc>
      </w:tr>
      <w:tr>
        <w:trPr>
          <w:trHeight w:val="216"/>
        </w:trPr>
        <w:tc>
          <w:tcPr>
            <w:tcW w:w="9700" w:type="dxa"/>
            <w:vAlign w:val="bottom"/>
            <w:shd w:val="clear" w:color="auto" w:fill="D8D8D8"/>
          </w:tcPr>
          <w:p>
            <w:pPr>
              <w:spacing w:after="0"/>
              <w:rPr>
                <w:sz w:val="20"/>
                <w:szCs w:val="20"/>
                <w:color w:val="auto"/>
              </w:rPr>
            </w:pPr>
            <w:r>
              <w:rPr>
                <w:rFonts w:ascii="Arial" w:cs="Arial" w:eastAsia="Arial" w:hAnsi="Arial"/>
                <w:sz w:val="18"/>
                <w:szCs w:val="18"/>
                <w:color w:val="auto"/>
              </w:rPr>
              <w:t>Tore I. Sandvold</w:t>
            </w:r>
          </w:p>
        </w:tc>
        <w:tc>
          <w:tcPr>
            <w:tcW w:w="1720" w:type="dxa"/>
            <w:vAlign w:val="bottom"/>
            <w:gridSpan w:val="2"/>
            <w:shd w:val="clear" w:color="auto" w:fill="D8D8D8"/>
          </w:tcPr>
          <w:p>
            <w:pPr>
              <w:jc w:val="right"/>
              <w:ind w:right="362"/>
              <w:spacing w:after="0"/>
              <w:rPr>
                <w:sz w:val="20"/>
                <w:szCs w:val="20"/>
                <w:color w:val="auto"/>
              </w:rPr>
            </w:pPr>
            <w:r>
              <w:rPr>
                <w:rFonts w:ascii="Arial" w:cs="Arial" w:eastAsia="Arial" w:hAnsi="Arial"/>
                <w:sz w:val="18"/>
                <w:szCs w:val="18"/>
                <w:color w:val="auto"/>
              </w:rPr>
              <w:t>25,000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Henri Seydoux</w:t>
            </w:r>
          </w:p>
        </w:tc>
        <w:tc>
          <w:tcPr>
            <w:tcW w:w="1720" w:type="dxa"/>
            <w:vAlign w:val="bottom"/>
            <w:gridSpan w:val="2"/>
          </w:tcPr>
          <w:p>
            <w:pPr>
              <w:jc w:val="right"/>
              <w:ind w:right="362"/>
              <w:spacing w:after="0"/>
              <w:rPr>
                <w:sz w:val="20"/>
                <w:szCs w:val="20"/>
                <w:color w:val="auto"/>
              </w:rPr>
            </w:pPr>
            <w:r>
              <w:rPr>
                <w:rFonts w:ascii="Arial" w:cs="Arial" w:eastAsia="Arial" w:hAnsi="Arial"/>
                <w:sz w:val="18"/>
                <w:szCs w:val="18"/>
                <w:color w:val="auto"/>
              </w:rPr>
              <w:t>9,000</w:t>
            </w:r>
          </w:p>
        </w:tc>
      </w:tr>
      <w:tr>
        <w:trPr>
          <w:trHeight w:val="216"/>
        </w:trPr>
        <w:tc>
          <w:tcPr>
            <w:tcW w:w="9700" w:type="dxa"/>
            <w:vAlign w:val="bottom"/>
            <w:shd w:val="clear" w:color="auto" w:fill="D8D8D8"/>
          </w:tcPr>
          <w:p>
            <w:pPr>
              <w:spacing w:after="0"/>
              <w:rPr>
                <w:sz w:val="20"/>
                <w:szCs w:val="20"/>
                <w:color w:val="auto"/>
              </w:rPr>
            </w:pPr>
            <w:r>
              <w:rPr>
                <w:rFonts w:ascii="Arial" w:cs="Arial" w:eastAsia="Arial" w:hAnsi="Arial"/>
                <w:sz w:val="18"/>
                <w:szCs w:val="18"/>
                <w:color w:val="auto"/>
              </w:rPr>
              <w:t>All directors and executive officers as a group (27 persons)</w:t>
            </w:r>
          </w:p>
        </w:tc>
        <w:tc>
          <w:tcPr>
            <w:tcW w:w="1720" w:type="dxa"/>
            <w:vAlign w:val="bottom"/>
            <w:gridSpan w:val="2"/>
            <w:shd w:val="clear" w:color="auto" w:fill="D8D8D8"/>
          </w:tcPr>
          <w:p>
            <w:pPr>
              <w:jc w:val="right"/>
              <w:ind w:right="242"/>
              <w:spacing w:after="0"/>
              <w:rPr>
                <w:sz w:val="20"/>
                <w:szCs w:val="20"/>
                <w:color w:val="auto"/>
              </w:rPr>
            </w:pPr>
            <w:r>
              <w:rPr>
                <w:rFonts w:ascii="Arial" w:cs="Arial" w:eastAsia="Arial" w:hAnsi="Arial"/>
                <w:sz w:val="18"/>
                <w:szCs w:val="18"/>
                <w:color w:val="auto"/>
              </w:rPr>
              <w:t>3,534,054</w:t>
            </w:r>
            <w:r>
              <w:rPr>
                <w:rFonts w:ascii="Arial" w:cs="Arial" w:eastAsia="Arial" w:hAnsi="Arial"/>
                <w:sz w:val="11"/>
                <w:szCs w:val="1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975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20" w:lineRule="exact"/>
        <w:rPr>
          <w:sz w:val="20"/>
          <w:szCs w:val="20"/>
          <w:color w:val="auto"/>
        </w:rPr>
      </w:pPr>
    </w:p>
    <w:p>
      <w:pPr>
        <w:ind w:left="580" w:hanging="437"/>
        <w:spacing w:after="0"/>
        <w:tabs>
          <w:tab w:leader="none" w:pos="5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Includes options to purchase 479,600 shares.</w:t>
      </w:r>
    </w:p>
    <w:p>
      <w:pPr>
        <w:spacing w:after="0" w:line="90" w:lineRule="exact"/>
        <w:rPr>
          <w:rFonts w:ascii="Arial" w:cs="Arial" w:eastAsia="Arial" w:hAnsi="Arial"/>
          <w:sz w:val="18"/>
          <w:szCs w:val="18"/>
          <w:color w:val="auto"/>
        </w:rPr>
      </w:pPr>
    </w:p>
    <w:p>
      <w:pPr>
        <w:ind w:left="580" w:hanging="437"/>
        <w:spacing w:after="0"/>
        <w:tabs>
          <w:tab w:leader="none" w:pos="5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Includes options to purchase 422,400 shares.</w:t>
      </w:r>
    </w:p>
    <w:p>
      <w:pPr>
        <w:spacing w:after="0" w:line="90" w:lineRule="exact"/>
        <w:rPr>
          <w:rFonts w:ascii="Arial" w:cs="Arial" w:eastAsia="Arial" w:hAnsi="Arial"/>
          <w:sz w:val="18"/>
          <w:szCs w:val="18"/>
          <w:color w:val="auto"/>
        </w:rPr>
      </w:pPr>
    </w:p>
    <w:p>
      <w:pPr>
        <w:ind w:left="500" w:right="60" w:hanging="451"/>
        <w:spacing w:after="0" w:line="268"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shares held in the name of Mr. Isaac’s spouse. Excludes 5,000 shares the receipt of which Mr. Isaac has deferred under Schlumberger’s 2004 Stock and Deferral Plan for Non-Employee Directors.</w:t>
      </w:r>
    </w:p>
    <w:p>
      <w:pPr>
        <w:spacing w:after="0" w:line="50" w:lineRule="exact"/>
        <w:rPr>
          <w:rFonts w:ascii="Arial" w:cs="Arial" w:eastAsia="Arial" w:hAnsi="Arial"/>
          <w:sz w:val="18"/>
          <w:szCs w:val="18"/>
          <w:color w:val="auto"/>
        </w:rPr>
      </w:pPr>
    </w:p>
    <w:p>
      <w:pPr>
        <w:ind w:left="500" w:hanging="438"/>
        <w:spacing w:after="0"/>
        <w:tabs>
          <w:tab w:leader="none" w:pos="5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Includes options to purchase 327,281 shares. Includes 40,000 shares held in the name of Mr. Kibsgaard’s spouse.</w:t>
      </w:r>
    </w:p>
    <w:p>
      <w:pPr>
        <w:spacing w:after="0" w:line="90" w:lineRule="exact"/>
        <w:rPr>
          <w:sz w:val="20"/>
          <w:szCs w:val="20"/>
          <w:color w:val="auto"/>
        </w:rPr>
      </w:pPr>
    </w:p>
    <w:p>
      <w:pPr>
        <w:ind w:left="500" w:right="220" w:hanging="451"/>
        <w:spacing w:after="0" w:line="332" w:lineRule="auto"/>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All shares held through a limited liability company in which Mr. Lajous has an indirect interest. Includes 18,732 pledged shares. Excludes 12,500 shares the receipt of which Mr. Lajous has deferred under Schlumberger’s 2004 Stock and Deferral Plan for Non-Employee Directors.</w:t>
      </w:r>
    </w:p>
    <w:p>
      <w:pPr>
        <w:spacing w:after="0" w:line="4" w:lineRule="exact"/>
        <w:rPr>
          <w:rFonts w:ascii="Arial" w:cs="Arial" w:eastAsia="Arial" w:hAnsi="Arial"/>
          <w:sz w:val="16"/>
          <w:szCs w:val="16"/>
          <w:color w:val="auto"/>
        </w:rPr>
      </w:pPr>
    </w:p>
    <w:p>
      <w:pPr>
        <w:ind w:left="500" w:right="720" w:hanging="451"/>
        <w:spacing w:after="0" w:line="268"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shares held by a limited liability company controlled by Mr. Marks. Excludes 2,000 shares the receipt of which Mr. Marks has deferred under Schlumberger’s 2004 Stock and Deferral Plan for Non-Employee Directors.</w:t>
      </w:r>
    </w:p>
    <w:p>
      <w:pPr>
        <w:spacing w:after="0" w:line="50" w:lineRule="exact"/>
        <w:rPr>
          <w:rFonts w:ascii="Arial" w:cs="Arial" w:eastAsia="Arial" w:hAnsi="Arial"/>
          <w:sz w:val="18"/>
          <w:szCs w:val="18"/>
          <w:color w:val="auto"/>
        </w:rPr>
      </w:pPr>
    </w:p>
    <w:p>
      <w:pPr>
        <w:ind w:left="540" w:hanging="451"/>
        <w:spacing w:after="0"/>
        <w:tabs>
          <w:tab w:leader="none" w:pos="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Includes options to purchase 74,800 shares and 6,000 restricted stock units.</w:t>
      </w:r>
    </w:p>
    <w:p>
      <w:pPr>
        <w:spacing w:after="0" w:line="90" w:lineRule="exact"/>
        <w:rPr>
          <w:sz w:val="20"/>
          <w:szCs w:val="20"/>
          <w:color w:val="auto"/>
        </w:rPr>
      </w:pPr>
    </w:p>
    <w:p>
      <w:pPr>
        <w:ind w:left="500" w:right="360" w:hanging="451"/>
        <w:spacing w:after="0" w:line="268"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options to purchase 254,000 shares. Also includes 10,292 shares held by a child of Mr. Pai. Excludes 3,989 shares owned by an adult child of Mr. Pai not living in Mr. Pai’s household.</w:t>
      </w:r>
    </w:p>
    <w:p>
      <w:pPr>
        <w:spacing w:after="0" w:line="50" w:lineRule="exact"/>
        <w:rPr>
          <w:rFonts w:ascii="Arial" w:cs="Arial" w:eastAsia="Arial" w:hAnsi="Arial"/>
          <w:sz w:val="18"/>
          <w:szCs w:val="18"/>
          <w:color w:val="auto"/>
        </w:rPr>
      </w:pPr>
    </w:p>
    <w:p>
      <w:pPr>
        <w:ind w:left="500" w:right="260" w:hanging="451"/>
        <w:spacing w:after="0" w:line="268"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options to purchase 2,698,800 shares and 48,000 restricted stock units, and excludes 19,500 shares the receipt of which directors have deferred under Schlumberger’s 2004 Stock and Deferral Plan for Non-Employee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our possession and on written representations from reporting persons, that with respect to the fiscal year ended December 31, 2012, all of its executive officers and directors filed on a timely basis the reports required to be filed under Section 16(a) of the Exchange Act.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2014 Annual General Meeting</w:t>
      </w:r>
    </w:p>
    <w:p>
      <w:pPr>
        <w:spacing w:after="0" w:line="1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2014 annual general meeting of stockholders, written proposals must be received by the Secretary of the Company, 5599 San Felipe, 17th Floor, Houston, Texas 77056, no later than November [ ], 2013.</w:t>
      </w:r>
    </w:p>
    <w:p>
      <w:pPr>
        <w:spacing w:after="0" w:line="4" w:lineRule="exact"/>
        <w:rPr>
          <w:sz w:val="20"/>
          <w:szCs w:val="20"/>
          <w:color w:val="auto"/>
        </w:rPr>
      </w:pPr>
    </w:p>
    <w:p>
      <w:pPr>
        <w:jc w:val="both"/>
        <w:ind w:right="360" w:firstLine="456"/>
        <w:spacing w:after="0" w:line="370" w:lineRule="auto"/>
        <w:rPr>
          <w:sz w:val="20"/>
          <w:szCs w:val="20"/>
          <w:color w:val="auto"/>
        </w:rPr>
      </w:pPr>
      <w:r>
        <w:rPr>
          <w:rFonts w:ascii="Arial" w:cs="Arial" w:eastAsia="Arial" w:hAnsi="Arial"/>
          <w:sz w:val="15"/>
          <w:szCs w:val="15"/>
          <w:color w:val="auto"/>
        </w:rPr>
        <w:t>Pursuant to the rules under the Exchange Act, the Company may use discretionary authority to vote with respect to stockholder proposals presented in person at the 2014 annual general meeting of stockholders if the stockholder making the proposal has not given notice to the Company by January [ ] 2013.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ind w:right="520" w:firstLine="456"/>
        <w:spacing w:after="0" w:line="338" w:lineRule="auto"/>
        <w:rPr>
          <w:sz w:val="20"/>
          <w:szCs w:val="20"/>
          <w:color w:val="auto"/>
        </w:rPr>
      </w:pPr>
      <w:r>
        <w:rPr>
          <w:rFonts w:ascii="Arial" w:cs="Arial" w:eastAsia="Arial" w:hAnsi="Arial"/>
          <w:sz w:val="16"/>
          <w:szCs w:val="16"/>
          <w:b w:val="1"/>
          <w:bCs w:val="1"/>
          <w:color w:val="auto"/>
        </w:rPr>
        <w:t>Stockholders may obtain a copy of Schlumberger’s most recent Form 10-K filed with the SEC, including financial statements and schedules thereto, without charge by writing to the Secretary of the Company at 5599 San Felipe, 17th Floor, Houston, Texas 77056.</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$15,000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62865</wp:posOffset>
            </wp:positionV>
            <wp:extent cx="1106170" cy="3771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061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Alexander C. Juden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March [</w:t>
      </w:r>
      <w:r>
        <w:rPr>
          <w:sz w:val="20"/>
          <w:szCs w:val="20"/>
          <w:color w:val="auto"/>
        </w:rPr>
        <w:tab/>
      </w:r>
      <w:r>
        <w:rPr>
          <w:rFonts w:ascii="Arial" w:cs="Arial" w:eastAsia="Arial" w:hAnsi="Arial"/>
          <w:sz w:val="16"/>
          <w:szCs w:val="16"/>
          <w:color w:val="auto"/>
        </w:rPr>
        <w:t>],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 2013 OMNIBUS STOCK INCENTIVE PLAN</w:t>
      </w:r>
    </w:p>
    <w:p>
      <w:pPr>
        <w:spacing w:after="0" w:line="165" w:lineRule="exact"/>
        <w:rPr>
          <w:sz w:val="20"/>
          <w:szCs w:val="20"/>
          <w:color w:val="auto"/>
        </w:rPr>
      </w:pPr>
    </w:p>
    <w:p>
      <w:pPr>
        <w:ind w:firstLine="464"/>
        <w:spacing w:after="0" w:line="294" w:lineRule="auto"/>
        <w:tabs>
          <w:tab w:leader="none" w:pos="632"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Objectives</w:t>
      </w:r>
      <w:r>
        <w:rPr>
          <w:rFonts w:ascii="Arial" w:cs="Arial" w:eastAsia="Arial" w:hAnsi="Arial"/>
          <w:sz w:val="16"/>
          <w:szCs w:val="16"/>
          <w:color w:val="auto"/>
        </w:rPr>
        <w:t>. This 2013 Schlumberger Omnibus Stock Incentive Plan (this “Plan”) was adopted by Schlumberger Limited (the “Company”)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34" w:lineRule="exact"/>
        <w:rPr>
          <w:rFonts w:ascii="Arial" w:cs="Arial" w:eastAsia="Arial" w:hAnsi="Arial"/>
          <w:sz w:val="16"/>
          <w:szCs w:val="16"/>
          <w:color w:val="auto"/>
        </w:rPr>
      </w:pPr>
    </w:p>
    <w:p>
      <w:pPr>
        <w:ind w:left="640" w:hanging="17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As used herein, the terms set forth below shall have the following respective meanings: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5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“Award Agreement” means the document (in written or electronic form) communicating the terms, conditions and limitations applicable of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shall be deemed to have accepted the terms of Award as embodied in the Award Agreement.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means the board of directors of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Award” means an Award denominated in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the Common Stock, par value $0.01 per share, of the Company.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“Dividend Equivalents” means, with respect to shares of Restricted Stock or Restricted Stock Units, with respect to which shares are to be issued at the end of the Restriction Period, an amount equal to all dividends and other distributions (or the economic equivalent thereof) that are payable to shareholders of record during the Restriction Period on a like number of shares of Common Stock.</w:t>
      </w:r>
    </w:p>
    <w:p>
      <w:pPr>
        <w:spacing w:after="0" w:line="5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“Executive Officer” means a “covered employee” within the meaning of Section 162(m)(3) or any other executive officer designated by the Committee for purposes of exempting compensation payable under this Plan from the deduction limitations of Section 162(m).</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Option” means an Option that is intended to comply with the requirements set forth in Section 422 of the Code.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“Non-Qualified Option” means an Option that is not intended to comply with the requirements set forth in Section 422 of the Code.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means a right to purchase a specified number of shares of Common Stock at a specified price.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means an Employee to whom an Award has been made under this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Award” means an award made pursuant to this Plan to a Participant, which Award is subject to the attainment of one or more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8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“Performance Goal” means one or more standards established by the Committee to determine in whole or in part whether a Performance Award shall be earned.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means any Common Stock that is restricted or subject to forfeiture provisions.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“Restricted Stock Unit” means a unit evidencing the right to receive one share of Common Stock or equivalent value (as determined by the Committee) that is restricted or subject to forfeiture provisions.</w:t>
      </w:r>
    </w:p>
    <w:p>
      <w:pPr>
        <w:spacing w:after="0" w:line="5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162(m)” means Section 162(m) of the Code and any Treasury Regulations and guidance promulgated thereunder.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409A” means Section 409A of the Code and any Treasury Regulations and guidance promulgated thereunder.</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Award” means an award in the form of shares of Common Stock or units denominated in shares of Common Stock.</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26" w:lineRule="exact"/>
        <w:rPr>
          <w:sz w:val="20"/>
          <w:szCs w:val="20"/>
          <w:color w:val="auto"/>
        </w:rPr>
      </w:pPr>
    </w:p>
    <w:p>
      <w:pPr>
        <w:ind w:right="60" w:firstLine="464"/>
        <w:spacing w:after="0" w:line="306"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All Employees of the Company or a Subsidiary are eligible for Awards under this Plan in the sole discretion of the Committee. No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25" w:lineRule="exact"/>
        <w:rPr>
          <w:rFonts w:ascii="Arial" w:cs="Arial" w:eastAsia="Arial" w:hAnsi="Arial"/>
          <w:sz w:val="16"/>
          <w:szCs w:val="16"/>
          <w:color w:val="auto"/>
        </w:rPr>
      </w:pPr>
    </w:p>
    <w:p>
      <w:pPr>
        <w:ind w:firstLine="464"/>
        <w:spacing w:after="0" w:line="256"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Common Stock Available for Awards</w:t>
      </w:r>
      <w:r>
        <w:rPr>
          <w:rFonts w:ascii="Arial" w:cs="Arial" w:eastAsia="Arial" w:hAnsi="Arial"/>
          <w:sz w:val="18"/>
          <w:szCs w:val="18"/>
          <w:color w:val="auto"/>
        </w:rPr>
        <w:t>. Subject to the provisions of paragraph 13 hereof, there shall be available for Awards under this Plan granted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or partly in Common Stock (including rights or options that may be exercised for or settled in Common Stock) an aggregate of 35 million shares of Common Stock. No more than 7.5 million shares of Common Stock may be the subject of Awards that are not Options or Stock Appreciation Rights. In the sole discretion of the Committee, 35 million shares of Common Stock may be granted as Incentive Options.</w:t>
      </w:r>
    </w:p>
    <w:p>
      <w:pPr>
        <w:spacing w:after="0" w:line="62" w:lineRule="exact"/>
        <w:rPr>
          <w:sz w:val="20"/>
          <w:szCs w:val="20"/>
          <w:color w:val="auto"/>
        </w:rPr>
      </w:pPr>
    </w:p>
    <w:p>
      <w:pPr>
        <w:jc w:val="both"/>
        <w:ind w:right="20" w:firstLine="464"/>
        <w:spacing w:after="0" w:line="256"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connection with the granting of an Option or other Award, the number of shares of Common Stock available for issuance under this Plan shall be reduced by the number of shares of Common Stock in respect of which the Option or Award is granted or denominated. For example, upon the grant of stock-settled SARs, the number of shares of Common Stock available for issuance under this Plan shall be reduced by the full number of SARs granted, and the number of shares of Common Stock available for issuance under this Plan shall not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shall not reduce the number of shares of Common Stock available for issuance under this Plan.</w:t>
      </w:r>
    </w:p>
    <w:p>
      <w:pPr>
        <w:spacing w:after="0" w:line="59" w:lineRule="exact"/>
        <w:rPr>
          <w:sz w:val="20"/>
          <w:szCs w:val="20"/>
          <w:color w:val="auto"/>
        </w:rPr>
      </w:pPr>
    </w:p>
    <w:p>
      <w:pPr>
        <w:ind w:right="220" w:firstLine="464"/>
        <w:spacing w:after="0" w:line="259"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shares of Common Stock that are tendered by a Participant or withheld as full or partial payment of withholding or other taxes or as payment for the exercise or conversion price of an Option or SAR under this Plan shall not be added back to the number of shares of Common Stock available for issuance under this Plan.</w:t>
      </w:r>
    </w:p>
    <w:p>
      <w:pPr>
        <w:spacing w:after="0" w:line="59" w:lineRule="exact"/>
        <w:rPr>
          <w:rFonts w:ascii="Arial" w:cs="Arial" w:eastAsia="Arial" w:hAnsi="Arial"/>
          <w:sz w:val="18"/>
          <w:szCs w:val="18"/>
          <w:color w:val="auto"/>
        </w:rPr>
      </w:pPr>
    </w:p>
    <w:p>
      <w:pPr>
        <w:ind w:firstLine="464"/>
        <w:spacing w:after="0" w:line="294"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Whenever any outstanding Option or other Award (or portion thereof) expires, is cancelled or forfeited or is otherwise terminated for any reason without having been exercised or payment having been made in the form of shares of Common Stock, the number of shares of Common Stock available for issuance under this Plan shall be increased by the number of shares of Common Stock allocable to the expired, forfeited, cancelled or otherwise terminated Option or other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34" w:lineRule="exact"/>
        <w:rPr>
          <w:rFonts w:ascii="Arial" w:cs="Arial" w:eastAsia="Arial" w:hAnsi="Arial"/>
          <w:sz w:val="16"/>
          <w:szCs w:val="16"/>
          <w:color w:val="auto"/>
        </w:rPr>
      </w:pPr>
    </w:p>
    <w:p>
      <w:pPr>
        <w:ind w:right="200" w:firstLine="464"/>
        <w:spacing w:after="0" w:line="255"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w:t>
      </w:r>
    </w:p>
    <w:p>
      <w:pPr>
        <w:spacing w:after="0" w:line="6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Awards valued by reference to Common Stock that may be settled in equivalent cash value will count as shares of Common Stock delivered to the same extent as if the Award were settled in shares of Common Stock.</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shall be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39" w:lineRule="exact"/>
        <w:rPr>
          <w:sz w:val="20"/>
          <w:szCs w:val="20"/>
          <w:color w:val="auto"/>
        </w:rPr>
      </w:pPr>
    </w:p>
    <w:p>
      <w:pPr>
        <w:ind w:left="640" w:hanging="17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90" w:lineRule="exact"/>
        <w:rPr>
          <w:sz w:val="20"/>
          <w:szCs w:val="20"/>
          <w:color w:val="auto"/>
        </w:rPr>
      </w:pPr>
    </w:p>
    <w:p>
      <w:pPr>
        <w:ind w:right="160" w:firstLine="464"/>
        <w:spacing w:after="0" w:line="268" w:lineRule="auto"/>
        <w:tabs>
          <w:tab w:leader="none" w:pos="695" w:val="left"/>
        </w:tabs>
        <w:numPr>
          <w:ilvl w:val="1"/>
          <w:numId w:val="93"/>
        </w:numPr>
        <w:rPr>
          <w:rFonts w:ascii="Arial" w:cs="Arial" w:eastAsia="Arial" w:hAnsi="Arial"/>
          <w:sz w:val="18"/>
          <w:szCs w:val="18"/>
          <w:color w:val="auto"/>
        </w:rPr>
      </w:pPr>
      <w:r>
        <w:rPr>
          <w:rFonts w:ascii="Arial" w:cs="Arial" w:eastAsia="Arial" w:hAnsi="Arial"/>
          <w:sz w:val="18"/>
          <w:szCs w:val="18"/>
          <w:i w:val="1"/>
          <w:iCs w:val="1"/>
          <w:color w:val="auto"/>
        </w:rPr>
        <w:t>Authority of the Committee</w:t>
      </w:r>
      <w:r>
        <w:rPr>
          <w:rFonts w:ascii="Arial" w:cs="Arial" w:eastAsia="Arial" w:hAnsi="Arial"/>
          <w:sz w:val="18"/>
          <w:szCs w:val="18"/>
          <w:color w:val="auto"/>
        </w:rPr>
        <w:t>. This Plan shall be administered by the Committee, which shall have the powers vested in it by the terms of this Plan, such</w:t>
      </w:r>
      <w:r>
        <w:rPr>
          <w:rFonts w:ascii="Arial" w:cs="Arial" w:eastAsia="Arial" w:hAnsi="Arial"/>
          <w:sz w:val="18"/>
          <w:szCs w:val="18"/>
          <w:i w:val="1"/>
          <w:iCs w:val="1"/>
          <w:color w:val="auto"/>
        </w:rPr>
        <w:t xml:space="preserve"> </w:t>
      </w:r>
      <w:r>
        <w:rPr>
          <w:rFonts w:ascii="Arial" w:cs="Arial" w:eastAsia="Arial" w:hAnsi="Arial"/>
          <w:sz w:val="18"/>
          <w:szCs w:val="18"/>
          <w:color w:val="auto"/>
        </w:rPr>
        <w:t>powers to include the authority (within the limitations described in this Plan):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select the Employees to be granted Awards under this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determine the terms of Awards to be made to each Participant;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determine the time when Awards are to be granted and any conditions that must be satisfied before an Award is granted;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establish objectives and conditions for earning Awards;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determine the terms and conditions of Award Agreements (which shall not be inconsistent with this Plan) and which parties must sign each Award Agreement;</w:t>
      </w:r>
    </w:p>
    <w:p>
      <w:pPr>
        <w:spacing w:after="0" w:line="5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determine whether the conditions for earning an Award have been met and whether a Performance Award will be paid at the end of an applicable performance period;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as otherwise provided in paragraphs 7(a) and 11, to modify the terms of Awards made under this Plan;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determine if, when and under what conditions payment of all or any part of an Award may be deferred;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determine whether the amount or payment of an Award should be reduced or eliminated;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determine the guidelines and/or procedures for the payment or exercise of Awards; and</w:t>
      </w:r>
    </w:p>
    <w:p>
      <w:pPr>
        <w:spacing w:after="0" w:line="90" w:lineRule="exact"/>
        <w:rPr>
          <w:rFonts w:ascii="Arial" w:cs="Arial" w:eastAsia="Arial" w:hAnsi="Arial"/>
          <w:sz w:val="18"/>
          <w:szCs w:val="18"/>
          <w:color w:val="auto"/>
        </w:rPr>
      </w:pPr>
    </w:p>
    <w:p>
      <w:pPr>
        <w:ind w:left="780" w:right="480" w:hanging="326"/>
        <w:spacing w:after="0" w:line="332" w:lineRule="auto"/>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Committee may correct any defect or supply any omission or reconcile any inconsistency in this Plan or in any Award in the manner and to the extent the Committee deems necessary or desirable to further Plan purposes or so as to avoid unanticipated consequences or address unanticipated events (including any temporary closure of a stock exchange on which the Common Stock is traded, disruption of communications or natural catastrophe) deemed by the Committee to be inconsistent with the purposes of the Plan or any Award Agreement, provided that no such action shall be taken absent shareholder approval to the extent required under Section 11. Any decision of the Committee in the interpretation and administration of this Plan shall lie within its sole discretion and shall be final, conclusive and binding on all parties concerned. All decisions and selections made by the Committee pursuant to the provisions of the Plan shall be made by a majority of its members unless subject to the Committee’s delegation of authority pursuant to paragraph 6 herein.</w:t>
      </w:r>
    </w:p>
    <w:p>
      <w:pPr>
        <w:spacing w:after="0" w:line="37" w:lineRule="exact"/>
        <w:rPr>
          <w:sz w:val="20"/>
          <w:szCs w:val="20"/>
          <w:color w:val="auto"/>
        </w:rPr>
      </w:pPr>
    </w:p>
    <w:p>
      <w:pPr>
        <w:jc w:val="both"/>
        <w:ind w:right="40" w:firstLine="464"/>
        <w:spacing w:after="0" w:line="306"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Limitation of Liability</w:t>
      </w:r>
      <w:r>
        <w:rPr>
          <w:rFonts w:ascii="Arial" w:cs="Arial" w:eastAsia="Arial" w:hAnsi="Arial"/>
          <w:sz w:val="16"/>
          <w:szCs w:val="16"/>
          <w:color w:val="auto"/>
        </w:rPr>
        <w:t>. No member of the Committee or officer of the Company to whom the Committee has delegated authority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paragraph 6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25" w:lineRule="exact"/>
        <w:rPr>
          <w:rFonts w:ascii="Arial" w:cs="Arial" w:eastAsia="Arial" w:hAnsi="Arial"/>
          <w:sz w:val="16"/>
          <w:szCs w:val="16"/>
          <w:color w:val="auto"/>
        </w:rPr>
      </w:pPr>
    </w:p>
    <w:p>
      <w:pPr>
        <w:ind w:right="120" w:firstLine="464"/>
        <w:spacing w:after="0" w:line="335" w:lineRule="auto"/>
        <w:tabs>
          <w:tab w:leader="none" w:pos="695"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Prohibition on Repricing of Awards</w:t>
      </w:r>
      <w:r>
        <w:rPr>
          <w:rFonts w:ascii="Arial" w:cs="Arial" w:eastAsia="Arial" w:hAnsi="Arial"/>
          <w:sz w:val="15"/>
          <w:szCs w:val="15"/>
          <w:color w:val="auto"/>
        </w:rPr>
        <w:t>. Other than in connection with a change in the Company’s capitalization (as described in Section 13), at any time</w:t>
      </w:r>
      <w:r>
        <w:rPr>
          <w:rFonts w:ascii="Arial" w:cs="Arial" w:eastAsia="Arial" w:hAnsi="Arial"/>
          <w:sz w:val="15"/>
          <w:szCs w:val="15"/>
          <w:i w:val="1"/>
          <w:iCs w:val="1"/>
          <w:color w:val="auto"/>
        </w:rPr>
        <w:t xml:space="preserve"> </w:t>
      </w:r>
      <w:r>
        <w:rPr>
          <w:rFonts w:ascii="Arial" w:cs="Arial" w:eastAsia="Arial" w:hAnsi="Arial"/>
          <w:sz w:val="15"/>
          <w:szCs w:val="15"/>
          <w:color w:val="auto"/>
        </w:rPr>
        <w:t>when the exercise price of an Option or SAR is above the Fair Market Value of a share of Common Stock, the Company shall not, without shareholder approval, reduce the exercise price of such Option or SAR and shall not exchange such Option or SAR for a new Award with a lower (or no) exercise price or for cash.</w:t>
      </w:r>
    </w:p>
    <w:p>
      <w:pPr>
        <w:spacing w:after="0" w:line="7" w:lineRule="exact"/>
        <w:rPr>
          <w:sz w:val="20"/>
          <w:szCs w:val="20"/>
          <w:color w:val="auto"/>
        </w:rPr>
      </w:pPr>
    </w:p>
    <w:p>
      <w:pPr>
        <w:ind w:right="100" w:firstLine="464"/>
        <w:spacing w:after="0" w:line="306"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Delegation of Authority</w:t>
      </w:r>
      <w:r>
        <w:rPr>
          <w:rFonts w:ascii="Arial" w:cs="Arial" w:eastAsia="Arial" w:hAnsi="Arial"/>
          <w:sz w:val="16"/>
          <w:szCs w:val="16"/>
          <w:color w:val="auto"/>
        </w:rPr>
        <w:t>. Except with respect to matters related to Awards to Executive Officers or other Awards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Section 162(m), the Committee may delegate to the Chief Executive Officer and to other senior officers of the Company or to such other committee of the Board its duties under this Plan pursuant to such conditions or limitations as the Committee may establish.</w:t>
      </w:r>
    </w:p>
    <w:p>
      <w:pPr>
        <w:spacing w:after="0" w:line="25" w:lineRule="exact"/>
        <w:rPr>
          <w:rFonts w:ascii="Arial" w:cs="Arial" w:eastAsia="Arial" w:hAnsi="Arial"/>
          <w:sz w:val="16"/>
          <w:szCs w:val="16"/>
          <w:color w:val="auto"/>
        </w:rPr>
      </w:pPr>
    </w:p>
    <w:p>
      <w:pPr>
        <w:ind w:left="640" w:hanging="17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6"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Committee shall determine the type or types of Awards to be made under this Plan and shall designate from time to time the Participants who are to be the recipients of such Awards. Each Award shall be embodied in an Award Agreement, which shall contain such terms, conditions and limitations as shall be determined by the Committee in its sole discretion. Awards may consist of those listed in this paragraph 7(a) and may be granted singly, in combination or in tandem. Awards may also be made in combination or in tandem with, in replacement of, or as alternatives to, grants or rights under this Plan or any other plan of the Company or any of its Subsidiaries, including the plan of any acquired entity; provided that, except as contemplated in paragraph 13 hereof, no Option may be issued in exchange for the cancellation of an Option with a higher exercise price nor may the exercise price of any Option be reduced. No Option may include provisions that “reload” the option upon exercise or that extend the term of an Option beyond what is the maximum period is specified in the Plan and/or Award Agreement.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shall be treated as set forth in the applicable Award Agreement. Subject to the provisions below applicable to each type of Award, the terms, conditions and limitations applicable to any Awards shall be determined by the Committee.</w:t>
      </w:r>
    </w:p>
    <w:p>
      <w:pPr>
        <w:spacing w:after="0" w:line="46" w:lineRule="exact"/>
        <w:rPr>
          <w:sz w:val="20"/>
          <w:szCs w:val="20"/>
          <w:color w:val="auto"/>
        </w:rPr>
      </w:pPr>
    </w:p>
    <w:p>
      <w:pPr>
        <w:ind w:right="300" w:firstLine="464"/>
        <w:spacing w:after="0" w:line="268" w:lineRule="auto"/>
        <w:tabs>
          <w:tab w:leader="none" w:pos="666"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Option</w:t>
      </w:r>
      <w:r>
        <w:rPr>
          <w:rFonts w:ascii="Arial" w:cs="Arial" w:eastAsia="Arial" w:hAnsi="Arial"/>
          <w:sz w:val="18"/>
          <w:szCs w:val="18"/>
          <w:color w:val="auto"/>
        </w:rPr>
        <w:t>. An Award may be in the form of an Option. An Option awarded pursuant to this Plan may consist of an Incentive Option or a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and will be designated accordingly at the time of grant.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price at which shares of Common Stock may be purchased upon the exercise of an Option shall be not less than the Fair Market Value of the Common Stock on the date of grant. The term of an Option shall not exceed ten years from the date of grant.</w:t>
      </w:r>
    </w:p>
    <w:p>
      <w:pPr>
        <w:spacing w:after="0" w:line="51" w:lineRule="exact"/>
        <w:rPr>
          <w:sz w:val="20"/>
          <w:szCs w:val="20"/>
          <w:color w:val="auto"/>
        </w:rPr>
      </w:pPr>
    </w:p>
    <w:p>
      <w:pPr>
        <w:jc w:val="both"/>
        <w:ind w:right="40" w:firstLine="464"/>
        <w:spacing w:after="0" w:line="259" w:lineRule="auto"/>
        <w:tabs>
          <w:tab w:leader="none" w:pos="71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Stock Appreciation Right</w:t>
      </w:r>
      <w:r>
        <w:rPr>
          <w:rFonts w:ascii="Arial" w:cs="Arial" w:eastAsia="Arial" w:hAnsi="Arial"/>
          <w:sz w:val="18"/>
          <w:szCs w:val="18"/>
          <w:color w:val="auto"/>
        </w:rPr>
        <w:t>. An Award may be in the form of a Stock Appreciation Right. The strike price for a Stock Appreciation Right shall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the Common Stock on the date on which the Stock Appreciation Right is granted. The term of a Stock Appreciation Right shall not exceed ten years from the date of grant.</w:t>
      </w:r>
    </w:p>
    <w:p>
      <w:pPr>
        <w:spacing w:after="0" w:line="59" w:lineRule="exact"/>
        <w:rPr>
          <w:rFonts w:ascii="Arial" w:cs="Arial" w:eastAsia="Arial" w:hAnsi="Arial"/>
          <w:sz w:val="18"/>
          <w:szCs w:val="18"/>
          <w:color w:val="auto"/>
        </w:rPr>
      </w:pPr>
    </w:p>
    <w:p>
      <w:pPr>
        <w:ind w:right="100" w:firstLine="464"/>
        <w:spacing w:after="0" w:line="294" w:lineRule="auto"/>
        <w:tabs>
          <w:tab w:leader="none" w:pos="764"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Stock Award</w:t>
      </w:r>
      <w:r>
        <w:rPr>
          <w:rFonts w:ascii="Arial" w:cs="Arial" w:eastAsia="Arial" w:hAnsi="Arial"/>
          <w:sz w:val="16"/>
          <w:szCs w:val="16"/>
          <w:color w:val="auto"/>
        </w:rPr>
        <w:t>. An Award may be in the form of a Stock Award. Any Stock Award which is not a Performance Award shall have a minimum Restriction</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three years from the date of grant, provided that (i) the Committee may provide for earlier vesting following a change of control or other specified events involving the Company or upon an Employee’s termination of employment by reason of death, disability or retirement, and (ii) vesting of a Stock Award may occur incrementally over the three-year minimum Restricted Period; provided, that up to 1.75 million shares of Common Stock shall be available for issuance as Stock Awards having a time-based Restriction Period of up to three years but not less than one year.</w:t>
      </w:r>
    </w:p>
    <w:p>
      <w:pPr>
        <w:spacing w:after="0" w:line="34" w:lineRule="exact"/>
        <w:rPr>
          <w:rFonts w:ascii="Arial" w:cs="Arial" w:eastAsia="Arial" w:hAnsi="Arial"/>
          <w:sz w:val="16"/>
          <w:szCs w:val="16"/>
          <w:color w:val="auto"/>
        </w:rPr>
      </w:pPr>
    </w:p>
    <w:p>
      <w:pPr>
        <w:ind w:left="760" w:hanging="296"/>
        <w:spacing w:after="0"/>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An Award may be in the form of a Cash Award.</w:t>
      </w:r>
    </w:p>
    <w:p>
      <w:pPr>
        <w:spacing w:after="0" w:line="90" w:lineRule="exact"/>
        <w:rPr>
          <w:rFonts w:ascii="Arial" w:cs="Arial" w:eastAsia="Arial" w:hAnsi="Arial"/>
          <w:sz w:val="18"/>
          <w:szCs w:val="18"/>
          <w:color w:val="auto"/>
        </w:rPr>
      </w:pPr>
    </w:p>
    <w:p>
      <w:pPr>
        <w:ind w:firstLine="464"/>
        <w:spacing w:after="0" w:line="291" w:lineRule="auto"/>
        <w:tabs>
          <w:tab w:leader="none" w:pos="705"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Performance Award</w:t>
      </w:r>
      <w:r>
        <w:rPr>
          <w:rFonts w:ascii="Arial" w:cs="Arial" w:eastAsia="Arial" w:hAnsi="Arial"/>
          <w:sz w:val="16"/>
          <w:szCs w:val="16"/>
          <w:color w:val="auto"/>
        </w:rPr>
        <w:t>. Without limiting the type or number of Awards that may be made under the other provisions of this Plan, an Award may be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form of a Performance Award. Any Stock Award which is a Performance Award shall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shall set Performance Goals in its sole discretion which, depending on the extent to which they are met, will determine the value and/or amount of Performance Awards that will be paid out to the Participant and/or the portion of an Award that may be exercised.</w:t>
      </w:r>
    </w:p>
    <w:p>
      <w:pPr>
        <w:spacing w:after="0" w:line="39" w:lineRule="exact"/>
        <w:rPr>
          <w:sz w:val="20"/>
          <w:szCs w:val="20"/>
          <w:color w:val="auto"/>
        </w:rPr>
      </w:pPr>
    </w:p>
    <w:p>
      <w:pPr>
        <w:ind w:right="320" w:firstLine="464"/>
        <w:spacing w:after="0" w:line="259" w:lineRule="auto"/>
        <w:tabs>
          <w:tab w:leader="none" w:pos="744"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Employees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shall be based on achievement of such Performance Goals and be subject to such terms, conditions and restrictions as the Committee or its delegate shall determine.</w:t>
      </w:r>
    </w:p>
    <w:p>
      <w:pPr>
        <w:spacing w:after="0" w:line="59" w:lineRule="exact"/>
        <w:rPr>
          <w:rFonts w:ascii="Arial" w:cs="Arial" w:eastAsia="Arial" w:hAnsi="Arial"/>
          <w:sz w:val="18"/>
          <w:szCs w:val="18"/>
          <w:color w:val="auto"/>
        </w:rPr>
      </w:pPr>
    </w:p>
    <w:p>
      <w:pPr>
        <w:ind w:right="60" w:firstLine="464"/>
        <w:spacing w:after="0" w:line="289" w:lineRule="auto"/>
        <w:tabs>
          <w:tab w:leader="none" w:pos="734"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Qualified Performance Awards</w:t>
      </w:r>
      <w:r>
        <w:rPr>
          <w:rFonts w:ascii="Arial" w:cs="Arial" w:eastAsia="Arial" w:hAnsi="Arial"/>
          <w:sz w:val="16"/>
          <w:szCs w:val="16"/>
          <w:color w:val="auto"/>
        </w:rPr>
        <w:t>. Performance Awards that are intended to qualify as qualified performance-based compensation under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paid, vested or otherwise deliverable solely on account of the attainment of one or more pre-established, objective Performance Goals established and administered by the Committee in accordance with Section 162(m)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a Participant, one or more business units, divisions or sectors of the Company, or the Company as a whole, and if so desired by the Committee, by comparison with a peer group of companies. A Performance Goal may include one or more of the following and need not be the same for each Participant.</w:t>
      </w:r>
    </w:p>
    <w:p>
      <w:pPr>
        <w:spacing w:after="0" w:line="37" w:lineRule="exact"/>
        <w:rPr>
          <w:rFonts w:ascii="Arial" w:cs="Arial" w:eastAsia="Arial" w:hAnsi="Arial"/>
          <w:sz w:val="16"/>
          <w:szCs w:val="16"/>
          <w:color w:val="auto"/>
        </w:rPr>
      </w:pPr>
    </w:p>
    <w:p>
      <w:pPr>
        <w:ind w:left="780" w:right="48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revenue and income measures (which include revenue, gross margin, income from operations, net income, net sales, earnings per share, earnings before interest, taxes, depreciation and amortization (“EBITDA”), and economic value added (“EVA”);</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expense measures (which include costs of goods sold, selling, finding and development costs, general and administrative expenses and overhead costs);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operating measures (which include productivity, operating income, funds from operations, cash from operations, after-tax operating income, market share, margin and sales volumes);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cash flow measures (which include net cash flow from operating activities and working capital);</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liquidity measures (which include earnings before or after the effect of certain items such as interest, taxes, depreciation and amortization, and free cash flow);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leverage measures (which include debt-to-equity ratio and net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market measures (which include market share, stock price, growth measure, total shareholder return and market capitalization measures);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return measures (which include return on equity, return on assets and return on invested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measures relating to compliance, safety, environmental and diversity;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measures relating to acquisitions, dispositions or customer satisfaction.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performance relative to a peer group determined by the Committee or limiting economic losses (measured, in each case, by reference to specific business criteria). In interpreting Plan provisions applicable to Performance Goals and qualified Performance Awards, it is the intent of this Plan to conform with Section 162(m), including, without limitation, Treasury Regulation §1.162-27(e)(2)(i), as to grants pursuant to this subsection and the Committee in establishing such goals and interpreting the Plan shall be guided by such provisions. Prior to the payment of any compensation based on the achievement of Performance Goals applicable to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to the extent permitted by Section 162(m).</w:t>
      </w:r>
    </w:p>
    <w:p>
      <w:pPr>
        <w:spacing w:after="0" w:line="37" w:lineRule="exact"/>
        <w:rPr>
          <w:sz w:val="20"/>
          <w:szCs w:val="20"/>
          <w:color w:val="auto"/>
        </w:rPr>
      </w:pPr>
    </w:p>
    <w:p>
      <w:pPr>
        <w:ind w:firstLine="464"/>
        <w:spacing w:after="0" w:line="254"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Committee shall adjust the Performance Goals (either up or down) and the level of the Performance Award that a Participant may earn under this Plan, but only to the extent permitted pursuant to Section 162(m),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shall be calculated without regard to any changes in accounting standards that may be required by the Financial Accounting Standards Board after such Performance Goals are established.</w:t>
      </w:r>
    </w:p>
    <w:p>
      <w:pPr>
        <w:spacing w:after="0" w:line="63" w:lineRule="exact"/>
        <w:rPr>
          <w:rFonts w:ascii="Arial" w:cs="Arial" w:eastAsia="Arial" w:hAnsi="Arial"/>
          <w:sz w:val="18"/>
          <w:szCs w:val="18"/>
          <w:color w:val="auto"/>
        </w:rPr>
      </w:pPr>
    </w:p>
    <w:p>
      <w:pPr>
        <w:ind w:right="20" w:firstLine="464"/>
        <w:spacing w:after="0" w:line="255"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no Participant may be granted, during any one-year period, Awards collectively consisting of (i) Options or Stock Appreciation Rights that are exercisable for or (ii) Stock Awards covering or relating to more than 1,000,000 shares of Common Stock (the limitation referred to as the “Stock-based Awards Limitations”). No Plan Participant who is an employee may be granted Awards consisting of cash (including Cash Awards that are granted as Performance Awards) in respect of any calendar year having a value determined on the Grant Date in excess of $20,000,000.</w:t>
      </w:r>
    </w:p>
    <w:p>
      <w:pPr>
        <w:spacing w:after="0" w:line="62" w:lineRule="exact"/>
        <w:rPr>
          <w:sz w:val="20"/>
          <w:szCs w:val="20"/>
          <w:color w:val="auto"/>
        </w:rPr>
      </w:pPr>
    </w:p>
    <w:p>
      <w:pPr>
        <w:ind w:left="640" w:hanging="17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Award Payment; Dividends; Substitution; Fractional Shares</w:t>
      </w:r>
      <w:r>
        <w:rPr>
          <w:rFonts w:ascii="Arial" w:cs="Arial" w:eastAsia="Arial" w:hAnsi="Arial"/>
          <w:sz w:val="18"/>
          <w:szCs w:val="18"/>
          <w:color w:val="auto"/>
        </w:rPr>
        <w:t>.</w:t>
      </w:r>
    </w:p>
    <w:p>
      <w:pPr>
        <w:spacing w:after="0" w:line="90" w:lineRule="exact"/>
        <w:rPr>
          <w:sz w:val="20"/>
          <w:szCs w:val="20"/>
          <w:color w:val="auto"/>
        </w:rPr>
      </w:pPr>
    </w:p>
    <w:p>
      <w:pPr>
        <w:ind w:right="200" w:firstLine="464"/>
        <w:spacing w:after="0" w:line="290"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Payment of Awards may be made in the form of cash or Common Stock, or a combination thereof, and may include such restrictions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determine, including, in the case of Common Stock, restrictions on transfer and forfeiture provisions. If payment of an Award is made in the form of Restricted Stock, the applicable Award Agreement relating to such shares shall specify whether they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37"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Dividends and Interest</w:t>
      </w:r>
      <w:r>
        <w:rPr>
          <w:rFonts w:ascii="Arial" w:cs="Arial" w:eastAsia="Arial" w:hAnsi="Arial"/>
          <w:sz w:val="18"/>
          <w:szCs w:val="18"/>
          <w:color w:val="auto"/>
        </w:rPr>
        <w:t>. Rights to dividends or Dividend Equivalents may be extended to and made part of any Stock Awards, subject to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as the Committee may establish. The Committee may also establish rules and procedures for the crediting of interest on deferred cash payments and Dividend Equivalents for Stock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64"/>
        <w:spacing w:after="0" w:line="259"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shall be issued or delivered pursuant to any Award under this Plan. The Committee shall determine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Awards or other property shall be issued or paid in lieu of fractional shares, or whether fractional shares or any rights thereto shall be forfeited or otherwise eliminated.</w:t>
      </w:r>
    </w:p>
    <w:p>
      <w:pPr>
        <w:spacing w:after="0" w:line="59" w:lineRule="exact"/>
        <w:rPr>
          <w:sz w:val="20"/>
          <w:szCs w:val="20"/>
          <w:color w:val="auto"/>
        </w:rPr>
      </w:pPr>
    </w:p>
    <w:p>
      <w:pPr>
        <w:ind w:right="60" w:firstLine="464"/>
        <w:spacing w:after="0" w:line="294"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Stock Option Exercise</w:t>
      </w:r>
      <w:r>
        <w:rPr>
          <w:rFonts w:ascii="Arial" w:cs="Arial" w:eastAsia="Arial" w:hAnsi="Arial"/>
          <w:sz w:val="16"/>
          <w:szCs w:val="16"/>
          <w:color w:val="auto"/>
        </w:rPr>
        <w:t>. The price at which shares of Common Stock may be purchased under an Option shall be paid in full at the time of exercise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or, if elected by the Participant, the Participant may purchase such shares by means of tendering Common Stock valued at Fair Market Value on the date of exercise, or any combination thereof. The Committee, in its sole discretion, shall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34" w:lineRule="exact"/>
        <w:rPr>
          <w:rFonts w:ascii="Arial" w:cs="Arial" w:eastAsia="Arial" w:hAnsi="Arial"/>
          <w:sz w:val="16"/>
          <w:szCs w:val="16"/>
          <w:color w:val="auto"/>
        </w:rPr>
      </w:pPr>
    </w:p>
    <w:p>
      <w:pPr>
        <w:ind w:right="40" w:firstLine="464"/>
        <w:spacing w:after="0" w:line="291" w:lineRule="auto"/>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Company shall have the right to deduct applicable taxes from any Award payment and withhold, at the time of delivery or vesting of cash or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39" w:lineRule="exact"/>
        <w:rPr>
          <w:rFonts w:ascii="Arial" w:cs="Arial" w:eastAsia="Arial" w:hAnsi="Arial"/>
          <w:sz w:val="16"/>
          <w:szCs w:val="16"/>
          <w:color w:val="auto"/>
        </w:rPr>
      </w:pPr>
    </w:p>
    <w:p>
      <w:pPr>
        <w:ind w:right="40" w:firstLine="464"/>
        <w:spacing w:after="0" w:line="289" w:lineRule="auto"/>
        <w:tabs>
          <w:tab w:leader="none" w:pos="713"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Amendment, Modification, Suspension or Termination</w:t>
      </w:r>
      <w:r>
        <w:rPr>
          <w:rFonts w:ascii="Arial" w:cs="Arial" w:eastAsia="Arial" w:hAnsi="Arial"/>
          <w:sz w:val="16"/>
          <w:szCs w:val="16"/>
          <w:color w:val="auto"/>
        </w:rPr>
        <w:t>. The Board or the Committee may amend, modify, suspend or terminate this Plan for the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of meeting or addressing any changes in legal requirements or for any other purpose permitted by law, except that (i) no amendment or alteration that would materially adversely affect the rights of any Participant under any Award previously granted to such Participant shall be made without the consent of such Participant and (ii) no amendment or alteration shall be effective prior to its approval by the shareholders of the Company to the extent shareholder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shareholder approval (except in connection with a change in the Company’s capitalization as provided in paragraph 13), if the effect of such amendment would be to reduce the exercise price for the shares underlying such Option or SAR.</w:t>
      </w:r>
    </w:p>
    <w:p>
      <w:pPr>
        <w:spacing w:after="0" w:line="37" w:lineRule="exact"/>
        <w:rPr>
          <w:rFonts w:ascii="Arial" w:cs="Arial" w:eastAsia="Arial" w:hAnsi="Arial"/>
          <w:sz w:val="16"/>
          <w:szCs w:val="16"/>
          <w:color w:val="auto"/>
        </w:rPr>
      </w:pPr>
    </w:p>
    <w:p>
      <w:pPr>
        <w:ind w:left="720" w:hanging="256"/>
        <w:spacing w:after="0"/>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Assignability</w:t>
      </w:r>
      <w:r>
        <w:rPr>
          <w:rFonts w:ascii="Arial" w:cs="Arial" w:eastAsia="Arial" w:hAnsi="Arial"/>
          <w:sz w:val="16"/>
          <w:szCs w:val="16"/>
          <w:color w:val="auto"/>
        </w:rPr>
        <w:t>. Unless otherwise determined by the Committee in the Award Agreement, no Award or any other benefit under this Plan shall be</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assignable or otherwise transferable. Any attempted assignment of an Award or any other benefit under this Plan in violation of this paragraph 12 shall be null and void.</w:t>
      </w:r>
    </w:p>
    <w:p>
      <w:pPr>
        <w:spacing w:after="0" w:line="56" w:lineRule="exact"/>
        <w:rPr>
          <w:rFonts w:ascii="Arial" w:cs="Arial" w:eastAsia="Arial" w:hAnsi="Arial"/>
          <w:sz w:val="16"/>
          <w:szCs w:val="16"/>
          <w:color w:val="auto"/>
        </w:rPr>
      </w:pPr>
    </w:p>
    <w:p>
      <w:pPr>
        <w:ind w:left="720" w:hanging="256"/>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90" w:lineRule="exact"/>
        <w:rPr>
          <w:sz w:val="20"/>
          <w:szCs w:val="20"/>
          <w:color w:val="auto"/>
        </w:rPr>
      </w:pPr>
    </w:p>
    <w:p>
      <w:pPr>
        <w:ind w:right="200" w:firstLine="464"/>
        <w:spacing w:after="0" w:line="255"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existence of this Plan and Awards granted hereunder shall not affect in any way the right or power of the Company or its shareholders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61" w:lineRule="exact"/>
        <w:rPr>
          <w:rFonts w:ascii="Arial" w:cs="Arial" w:eastAsia="Arial" w:hAnsi="Arial"/>
          <w:sz w:val="18"/>
          <w:szCs w:val="18"/>
          <w:color w:val="auto"/>
        </w:rPr>
      </w:pPr>
    </w:p>
    <w:p>
      <w:pPr>
        <w:ind w:firstLine="464"/>
        <w:spacing w:after="0" w:line="256" w:lineRule="auto"/>
        <w:tabs>
          <w:tab w:leader="none" w:pos="7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62" w:lineRule="exact"/>
        <w:rPr>
          <w:rFonts w:ascii="Arial" w:cs="Arial" w:eastAsia="Arial" w:hAnsi="Arial"/>
          <w:sz w:val="18"/>
          <w:szCs w:val="18"/>
          <w:color w:val="auto"/>
        </w:rPr>
      </w:pPr>
    </w:p>
    <w:p>
      <w:pPr>
        <w:jc w:val="both"/>
        <w:ind w:right="200" w:firstLine="464"/>
        <w:spacing w:after="0" w:line="306"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62" w:lineRule="exact"/>
        <w:rPr>
          <w:sz w:val="20"/>
          <w:szCs w:val="20"/>
          <w:color w:val="auto"/>
        </w:rPr>
      </w:pPr>
    </w:p>
    <w:p>
      <w:pPr>
        <w:ind w:left="460" w:right="40" w:firstLine="443"/>
        <w:spacing w:after="0" w:line="268" w:lineRule="auto"/>
        <w:tabs>
          <w:tab w:leader="none" w:pos="1108"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57"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50" w:lineRule="exact"/>
        <w:rPr>
          <w:rFonts w:ascii="Arial" w:cs="Arial" w:eastAsia="Arial" w:hAnsi="Arial"/>
          <w:sz w:val="18"/>
          <w:szCs w:val="18"/>
          <w:color w:val="auto"/>
        </w:rPr>
      </w:pPr>
    </w:p>
    <w:p>
      <w:pPr>
        <w:ind w:firstLine="464"/>
        <w:spacing w:after="0" w:line="288" w:lineRule="auto"/>
        <w:tabs>
          <w:tab w:leader="none" w:pos="70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a share of Common Stock on such date over the exercise price of such Award (for the avoidance of doubt, if such exercise price is greater than the Fair Market Value of a share of Common Stock on such date, the Option or Stock Appreciation Right may be canceled for no consideration).</w:t>
      </w:r>
    </w:p>
    <w:p>
      <w:pPr>
        <w:spacing w:after="0" w:line="38" w:lineRule="exact"/>
        <w:rPr>
          <w:rFonts w:ascii="Arial" w:cs="Arial" w:eastAsia="Arial" w:hAnsi="Arial"/>
          <w:sz w:val="16"/>
          <w:szCs w:val="16"/>
          <w:color w:val="auto"/>
        </w:rPr>
      </w:pPr>
    </w:p>
    <w:p>
      <w:pPr>
        <w:ind w:right="220" w:firstLine="464"/>
        <w:spacing w:after="0" w:line="305" w:lineRule="auto"/>
        <w:tabs>
          <w:tab w:leader="none" w:pos="695" w:val="left"/>
        </w:tabs>
        <w:numPr>
          <w:ilvl w:val="1"/>
          <w:numId w:val="109"/>
        </w:numPr>
        <w:rPr>
          <w:rFonts w:ascii="Arial" w:cs="Arial" w:eastAsia="Arial" w:hAnsi="Arial"/>
          <w:sz w:val="15"/>
          <w:szCs w:val="15"/>
          <w:color w:val="auto"/>
        </w:rPr>
      </w:pPr>
      <w:r>
        <w:rPr>
          <w:rFonts w:ascii="Arial" w:cs="Arial" w:eastAsia="Arial" w:hAnsi="Arial"/>
          <w:sz w:val="15"/>
          <w:szCs w:val="15"/>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w:t>
      </w:r>
    </w:p>
    <w:p>
      <w:pPr>
        <w:ind w:firstLine="8"/>
        <w:spacing w:after="0" w:line="292" w:lineRule="auto"/>
        <w:tabs>
          <w:tab w:leader="none" w:pos="25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 (iii) 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p>
      <w:pPr>
        <w:spacing w:after="0" w:line="36" w:lineRule="exact"/>
        <w:rPr>
          <w:sz w:val="20"/>
          <w:szCs w:val="20"/>
          <w:color w:val="auto"/>
        </w:rPr>
      </w:pPr>
    </w:p>
    <w:p>
      <w:pPr>
        <w:ind w:firstLine="464"/>
        <w:spacing w:after="0" w:line="287" w:lineRule="auto"/>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Restrictions</w:t>
      </w:r>
      <w:r>
        <w:rPr>
          <w:rFonts w:ascii="Arial" w:cs="Arial" w:eastAsia="Arial" w:hAnsi="Arial"/>
          <w:sz w:val="16"/>
          <w:szCs w:val="16"/>
          <w:color w:val="auto"/>
        </w:rPr>
        <w:t>. No Common Stock or other form of payment shall be issued with respect to any Award unless the Company shall be satisfied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41" w:lineRule="exact"/>
        <w:rPr>
          <w:rFonts w:ascii="Arial" w:cs="Arial" w:eastAsia="Arial" w:hAnsi="Arial"/>
          <w:sz w:val="16"/>
          <w:szCs w:val="16"/>
          <w:color w:val="auto"/>
        </w:rPr>
      </w:pPr>
    </w:p>
    <w:p>
      <w:pPr>
        <w:ind w:right="360" w:firstLine="464"/>
        <w:spacing w:after="0" w:line="306" w:lineRule="auto"/>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Insofar as it provides for Awards of cash, Common Stock or rights thereto, this Plan shall be unfunded. Although bookkeeping</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may be established with respect to Participants who are entitled to cash, Common Stock or rights thereto under this Plan, any such accounts shall be used merely as a bookkeeping convenience. The Company shall not be required to segregate any assets that may at any time be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39" w:lineRule="exact"/>
        <w:rPr>
          <w:sz w:val="20"/>
          <w:szCs w:val="20"/>
          <w:color w:val="auto"/>
        </w:rPr>
      </w:pPr>
    </w:p>
    <w:p>
      <w:pPr>
        <w:ind w:firstLine="464"/>
        <w:spacing w:after="0" w:line="290" w:lineRule="auto"/>
        <w:tabs>
          <w:tab w:leader="none" w:pos="72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This Plan is intended to provide compensation which is exempt from or which complies with Section 409A, and ambiguous provisions, if</w:t>
      </w:r>
      <w:r>
        <w:rPr>
          <w:rFonts w:ascii="Arial" w:cs="Arial" w:eastAsia="Arial" w:hAnsi="Arial"/>
          <w:sz w:val="16"/>
          <w:szCs w:val="16"/>
          <w:i w:val="1"/>
          <w:iCs w:val="1"/>
          <w:color w:val="auto"/>
        </w:rPr>
        <w:t xml:space="preserve"> </w:t>
      </w:r>
      <w:r>
        <w:rPr>
          <w:rFonts w:ascii="Arial" w:cs="Arial" w:eastAsia="Arial" w:hAnsi="Arial"/>
          <w:sz w:val="16"/>
          <w:szCs w:val="16"/>
          <w:color w:val="auto"/>
        </w:rPr>
        <w:t>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3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w:t>
      </w:r>
    </w:p>
    <w:p>
      <w:pPr>
        <w:spacing w:after="0" w:line="2" w:lineRule="exact"/>
        <w:rPr>
          <w:sz w:val="20"/>
          <w:szCs w:val="20"/>
          <w:color w:val="auto"/>
        </w:rPr>
      </w:pPr>
    </w:p>
    <w:p>
      <w:pPr>
        <w:ind w:left="260" w:hanging="252"/>
        <w:spacing w:after="0"/>
        <w:tabs>
          <w:tab w:leader="none" w:pos="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date that is six months and one day following the date of termination or (2) the date of the Participant’s death.</w:t>
      </w:r>
    </w:p>
    <w:p>
      <w:pPr>
        <w:spacing w:after="0" w:line="83" w:lineRule="exact"/>
        <w:rPr>
          <w:rFonts w:ascii="Arial" w:cs="Arial" w:eastAsia="Arial" w:hAnsi="Arial"/>
          <w:sz w:val="18"/>
          <w:szCs w:val="18"/>
          <w:color w:val="auto"/>
        </w:rPr>
      </w:pPr>
    </w:p>
    <w:p>
      <w:pPr>
        <w:jc w:val="both"/>
        <w:ind w:right="760" w:firstLine="464"/>
        <w:spacing w:after="0" w:line="357" w:lineRule="auto"/>
        <w:tabs>
          <w:tab w:leader="none" w:pos="720" w:val="left"/>
        </w:tabs>
        <w:numPr>
          <w:ilvl w:val="1"/>
          <w:numId w:val="113"/>
        </w:numPr>
        <w:rPr>
          <w:rFonts w:ascii="Arial" w:cs="Arial" w:eastAsia="Arial" w:hAnsi="Arial"/>
          <w:sz w:val="15"/>
          <w:szCs w:val="15"/>
          <w:color w:val="auto"/>
        </w:rPr>
      </w:pPr>
      <w:r>
        <w:rPr>
          <w:rFonts w:ascii="Arial" w:cs="Arial" w:eastAsia="Arial" w:hAnsi="Arial"/>
          <w:sz w:val="15"/>
          <w:szCs w:val="15"/>
          <w:i w:val="1"/>
          <w:iCs w:val="1"/>
          <w:color w:val="auto"/>
        </w:rPr>
        <w:t>Governing Law</w:t>
      </w:r>
      <w:r>
        <w:rPr>
          <w:rFonts w:ascii="Arial" w:cs="Arial" w:eastAsia="Arial" w:hAnsi="Arial"/>
          <w:sz w:val="15"/>
          <w:szCs w:val="15"/>
          <w:color w:val="auto"/>
        </w:rPr>
        <w:t>. This Plan and all determinations made and actions taken pursuant hereto, to the extent not otherwise governed by mandatory</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the Code or the securities laws of the United States, shall be governed by and construed in accordance with the laws of the State of Texas.</w:t>
      </w:r>
    </w:p>
    <w:p>
      <w:pPr>
        <w:jc w:val="both"/>
        <w:ind w:right="60" w:firstLine="464"/>
        <w:spacing w:after="0" w:line="259" w:lineRule="auto"/>
        <w:tabs>
          <w:tab w:leader="none" w:pos="720"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No Right to Employment</w:t>
      </w:r>
      <w:r>
        <w:rPr>
          <w:rFonts w:ascii="Arial" w:cs="Arial" w:eastAsia="Arial" w:hAnsi="Arial"/>
          <w:sz w:val="18"/>
          <w:szCs w:val="18"/>
          <w:color w:val="auto"/>
        </w:rPr>
        <w:t>. Nothing in this Plan or an Award Agreement shall interfere with or limit in any way the right of the Company or a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to terminate any Participant’s employment or other service relationship at any time, nor confer upon any Participant any right to continue in the capacity in which he or she is employed or otherwise serves the Company or any Subsidiary.</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1"/>
          <w:numId w:val="113"/>
        </w:numPr>
        <w:rPr>
          <w:rFonts w:ascii="Arial" w:cs="Arial" w:eastAsia="Arial" w:hAnsi="Arial"/>
          <w:sz w:val="16"/>
          <w:szCs w:val="16"/>
          <w:color w:val="auto"/>
        </w:rPr>
      </w:pPr>
      <w:r>
        <w:rPr>
          <w:rFonts w:ascii="Arial" w:cs="Arial" w:eastAsia="Arial" w:hAnsi="Arial"/>
          <w:sz w:val="16"/>
          <w:szCs w:val="16"/>
          <w:i w:val="1"/>
          <w:iCs w:val="1"/>
          <w:color w:val="auto"/>
        </w:rPr>
        <w:t>Successors</w:t>
      </w:r>
      <w:r>
        <w:rPr>
          <w:rFonts w:ascii="Arial" w:cs="Arial" w:eastAsia="Arial" w:hAnsi="Arial"/>
          <w:sz w:val="16"/>
          <w:szCs w:val="16"/>
          <w:color w:val="auto"/>
        </w:rPr>
        <w:t>. All obligations of the Company under this Plan with respect to Awards granted hereunder shall be binding on any successor to the</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and/or assets of the Company.</w:t>
      </w:r>
    </w:p>
    <w:p>
      <w:pPr>
        <w:spacing w:after="0" w:line="56" w:lineRule="exact"/>
        <w:rPr>
          <w:rFonts w:ascii="Arial" w:cs="Arial" w:eastAsia="Arial" w:hAnsi="Arial"/>
          <w:sz w:val="16"/>
          <w:szCs w:val="16"/>
          <w:color w:val="auto"/>
        </w:rPr>
      </w:pPr>
    </w:p>
    <w:p>
      <w:pPr>
        <w:ind w:right="200" w:firstLine="464"/>
        <w:spacing w:after="0" w:line="294" w:lineRule="auto"/>
        <w:tabs>
          <w:tab w:leader="none" w:pos="720" w:val="left"/>
        </w:tabs>
        <w:numPr>
          <w:ilvl w:val="1"/>
          <w:numId w:val="113"/>
        </w:numPr>
        <w:rPr>
          <w:rFonts w:ascii="Arial" w:cs="Arial" w:eastAsia="Arial" w:hAnsi="Arial"/>
          <w:sz w:val="16"/>
          <w:szCs w:val="16"/>
          <w:color w:val="auto"/>
        </w:rPr>
      </w:pPr>
      <w:r>
        <w:rPr>
          <w:rFonts w:ascii="Arial" w:cs="Arial" w:eastAsia="Arial" w:hAnsi="Arial"/>
          <w:sz w:val="16"/>
          <w:szCs w:val="16"/>
          <w:i w:val="1"/>
          <w:iCs w:val="1"/>
          <w:color w:val="auto"/>
        </w:rPr>
        <w:t>Tax Consequences</w:t>
      </w:r>
      <w:r>
        <w:rPr>
          <w:rFonts w:ascii="Arial" w:cs="Arial" w:eastAsia="Arial" w:hAnsi="Arial"/>
          <w:sz w:val="16"/>
          <w:szCs w:val="16"/>
          <w:color w:val="auto"/>
        </w:rPr>
        <w:t>. Nothing in this Plan or an Award Agreement shall constitute a representation by the Company to a Participant regarding the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of any Award received by a Participant under this Plan. Although the Company may endeavor to (i) qualify a Performance Award for favorable U.S. or foreign tax treatment or (ii) avoid adverse tax treatment (e.g. under Section 409A), the Company makes no representation to that effect and expressly disavows any covenant to maintain favorable or unavoidable tax treatment. The Company shall be unconstrained in its corporate activities without regard to the potential negative tax impact on holders of Performance Awards under this Plan.</w:t>
      </w:r>
    </w:p>
    <w:p>
      <w:pPr>
        <w:spacing w:after="0" w:line="34" w:lineRule="exact"/>
        <w:rPr>
          <w:rFonts w:ascii="Arial" w:cs="Arial" w:eastAsia="Arial" w:hAnsi="Arial"/>
          <w:sz w:val="16"/>
          <w:szCs w:val="16"/>
          <w:color w:val="auto"/>
        </w:rPr>
      </w:pPr>
    </w:p>
    <w:p>
      <w:pPr>
        <w:ind w:right="140" w:firstLine="464"/>
        <w:spacing w:after="0" w:line="306" w:lineRule="auto"/>
        <w:tabs>
          <w:tab w:leader="none" w:pos="720" w:val="left"/>
        </w:tabs>
        <w:numPr>
          <w:ilvl w:val="1"/>
          <w:numId w:val="113"/>
        </w:numPr>
        <w:rPr>
          <w:rFonts w:ascii="Arial" w:cs="Arial" w:eastAsia="Arial" w:hAnsi="Arial"/>
          <w:sz w:val="16"/>
          <w:szCs w:val="16"/>
          <w:color w:val="auto"/>
        </w:rPr>
      </w:pPr>
      <w:r>
        <w:rPr>
          <w:rFonts w:ascii="Arial" w:cs="Arial" w:eastAsia="Arial" w:hAnsi="Arial"/>
          <w:sz w:val="16"/>
          <w:szCs w:val="16"/>
          <w:i w:val="1"/>
          <w:iCs w:val="1"/>
          <w:color w:val="auto"/>
        </w:rPr>
        <w:t>Non-United States Participants</w:t>
      </w:r>
      <w:r>
        <w:rPr>
          <w:rFonts w:ascii="Arial" w:cs="Arial" w:eastAsia="Arial" w:hAnsi="Arial"/>
          <w:sz w:val="16"/>
          <w:szCs w:val="16"/>
          <w:color w:val="auto"/>
        </w:rPr>
        <w:t>. The Committee may grant awards to persons outside the United States under such terms and conditions as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of the Committee, be necessary or advisable to comply with the laws of the applicable foreign jurisdictions and, to that end, may establish sub-plans, modified vesting, exercise or settlement procedures and other terms and procedures. Notwithstanding the above, the Committee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may not take any actions hereunder, and no Awards shall be granted, that would violate the Securities Exchange Act of 1934, the Code, any securities law, any governing statute, or any other applicable law.</w:t>
      </w:r>
    </w:p>
    <w:p>
      <w:pPr>
        <w:spacing w:after="0" w:line="51" w:lineRule="exact"/>
        <w:rPr>
          <w:sz w:val="20"/>
          <w:szCs w:val="20"/>
          <w:color w:val="auto"/>
        </w:rPr>
      </w:pPr>
    </w:p>
    <w:p>
      <w:pPr>
        <w:ind w:firstLine="464"/>
        <w:spacing w:after="0" w:line="259" w:lineRule="auto"/>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Plan is effective January 17, 2013, subject to its approval by the stockholders of the Company at the next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This Plan shall continue in effect for a term of ten years after the date on which the stockholders of the Company approve this Plan, unless sooner terminated by action of the Board.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Company has caused this Plan to be executed by its duly authorized officer on the date first written 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-13970</wp:posOffset>
            </wp:positionV>
            <wp:extent cx="26479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47950"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-13970</wp:posOffset>
            </wp:positionV>
            <wp:extent cx="25641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Amended and Restated Effective as of January 1,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Schlumberger Discounted Stock Purchase Plan (the “Plan”) is designed to encourage and assist all employees of Schlumberger Limited, a Curacao corporation, and Subsidiaries (hereinafter collectively referred to as the “Company”), where permitted by applicable laws and regulations, to acquire an equity interest in Schlumberger Limited through the purchase of shares of Common Stock, par value $0.01 per share, of Schlumberger Limited (“Common Stock”). It is intended that this Plan shall constitute an “employee stock purchase plan” within the meaning of Section 423 of the Internal Revenue Code of 1986, as amended (the “Code”).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Administration of the Plan</w:t>
      </w:r>
    </w:p>
    <w:p>
      <w:pPr>
        <w:spacing w:after="0" w:line="17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5"/>
          <w:szCs w:val="15"/>
          <w:color w:val="auto"/>
        </w:rPr>
        <w:t>The Plan shall be administered by the Stock Purchase Plan Committee (the “Committee”) appointed by the Board of Directors of Schlumberger Limited (the “Board”), which Committee shall consist of at least three (3) persons. The Committee shall supervise the administration and enforcement of the Plan according to its terms and provisions and shall have all powers necessary to accomplish these purposes and discharge its duties hereunder including, but not by way of limitation, the power to (i) employ and compensate agents of the Committee for the purpose of administering the accounts of participating employees;</w:t>
      </w:r>
    </w:p>
    <w:p>
      <w:pPr>
        <w:spacing w:after="0" w:line="3" w:lineRule="exact"/>
        <w:rPr>
          <w:sz w:val="20"/>
          <w:szCs w:val="20"/>
          <w:color w:val="auto"/>
        </w:rPr>
      </w:pPr>
    </w:p>
    <w:p>
      <w:pPr>
        <w:ind w:right="280" w:firstLine="8"/>
        <w:spacing w:after="0" w:line="261" w:lineRule="auto"/>
        <w:tabs>
          <w:tab w:leader="none" w:pos="25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construe or interpret the Plan; (iii) determine all questions of eligibility; and (iv) compute the amount and determine the manner and time of payment of all benefits according to the Plan hereunder.</w:t>
      </w:r>
    </w:p>
    <w:p>
      <w:pPr>
        <w:spacing w:after="0" w:line="5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Committee may act by unanimous decision of its members at a regular or special meeting of the Committee or by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Nature and Number of Shares</w:t>
      </w:r>
    </w:p>
    <w:p>
      <w:pPr>
        <w:spacing w:after="0" w:line="177"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Common Stock subject to issuance under the terms of the Plan shall be shares of Schlumberger Limited’s authorized but unissued shares or previously issued shares reacquired and held by Schlumberger Limited. Except as provided in Section 20 hereof, effective from and after January 17, 2013, the aggregate number of shares which may be issued under the Plan and authorized by this Plan shall not exceed 22,000,000, the sum of (i) the zero shares of Common Stock available for issuance under this Plan on January 1, 2013 after the issuance of any such shares attributable to the Purchase Period ending December 31, 2012 and</w:t>
      </w:r>
    </w:p>
    <w:p>
      <w:pPr>
        <w:spacing w:after="0" w:line="3" w:lineRule="exact"/>
        <w:rPr>
          <w:sz w:val="20"/>
          <w:szCs w:val="20"/>
          <w:color w:val="auto"/>
        </w:rPr>
      </w:pPr>
    </w:p>
    <w:p>
      <w:pPr>
        <w:ind w:firstLine="8"/>
        <w:spacing w:after="0" w:line="261" w:lineRule="auto"/>
        <w:tabs>
          <w:tab w:leader="none" w:pos="2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22,000,000 shares of Common Stock authorized as of January 17, 2013. All shares purchased under the Plan, regardless of source, shall be counted against this share limitation.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Eligibility Requirements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“Employee” (as hereinafter defined), except as described in the next following paragraph, shall become eligible to participate in the Plan in accordance with Section 5 on the first “Enrollment Date” (as hereinafter defined) coincident with or next following employment with the Company. Participation in the Plan is voluntary.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Employees are not eligible to participate in the Plan:</w:t>
      </w:r>
    </w:p>
    <w:p>
      <w:pPr>
        <w:spacing w:after="0" w:line="90" w:lineRule="exact"/>
        <w:rPr>
          <w:sz w:val="20"/>
          <w:szCs w:val="20"/>
          <w:color w:val="auto"/>
        </w:rPr>
      </w:pPr>
    </w:p>
    <w:p>
      <w:pPr>
        <w:ind w:left="460" w:right="180" w:firstLine="443"/>
        <w:spacing w:after="0" w:line="332" w:lineRule="auto"/>
        <w:tabs>
          <w:tab w:leader="none" w:pos="110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Employees who are customarily employed by the Company less than twenty (20) hours per week or less than five (5) months in any calendar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year; and</w:t>
      </w:r>
    </w:p>
    <w:p>
      <w:pPr>
        <w:spacing w:after="0" w:line="83" w:lineRule="exact"/>
        <w:rPr>
          <w:rFonts w:ascii="Arial" w:cs="Arial" w:eastAsia="Arial" w:hAnsi="Arial"/>
          <w:sz w:val="16"/>
          <w:szCs w:val="16"/>
          <w:color w:val="auto"/>
        </w:rPr>
      </w:pPr>
    </w:p>
    <w:p>
      <w:pPr>
        <w:ind w:left="460" w:right="420" w:firstLine="443"/>
        <w:spacing w:after="0" w:line="268" w:lineRule="auto"/>
        <w:tabs>
          <w:tab w:leader="none" w:pos="12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Employees who are prohibited by the laws and regulations of the nation of their residence or employment from participating in the Plan as determined by the Committee.</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provisions of subparagraph (ii) above, where required by applicable law (as determined by the Committee), Employees employed in the countries specified from time to time by the Committee who are customarily employed by the Company less than twenty (20) hours per week may participate in the Plan where required by law, subject to any restrictions established by the Committee.</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“Employee” shall mean any individual employed by Schlumberger Limited or any Subsidiary (as hereinafter defined). “Subsidiary” shall mean any corporation in existence as of the “Restatement Date” (as hereinafter defined) of this Plan in an unbroken chain of corporations beginning with Schlumberger Limited if, as of the Restatement Date, each of the corporations other than the last corporation in the chain owns stock possessing 50% or more of the total combined voting power of all classes of stock in one of the other corporations in the chain. Any corporation which may become a Subsidiary (as defined herein) after the Restatement Date shall automatically be deemed to be a participating Subsidiary under this Plan effective as of the following Enrollment Date unless the Committee takes action to exclude such corporation and its employees from participation herein.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Enrollment</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Each eligible Employee of Schlumberger Limited or any Subsidiary as of January 1, 2013 (the “Restatement Date” herein) who is already enrolled in the Plan may enroll in the Plan as of July 1, 2013. Each other eligible Employee of Schlumberger Limited or a participating Subsidiary who thereafter becomes eligible to participate may enroll in the Plan on the first July 1 or January 1 following the date he or she first meets the eligibility requirements of Section 4. Any eligible employee not enrolling in the Plan when first eligible may enroll in the Plan on the first day of July or January of any subsequent calendar year. Any eligible Employee may enroll or re-enroll in the Plan on the dates hereinabove prescribed or such other specific dates established by the Committee from time to time (“Enrollment Dates”).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enroll, an eligible Employee must complete, sign and submit the appropriate form to the Personnel Department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Method of Payment</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Payment for shares is to be made as of the applicable “Purchase Date” (as defined in Section 9) through payroll deductions (with no right of prepayment) over the Plan’s designated purchase period (the “Purchase Period”) with the first such deduction commencing with the payroll period ending after the Enrollment Date. Each Purchase Period under the Plan shall be a period of six (6) calendar months beginning on July 1 and ending on December 31 of the same calendar year, and beginning on January 1 and ending on June 30 of the same calendar year, or such other period as the Committee may prescribe. Each participating Employee (hereinafter referred to as a “Participant”) will authorize such deductions from his or her pay for each month during the Purchase Period and such amounts will be deducted in conformity with his or her employer’s payroll deduction schedule.</w:t>
      </w:r>
    </w:p>
    <w:p>
      <w:pPr>
        <w:spacing w:after="0" w:line="3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form. Bonuses will be included in determining the amount of the Participant’s contribution unless the Participant gives written notice to the Personnel Department at the time and in the manner directed by the Committee.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 Participant may elect to increase or decrease the rate of contribution effective as of the first day of any calendar month by giving timely written notice to the Personnel Department of the Company on the appropriate form, as determined by the Committee from time to time. A Participant may suspend payroll deductions at any time during the Purchase Period, by giving thirty (30) days’ written notice to the Personnel Department on the appropriate form. In such case, the Participant’s account will continue to accrue interest and will be used to purchase stock at the end of the Purchase Period. A Participant may also elect to withdraw contributions at any time by giving thirty (30) days’ prior written notice to the Personnel Department of the Company on the appropriate form. Any Participant who withdraws his or her contributions will receive his or her entire account balance, including interest and dividends, if any, plus a stock certificate for the number of shares held by the Participant under the Plan as soon as administratively feasible.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more than the maximum contribution permitted any Participant under Section 9 can be accumulated over the Purchase Period, including interest and dividends, if applicable. Except in case of cancellation of election to purchase, death, resignation or other terminating event, the amount in a Participant’s account the end of the Purchase Period will be applied to the purchase of the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Crediting of Contributions, Interest and Dividends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Contributions shall be credited to a Participant’s account as soon as administratively feasible after payroll withholding. Unless otherwise prohibited by laws or regulations, Participant contributions will receive interest at a rate realized for the investment vehicle or vehicles designated by the Committee for purposes of the Plan. Interest will be credited to a Participant’s account from the first date on which Participant contributions are deposited with the investment vehicle until the earlier of (i) the end of the Purchase Period or (ii) in the event of cancellation, death, resignation or other terminating event, the last day of the month next preceding the date on which such contributions are returned to the Participant. Dividends on shares held in a Participant’s account in the Plan will also be credited to such Participant’s account. Any such contributions, interest and dividends shall he deposited in or held by a bank or financial institution designated by the Committee for this purpose (“Custodian”).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Grant of Right to Purchase Shares on Enrollment</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notifies the Personnel Department on the appropriate form that he or she elects not to re-enroll. A Participant who has suspended payroll deductions or withdrawn contributions during any Purchase Period must re-enroll on the appropriate form to participate in the Plan in the next Purchase Period.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right to purchase shares of Common Stock under the Plan during a Purchase Period shall have the following terms:</w:t>
      </w:r>
    </w:p>
    <w:p>
      <w:pPr>
        <w:spacing w:after="0" w:line="90" w:lineRule="exact"/>
        <w:rPr>
          <w:sz w:val="20"/>
          <w:szCs w:val="20"/>
          <w:color w:val="auto"/>
        </w:rPr>
      </w:pPr>
    </w:p>
    <w:p>
      <w:pPr>
        <w:ind w:left="460" w:right="20" w:firstLine="443"/>
        <w:spacing w:after="0" w:line="259" w:lineRule="auto"/>
        <w:tabs>
          <w:tab w:leader="none" w:pos="11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right to purchase shares of Common Stock during a particular Purchase Period shall expire on the earlier of (A) the completion of the purchase of shares on the Purchase Date occurring on the last trading day of the Purchase Period; or (B) the date on which participation of such Participant in the Plan terminates for any reason;</w:t>
      </w:r>
    </w:p>
    <w:p>
      <w:pPr>
        <w:spacing w:after="0" w:line="59" w:lineRule="exact"/>
        <w:rPr>
          <w:rFonts w:ascii="Arial" w:cs="Arial" w:eastAsia="Arial" w:hAnsi="Arial"/>
          <w:sz w:val="18"/>
          <w:szCs w:val="18"/>
          <w:color w:val="auto"/>
        </w:rPr>
      </w:pPr>
    </w:p>
    <w:p>
      <w:pPr>
        <w:ind w:left="460" w:right="400" w:firstLine="443"/>
        <w:spacing w:after="0" w:line="268" w:lineRule="auto"/>
        <w:tabs>
          <w:tab w:leader="none" w:pos="11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no event shall the right to purchase shares of Common Stock during a Purchase Period extend beyond twenty-seven (27) months from the Enrollment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0" w:firstLine="443"/>
        <w:spacing w:after="0" w:line="268" w:lineRule="auto"/>
        <w:tabs>
          <w:tab w:leader="none" w:pos="12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payment for shares purchased will be made only through payroll withholding and the crediting of interest and dividends, if applicable, in accordance with Sections 6 and 7;</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purchase of shares will be accomplished only in accordance with Section 9;</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price per share will be determined as provided in Section 9;</w:t>
      </w:r>
    </w:p>
    <w:p>
      <w:pPr>
        <w:spacing w:after="0" w:line="90" w:lineRule="exact"/>
        <w:rPr>
          <w:rFonts w:ascii="Arial" w:cs="Arial" w:eastAsia="Arial" w:hAnsi="Arial"/>
          <w:sz w:val="18"/>
          <w:szCs w:val="18"/>
          <w:color w:val="auto"/>
        </w:rPr>
      </w:pPr>
    </w:p>
    <w:p>
      <w:pPr>
        <w:ind w:left="460" w:right="120" w:firstLine="443"/>
        <w:spacing w:after="0" w:line="256" w:lineRule="auto"/>
        <w:tabs>
          <w:tab w:leader="none" w:pos="119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any calendar year having a fair market value in excess of $25,000 (the “Maximum Share Limitation”) as determined in accordance with the Section 423 of the Code and the regulations thereunder; and</w:t>
      </w:r>
    </w:p>
    <w:p>
      <w:pPr>
        <w:spacing w:after="0" w:line="62" w:lineRule="exact"/>
        <w:rPr>
          <w:rFonts w:ascii="Arial" w:cs="Arial" w:eastAsia="Arial" w:hAnsi="Arial"/>
          <w:sz w:val="18"/>
          <w:szCs w:val="18"/>
          <w:color w:val="auto"/>
        </w:rPr>
      </w:pPr>
    </w:p>
    <w:p>
      <w:pPr>
        <w:ind w:left="460" w:right="60" w:firstLine="443"/>
        <w:spacing w:after="0" w:line="268" w:lineRule="auto"/>
        <w:tabs>
          <w:tab w:leader="none" w:pos="12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Maximum Share Limitation for a Purchase Period shall be determined as of the Grant Date (as defined in Section 9) of a Purchase Period by dividing $12,500 by the fair market value of a share of Common Stock on such Grant Date; and</w:t>
      </w:r>
    </w:p>
    <w:p>
      <w:pPr>
        <w:spacing w:after="0" w:line="50" w:lineRule="exact"/>
        <w:rPr>
          <w:rFonts w:ascii="Arial" w:cs="Arial" w:eastAsia="Arial" w:hAnsi="Arial"/>
          <w:sz w:val="18"/>
          <w:szCs w:val="18"/>
          <w:color w:val="auto"/>
        </w:rPr>
      </w:pPr>
    </w:p>
    <w:p>
      <w:pPr>
        <w:ind w:left="1300" w:hanging="397"/>
        <w:spacing w:after="0"/>
        <w:tabs>
          <w:tab w:leader="none" w:pos="13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right to purchase shares will in all respects be subject to the terms and conditions of the Plan, as interpreted by the Committee from time 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Purchase of Shares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right to purchase shares of Common Stock granted by the Company under the Plan is for the term of a Purchase Period. The fair market value of the Common Stuck to be purchased during such Purchase Period will be determined by averaging the highest and lowest composite sale prices per share of the Common Stock on the New York Stock Exchange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3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the Purchase Date, the Committee shall apply the funds then credited to each Participant’s account to the purchase of whole shares of Common Stock. The cost to the Participant for the shares purchased during a Purchase Period shall be 92.5% of the lower of:</w:t>
      </w:r>
    </w:p>
    <w:p>
      <w:pPr>
        <w:spacing w:after="0" w:line="51" w:lineRule="exact"/>
        <w:rPr>
          <w:sz w:val="20"/>
          <w:szCs w:val="20"/>
          <w:color w:val="auto"/>
        </w:rPr>
      </w:pPr>
    </w:p>
    <w:p>
      <w:pPr>
        <w:ind w:left="1120" w:hanging="217"/>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Fair Market Value of the Common Stock on the Grant Date;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Fair Market Value of the Common Stock on the Purchase Date.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Certificates evidencing shares purchased shall be delivered to the Custodian or to any other bank or financial institution designated by the Committee for this purpose or shall be delivered to the Participant (if the Participant has elected to receive the certificate) as soon as administratively feasible after the Purchase Date, but Participants shall be treated as the record owners of their shares effective as of the Purchase Date. Shares that are held by the Custodian or any other designated bank or financial institution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a certificate for the number of shares held in his or her account as of the most recent Purchase Date and any cash, dividends or interest remaining in his or her account. Any Participant who terminates employment or withdraws his or her contributions from the Plan prior to the next Purchase Date, will receive a certificate for the number of shares held in his or her account and a cash refund attributable to amounts equal to less than the price of a whole share, and any accumulated contributions, dividends and interest. If for any reason a Participant’s allocations to the Plan exceed $11,562.50 during a Purchase Period or if the purchase of shares with such allocations would exceed the Maximum Share Limitation, such excess amounts shall be refunded to the Participant as soon as administratively feasible after such excess has been determined to exist.</w:t>
      </w:r>
    </w:p>
    <w:p>
      <w:pPr>
        <w:spacing w:after="0" w:line="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as of any Purchase Date the shares authorized for purchase under the Plan are exceeded, enrollments shall be reduced proportionately to eliminate the excess. Any funds that cannot be applied to the purchase of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due to excess enrollment shall be refunded as soon as administratively feasible, including interest determined in accordance with Section 7. The Committee in its discretion may also provide that amounts representing a fractional share of Common Stock that were withheld but not applied toward the purchase of shares in a Purchase Period may be carried over to the next Purchase Period under this Plan or any successor plan according to the regulations as set forth under Section 423 of the Code.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Withdrawal of Shares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Participant may elect to withdraw shares held in his or her account at any time (without withdrawing from the Plan) by giving notice to the Personnel Department on the appropriate form. Upon receipt of such notice from the Personnel Department, the Custodian, bank or other financial institution designated by the Committee for this purpose will arrange for the issuance and delivery of all shares held in the Participant’s account as soon as administratively feasible.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Termination of Participation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or her beneficiary or legal representative all amounts credited to his or her account, including interest and dividends, if applicable, determined in accordance with Section 7, and shall cause a certificate for the number of shares held in his or her account to be delivered to the Participant or to his or her beneficiary or legal representative.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Unpaid Leave of Absence</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the Participant has voluntarily withdrawn his or her contributions from the Plan, shares will be purchased for his or her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 contributions made up to the commencement of such unpaid leave of absence plus interest on such contributions and dividends, if applicable, both determined in accordance with Section 7. Participation in the Plan will terminate immediately after the purchase of shares on such Purchase Date, unless the Participant has resumed eligible employment prior to the Purchase Date, in which case the Participant may resume payroll deductions immediately.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Designation of Beneficiary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Participant may designate one or more beneficiaries in the event of death and may, in his or her sole discretion, change such designation at any time.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Any such designation shall be effective upon receipt by the local Personnel Department and shall control over any disposition by will or otherwise.</w:t>
      </w:r>
    </w:p>
    <w:p>
      <w:pPr>
        <w:spacing w:after="0" w:line="107"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As soon as administratively feasible after the death of a Participant, amounts credited to his or her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Assignment</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6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 or her.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Treatment of Non-U. S. Participants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Participants who are employed by non-U.S. Companies,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Costs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costs and expenses incurred in administering this Plan shall be paid by the Company. Any brokerage fees for the sale of shares purchased under the Plan shall be paid by the Participant.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Reports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Equal Rights and Privileges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eligible Employees shall have equal rights and privileges with respect to the Plan so that the Plan qualifies as an “employee stock purchase plan” within the meaning of Section 423 or any successor provision of the Code and related regulations. Any provision of the Plan which is inconsistent with Section 423 or any successor provision of the Code shall without further act or amendment by the Company be reformed to comply with the requirements of Section 423. This Section 18 shall take precedence over all other provisions in the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Rights as Stockholder</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Participant will have no rights as a stockholder under the election to purchase until he or she becomes a stockholder as herein provided. A Participant will become a stockholder with respect to shares for which payment has been completed as provided in Section 9 at the close of business on the last business day of the Purchase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Capitalization, Dissolution, Liquidation, Merger or Asset Sale.</w:t>
      </w:r>
    </w:p>
    <w:p>
      <w:pPr>
        <w:spacing w:after="0" w:line="177" w:lineRule="exact"/>
        <w:rPr>
          <w:rFonts w:ascii="Arial" w:cs="Arial" w:eastAsia="Arial" w:hAnsi="Arial"/>
          <w:sz w:val="18"/>
          <w:szCs w:val="18"/>
          <w:b w:val="1"/>
          <w:bCs w:val="1"/>
          <w:color w:val="auto"/>
        </w:rPr>
      </w:pPr>
    </w:p>
    <w:p>
      <w:pPr>
        <w:ind w:firstLine="464"/>
        <w:spacing w:after="0" w:line="289" w:lineRule="auto"/>
        <w:tabs>
          <w:tab w:leader="none" w:pos="69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Changes in Capitalization. Subject to any required action by the stockholders of the Company, the right to purchase shares of Common Stock covered by a current Purchase Period and the number of shares which have been authorized for issuance under the Plan for any future Purchase Period, the maximum number of shares each Participant may purchase each Purchase Period (pursuant to Section 9), as well as the price per share and the number of shares of Common Stock covered by each right under the Plan which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w:t>
      </w:r>
    </w:p>
    <w:p>
      <w:pPr>
        <w:spacing w:after="0" w:line="37" w:lineRule="exact"/>
        <w:rPr>
          <w:rFonts w:ascii="Arial" w:cs="Arial" w:eastAsia="Arial" w:hAnsi="Arial"/>
          <w:sz w:val="16"/>
          <w:szCs w:val="16"/>
          <w:color w:val="auto"/>
        </w:rPr>
      </w:pPr>
    </w:p>
    <w:p>
      <w:pPr>
        <w:ind w:right="20" w:firstLine="464"/>
        <w:spacing w:after="0" w:line="291" w:lineRule="auto"/>
        <w:tabs>
          <w:tab w:leader="none" w:pos="70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Dissolution or Liquidation. In the event of the proposed dissolution or liquidation of the Company, the Purchase Period then in progress shall be shortened by setting a new Purchase Date (the “New Purchase Date”), and shall terminate immediately prior to the consummation of such proposed dissolution or liquidation, unless provided otherwise by the Board. The New Purchase Date shall be before the date of the Company’s proposed dissolution or liquidation. Each Participant will be notified in writing, at least thirty (30) business days prior to the New Purchase Date, that the Purchase Date for the Participant’s right to purchase shares has been changed to the New Purchase Date and that the applicable number of shares will automatically be purchased on the New Purchase Date, unless prior to such date the Participant has withdrawn from the Plan as provided in Section 10 hereof.</w:t>
      </w:r>
    </w:p>
    <w:p>
      <w:pPr>
        <w:spacing w:after="0" w:line="39" w:lineRule="exact"/>
        <w:rPr>
          <w:rFonts w:ascii="Arial" w:cs="Arial" w:eastAsia="Arial" w:hAnsi="Arial"/>
          <w:sz w:val="16"/>
          <w:szCs w:val="16"/>
          <w:color w:val="auto"/>
        </w:rPr>
      </w:pPr>
    </w:p>
    <w:p>
      <w:pPr>
        <w:ind w:right="60" w:firstLine="464"/>
        <w:spacing w:after="0" w:line="289" w:lineRule="auto"/>
        <w:tabs>
          <w:tab w:leader="none" w:pos="69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Merger or Asset Sale. In the event of a proposed sale of all or substantially all of the assets of the Company, or the merger of the Company with or into another corporation, each outstanding right to purchase shares shall be assumed or an equivalent right to purchase shares substituted by the successor corporation or a parent or subsidiary of the successor corporation. In the event that the successor corporation refuses to assume or substitute the right to purchase shares, any Purchase Period then in progress shall be shortened by setting a new Purchase Date (the “New Purchase Date”) and any Purchase Period then in progress shall end on the New Purchase Date. The New Purchase Date shall be before the date of the Company’s proposed sale or merger. Each Participant will be notified in writing, at least thirty (30) business days prior to the New Purchase Date, that the Purchase Date has been changed to the New Purchase Date and that the applicable number of shares will be purchased automatically on the New Purchase Date, unless prior to such date the Participant has withdrawn from the Plan as provided in Section 10 hereof.</w:t>
      </w:r>
    </w:p>
    <w:p>
      <w:pPr>
        <w:spacing w:after="0" w:line="112" w:lineRule="exact"/>
        <w:rPr>
          <w:rFonts w:ascii="Arial" w:cs="Arial" w:eastAsia="Arial" w:hAnsi="Arial"/>
          <w:sz w:val="16"/>
          <w:szCs w:val="16"/>
          <w:color w:val="auto"/>
        </w:rPr>
      </w:pPr>
    </w:p>
    <w:p>
      <w:pPr>
        <w:ind w:left="280" w:hanging="272"/>
        <w:spacing w:after="0"/>
        <w:tabs>
          <w:tab w:leader="none" w:pos="2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Termination</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Except as provided in Section 20 hereof, the Board may amend or terminate the Plan at any time. No amendment shall be effective unless within one year after it is adopted by the Board it is approved by the holders of a majority of the votes cast at a meeting if such amendment would otherwise cause the rights granted under the Plan to purchase shares of Common Stock to fail to meet the requirements of Section 423 of the Code (or any successor provision).</w:t>
      </w:r>
    </w:p>
    <w:p>
      <w:pPr>
        <w:spacing w:after="0" w:line="2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that have not been used to purchase shares shall be returned to the Participants as soon as administratively feasible, including interest and dividends, if applicable, determined in accordance with Section 7.</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Board and Stockholder Approval; Effective Date</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Plan was originally approved by the Board on January 28, 1988, amended and restated by the Board on January 21, 1992, 1998 and 2010. This Plan was approved by the holders of a majority of the shares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outstanding Common Stock of Schlumberger Limited on April 15, 1992, and the January 21, 2010 amendment and restatement of the Plan was similarly approved on April 7, 2010. This amendment and restatement approved by the Board on January 17, 2013 shall become effective as of January 1, 2013; provided, however, that the changes contained in Section 3 herein related to the increase in the number of shares which may be issued under the Plan shall not be effective unless approved by the holders of a majority of the votes cast at a meeting within the period ending January 17, 2014 (12 months after the date such increase in the number of shares which may be issued under the Plan is approved by the Board).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Governmental Approvals or Consents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Plan and any offering or sale made to Employees under it are subject to any governmental approvals or consents that may be or become applicable in connection therewith. Subject to the provisions of Section 21, the Board may make such changes in the Plan and include such terms in any offering under the Plan as may be desirable to comply with the rules or regulations of any governmental authority.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Other Provisions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agreements to purchase shares of Common Stock under the Plan shall contain such other provisions as the Committee and the Board shall deem advisable, provided that no such provision shall in any way be in conflict with the terms of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5599 SAN FELIPE, 17TH FLOOR</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HOUSTON, TX 77056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-633730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60"/>
        <w:spacing w:after="0" w:line="271"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520"/>
        <w:spacing w:after="0" w:line="268"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ind w:right="54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540"/>
        <w:spacing w:after="0" w:line="22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40" w:space="720"/>
            <w:col w:w="548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040" w:type="dxa"/>
            <w:vAlign w:val="bottom"/>
            <w:gridSpan w:val="5"/>
          </w:tcPr>
          <w:p>
            <w:pPr>
              <w:jc w:val="right"/>
              <w:ind w:right="335"/>
              <w:spacing w:after="0"/>
              <w:rPr>
                <w:sz w:val="20"/>
                <w:szCs w:val="20"/>
                <w:color w:val="auto"/>
              </w:rPr>
            </w:pPr>
            <w:r>
              <w:rPr>
                <w:rFonts w:ascii="Arial" w:cs="Arial" w:eastAsia="Arial" w:hAnsi="Arial"/>
                <w:sz w:val="14"/>
                <w:szCs w:val="14"/>
                <w:color w:val="auto"/>
                <w:w w:val="94"/>
              </w:rPr>
              <w:t>TO VOTE, MARK BLOCKS BELOW IN BLUE OR BLACK INK AS FOLLOWS:</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ind w:left="500"/>
              <w:spacing w:after="0"/>
              <w:rPr>
                <w:sz w:val="20"/>
                <w:szCs w:val="20"/>
                <w:color w:val="auto"/>
              </w:rPr>
            </w:pPr>
            <w:r>
              <w:rPr>
                <w:rFonts w:ascii="Arial" w:cs="Arial" w:eastAsia="Arial" w:hAnsi="Arial"/>
                <w:sz w:val="14"/>
                <w:szCs w:val="14"/>
                <w:color w:val="auto"/>
              </w:rPr>
              <w:t>M40767-P20448</w:t>
            </w:r>
          </w:p>
        </w:tc>
        <w:tc>
          <w:tcPr>
            <w:tcW w:w="3180" w:type="dxa"/>
            <w:vAlign w:val="bottom"/>
            <w:gridSpan w:val="7"/>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840" w:type="dxa"/>
            <w:vAlign w:val="bottom"/>
            <w:gridSpan w:val="6"/>
            <w:vMerge w:val="restart"/>
          </w:tcPr>
          <w:p>
            <w:pPr>
              <w:jc w:val="right"/>
              <w:ind w:right="392"/>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180" w:type="dxa"/>
            <w:vAlign w:val="bottom"/>
            <w:gridSpan w:val="7"/>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840" w:type="dxa"/>
            <w:vAlign w:val="bottom"/>
            <w:gridSpan w:val="6"/>
            <w:vMerge w:val="continue"/>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360" w:type="dxa"/>
            <w:vAlign w:val="bottom"/>
            <w:tcBorders>
              <w:bottom w:val="single" w:sz="8" w:color="auto"/>
            </w:tcBorders>
          </w:tcPr>
          <w:p>
            <w:pPr>
              <w:spacing w:after="0"/>
              <w:rPr>
                <w:sz w:val="6"/>
                <w:szCs w:val="6"/>
                <w:color w:val="auto"/>
              </w:rPr>
            </w:pPr>
          </w:p>
        </w:tc>
        <w:tc>
          <w:tcPr>
            <w:tcW w:w="3060" w:type="dxa"/>
            <w:vAlign w:val="bottom"/>
            <w:tcBorders>
              <w:bottom w:val="single" w:sz="8" w:color="auto"/>
            </w:tcBorders>
            <w:gridSpan w:val="2"/>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tcBorders>
            <w:gridSpan w:val="3"/>
          </w:tcPr>
          <w:p>
            <w:pPr>
              <w:ind w:left="220"/>
              <w:spacing w:after="0" w:line="149" w:lineRule="exact"/>
              <w:rPr>
                <w:sz w:val="20"/>
                <w:szCs w:val="20"/>
                <w:color w:val="auto"/>
              </w:rPr>
            </w:pPr>
            <w:r>
              <w:rPr>
                <w:rFonts w:ascii="Arial" w:cs="Arial" w:eastAsia="Arial" w:hAnsi="Arial"/>
                <w:sz w:val="14"/>
                <w:szCs w:val="14"/>
                <w:b w:val="1"/>
                <w:bCs w:val="1"/>
                <w:color w:val="auto"/>
              </w:rPr>
              <w:t>SCHLUMBERGER LIMITED</w:t>
            </w: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20" w:type="dxa"/>
            <w:vAlign w:val="bottom"/>
            <w:tcBorders>
              <w:left w:val="single" w:sz="8" w:color="auto"/>
            </w:tcBorders>
            <w:gridSpan w:val="3"/>
          </w:tcPr>
          <w:p>
            <w:pPr>
              <w:ind w:left="220"/>
              <w:spacing w:after="0" w:line="123" w:lineRule="exact"/>
              <w:rPr>
                <w:sz w:val="20"/>
                <w:szCs w:val="20"/>
                <w:color w:val="auto"/>
              </w:rPr>
            </w:pPr>
            <w:r>
              <w:rPr>
                <w:rFonts w:ascii="Arial" w:cs="Arial" w:eastAsia="Arial" w:hAnsi="Arial"/>
                <w:sz w:val="14"/>
                <w:szCs w:val="14"/>
                <w:b w:val="1"/>
                <w:bCs w:val="1"/>
                <w:color w:val="auto"/>
              </w:rPr>
              <w:t>The Board of Directors recommends you vote</w:t>
            </w: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420" w:type="dxa"/>
            <w:vAlign w:val="bottom"/>
            <w:tcBorders>
              <w:left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FOR the following:</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tcBorders>
            <w:gridSpan w:val="3"/>
          </w:tcPr>
          <w:p>
            <w:pPr>
              <w:ind w:left="220"/>
              <w:spacing w:after="0"/>
              <w:rPr>
                <w:sz w:val="20"/>
                <w:szCs w:val="20"/>
                <w:color w:val="auto"/>
              </w:rPr>
            </w:pPr>
            <w:r>
              <w:rPr>
                <w:rFonts w:ascii="Arial" w:cs="Arial" w:eastAsia="Arial" w:hAnsi="Arial"/>
                <w:sz w:val="14"/>
                <w:szCs w:val="14"/>
                <w:color w:val="auto"/>
              </w:rPr>
              <w:t>1.  Election of Directors</w:t>
            </w:r>
          </w:p>
        </w:tc>
        <w:tc>
          <w:tcPr>
            <w:tcW w:w="4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0" w:type="dxa"/>
            <w:vAlign w:val="bottom"/>
            <w:tcBorders>
              <w:left w:val="single" w:sz="8" w:color="auto"/>
            </w:tcBorders>
          </w:tcPr>
          <w:p>
            <w:pPr>
              <w:spacing w:after="0"/>
              <w:rPr>
                <w:sz w:val="17"/>
                <w:szCs w:val="17"/>
                <w:color w:val="auto"/>
              </w:rPr>
            </w:pPr>
          </w:p>
        </w:tc>
        <w:tc>
          <w:tcPr>
            <w:tcW w:w="3060" w:type="dxa"/>
            <w:vAlign w:val="bottom"/>
            <w:gridSpan w:val="2"/>
          </w:tcPr>
          <w:p>
            <w:pPr>
              <w:ind w:left="80"/>
              <w:spacing w:after="0"/>
              <w:rPr>
                <w:sz w:val="20"/>
                <w:szCs w:val="20"/>
                <w:color w:val="auto"/>
              </w:rPr>
            </w:pPr>
            <w:r>
              <w:rPr>
                <w:rFonts w:ascii="Arial" w:cs="Arial" w:eastAsia="Arial" w:hAnsi="Arial"/>
                <w:sz w:val="14"/>
                <w:szCs w:val="14"/>
                <w:b w:val="1"/>
                <w:bCs w:val="1"/>
                <w:color w:val="auto"/>
              </w:rPr>
              <w:t>Nominees:</w:t>
            </w:r>
          </w:p>
        </w:tc>
        <w:tc>
          <w:tcPr>
            <w:tcW w:w="440" w:type="dxa"/>
            <w:vAlign w:val="bottom"/>
          </w:tcPr>
          <w:p>
            <w:pPr>
              <w:spacing w:after="0"/>
              <w:rPr>
                <w:sz w:val="17"/>
                <w:szCs w:val="17"/>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60" w:type="dxa"/>
            <w:vAlign w:val="bottom"/>
            <w:tcBorders>
              <w:left w:val="single" w:sz="8" w:color="auto"/>
            </w:tcBorders>
          </w:tcPr>
          <w:p>
            <w:pPr>
              <w:spacing w:after="0"/>
              <w:rPr>
                <w:sz w:val="14"/>
                <w:szCs w:val="14"/>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1a.</w:t>
            </w:r>
          </w:p>
        </w:tc>
        <w:tc>
          <w:tcPr>
            <w:tcW w:w="2700" w:type="dxa"/>
            <w:vAlign w:val="bottom"/>
          </w:tcPr>
          <w:p>
            <w:pPr>
              <w:ind w:left="100"/>
              <w:spacing w:after="0"/>
              <w:rPr>
                <w:sz w:val="20"/>
                <w:szCs w:val="20"/>
                <w:color w:val="auto"/>
              </w:rPr>
            </w:pPr>
            <w:r>
              <w:rPr>
                <w:rFonts w:ascii="Arial" w:cs="Arial" w:eastAsia="Arial" w:hAnsi="Arial"/>
                <w:sz w:val="14"/>
                <w:szCs w:val="14"/>
                <w:color w:val="auto"/>
              </w:rPr>
              <w:t>Peter L.S. Currie</w:t>
            </w: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360" w:type="dxa"/>
            <w:vAlign w:val="bottom"/>
            <w:tcBorders>
              <w:lef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60" w:type="dxa"/>
            <w:vAlign w:val="bottom"/>
            <w:tcBorders>
              <w:left w:val="single" w:sz="8" w:color="auto"/>
            </w:tcBorders>
          </w:tcPr>
          <w:p>
            <w:pPr>
              <w:spacing w:after="0"/>
              <w:rPr>
                <w:sz w:val="17"/>
                <w:szCs w:val="17"/>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1b.</w:t>
            </w:r>
          </w:p>
        </w:tc>
        <w:tc>
          <w:tcPr>
            <w:tcW w:w="2700" w:type="dxa"/>
            <w:vAlign w:val="bottom"/>
          </w:tcPr>
          <w:p>
            <w:pPr>
              <w:ind w:left="100"/>
              <w:spacing w:after="0"/>
              <w:rPr>
                <w:sz w:val="20"/>
                <w:szCs w:val="20"/>
                <w:color w:val="auto"/>
              </w:rPr>
            </w:pPr>
            <w:r>
              <w:rPr>
                <w:rFonts w:ascii="Arial" w:cs="Arial" w:eastAsia="Arial" w:hAnsi="Arial"/>
                <w:sz w:val="14"/>
                <w:szCs w:val="14"/>
                <w:color w:val="auto"/>
              </w:rPr>
              <w:t>Tony Isaac</w:t>
            </w:r>
          </w:p>
        </w:tc>
        <w:tc>
          <w:tcPr>
            <w:tcW w:w="440" w:type="dxa"/>
            <w:vAlign w:val="bottom"/>
          </w:tcPr>
          <w:p>
            <w:pPr>
              <w:spacing w:after="0"/>
              <w:rPr>
                <w:sz w:val="17"/>
                <w:szCs w:val="17"/>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64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The Board of Directors recommends you vote FOR the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For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74"/>
        </w:trPr>
        <w:tc>
          <w:tcPr>
            <w:tcW w:w="360" w:type="dxa"/>
            <w:vAlign w:val="bottom"/>
            <w:tcBorders>
              <w:lef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following proposals:</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92"/>
        </w:trPr>
        <w:tc>
          <w:tcPr>
            <w:tcW w:w="360" w:type="dxa"/>
            <w:vAlign w:val="bottom"/>
            <w:tcBorders>
              <w:left w:val="single" w:sz="8" w:color="auto"/>
            </w:tcBorders>
          </w:tcPr>
          <w:p>
            <w:pPr>
              <w:spacing w:after="0"/>
              <w:rPr>
                <w:sz w:val="16"/>
                <w:szCs w:val="16"/>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1c.</w:t>
            </w:r>
          </w:p>
        </w:tc>
        <w:tc>
          <w:tcPr>
            <w:tcW w:w="2700" w:type="dxa"/>
            <w:vAlign w:val="bottom"/>
          </w:tcPr>
          <w:p>
            <w:pPr>
              <w:ind w:left="100"/>
              <w:spacing w:after="0"/>
              <w:rPr>
                <w:sz w:val="20"/>
                <w:szCs w:val="20"/>
                <w:color w:val="auto"/>
              </w:rPr>
            </w:pPr>
            <w:r>
              <w:rPr>
                <w:rFonts w:ascii="Arial" w:cs="Arial" w:eastAsia="Arial" w:hAnsi="Arial"/>
                <w:sz w:val="14"/>
                <w:szCs w:val="14"/>
                <w:color w:val="auto"/>
              </w:rPr>
              <w:t>K. Vaman Kamath</w:t>
            </w:r>
          </w:p>
        </w:tc>
        <w:tc>
          <w:tcPr>
            <w:tcW w:w="440" w:type="dxa"/>
            <w:vAlign w:val="bottom"/>
          </w:tcPr>
          <w:p>
            <w:pPr>
              <w:spacing w:after="0"/>
              <w:rPr>
                <w:sz w:val="16"/>
                <w:szCs w:val="16"/>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640" w:type="dxa"/>
            <w:vAlign w:val="bottom"/>
            <w:gridSpan w:val="4"/>
          </w:tcPr>
          <w:p>
            <w:pPr>
              <w:ind w:left="60"/>
              <w:spacing w:after="0"/>
              <w:rPr>
                <w:sz w:val="20"/>
                <w:szCs w:val="20"/>
                <w:color w:val="auto"/>
              </w:rPr>
            </w:pPr>
            <w:r>
              <w:rPr>
                <w:rFonts w:ascii="Arial" w:cs="Arial" w:eastAsia="Arial" w:hAnsi="Arial"/>
                <w:sz w:val="14"/>
                <w:szCs w:val="14"/>
                <w:color w:val="auto"/>
                <w:w w:val="90"/>
              </w:rPr>
              <w:t>2.   To approve, on an advisory basis, the Company’s executive</w:t>
            </w:r>
          </w:p>
        </w:tc>
        <w:tc>
          <w:tcPr>
            <w:tcW w:w="2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6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ind w:left="160"/>
              <w:spacing w:after="0" w:line="133" w:lineRule="exact"/>
              <w:rPr>
                <w:sz w:val="20"/>
                <w:szCs w:val="20"/>
                <w:color w:val="auto"/>
              </w:rPr>
            </w:pPr>
            <w:r>
              <w:rPr>
                <w:rFonts w:ascii="Arial" w:cs="Arial" w:eastAsia="Arial" w:hAnsi="Arial"/>
                <w:sz w:val="14"/>
                <w:szCs w:val="14"/>
                <w:color w:val="auto"/>
              </w:rPr>
              <w:t>compensation.</w:t>
            </w: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60" w:type="dxa"/>
            <w:vAlign w:val="bottom"/>
            <w:tcBorders>
              <w:left w:val="single" w:sz="8" w:color="auto"/>
            </w:tcBorders>
          </w:tcPr>
          <w:p>
            <w:pPr>
              <w:spacing w:after="0"/>
              <w:rPr>
                <w:sz w:val="17"/>
                <w:szCs w:val="17"/>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1d.</w:t>
            </w:r>
          </w:p>
        </w:tc>
        <w:tc>
          <w:tcPr>
            <w:tcW w:w="2700" w:type="dxa"/>
            <w:vAlign w:val="bottom"/>
          </w:tcPr>
          <w:p>
            <w:pPr>
              <w:ind w:left="100"/>
              <w:spacing w:after="0"/>
              <w:rPr>
                <w:sz w:val="20"/>
                <w:szCs w:val="20"/>
                <w:color w:val="auto"/>
              </w:rPr>
            </w:pPr>
            <w:r>
              <w:rPr>
                <w:rFonts w:ascii="Arial" w:cs="Arial" w:eastAsia="Arial" w:hAnsi="Arial"/>
                <w:sz w:val="14"/>
                <w:szCs w:val="14"/>
                <w:color w:val="auto"/>
              </w:rPr>
              <w:t>Paal Kibsgaard</w:t>
            </w:r>
          </w:p>
        </w:tc>
        <w:tc>
          <w:tcPr>
            <w:tcW w:w="440" w:type="dxa"/>
            <w:vAlign w:val="bottom"/>
          </w:tcPr>
          <w:p>
            <w:pPr>
              <w:spacing w:after="0"/>
              <w:rPr>
                <w:sz w:val="17"/>
                <w:szCs w:val="17"/>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640" w:type="dxa"/>
            <w:vAlign w:val="bottom"/>
            <w:gridSpan w:val="4"/>
            <w:vMerge w:val="restart"/>
          </w:tcPr>
          <w:p>
            <w:pPr>
              <w:ind w:left="60"/>
              <w:spacing w:after="0"/>
              <w:rPr>
                <w:sz w:val="20"/>
                <w:szCs w:val="20"/>
                <w:color w:val="auto"/>
              </w:rPr>
            </w:pPr>
            <w:r>
              <w:rPr>
                <w:rFonts w:ascii="Arial" w:cs="Arial" w:eastAsia="Arial" w:hAnsi="Arial"/>
                <w:sz w:val="14"/>
                <w:szCs w:val="14"/>
                <w:color w:val="auto"/>
                <w:w w:val="93"/>
              </w:rPr>
              <w:t>3.   To approve the Company’s 2012 financial statements and</w:t>
            </w: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1"/>
        </w:trPr>
        <w:tc>
          <w:tcPr>
            <w:tcW w:w="360" w:type="dxa"/>
            <w:vAlign w:val="bottom"/>
            <w:tcBorders>
              <w:lef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60" w:type="dxa"/>
            <w:vAlign w:val="bottom"/>
            <w:tcBorders>
              <w:left w:val="single" w:sz="8" w:color="auto"/>
            </w:tcBorders>
          </w:tcPr>
          <w:p>
            <w:pPr>
              <w:spacing w:after="0"/>
              <w:rPr>
                <w:sz w:val="14"/>
                <w:szCs w:val="14"/>
                <w:color w:val="auto"/>
              </w:rPr>
            </w:pPr>
          </w:p>
        </w:tc>
        <w:tc>
          <w:tcPr>
            <w:tcW w:w="360" w:type="dxa"/>
            <w:vAlign w:val="bottom"/>
            <w:vMerge w:val="restart"/>
          </w:tcPr>
          <w:p>
            <w:pPr>
              <w:ind w:left="80"/>
              <w:spacing w:after="0"/>
              <w:rPr>
                <w:sz w:val="20"/>
                <w:szCs w:val="20"/>
                <w:color w:val="auto"/>
              </w:rPr>
            </w:pPr>
            <w:r>
              <w:rPr>
                <w:rFonts w:ascii="Arial" w:cs="Arial" w:eastAsia="Arial" w:hAnsi="Arial"/>
                <w:sz w:val="14"/>
                <w:szCs w:val="14"/>
                <w:color w:val="auto"/>
              </w:rPr>
              <w:t>1e.</w:t>
            </w:r>
          </w:p>
        </w:tc>
        <w:tc>
          <w:tcPr>
            <w:tcW w:w="2700" w:type="dxa"/>
            <w:vAlign w:val="bottom"/>
            <w:vMerge w:val="restart"/>
          </w:tcPr>
          <w:p>
            <w:pPr>
              <w:ind w:left="100"/>
              <w:spacing w:after="0"/>
              <w:rPr>
                <w:sz w:val="20"/>
                <w:szCs w:val="20"/>
                <w:color w:val="auto"/>
              </w:rPr>
            </w:pPr>
            <w:r>
              <w:rPr>
                <w:rFonts w:ascii="Arial" w:cs="Arial" w:eastAsia="Arial" w:hAnsi="Arial"/>
                <w:sz w:val="14"/>
                <w:szCs w:val="14"/>
                <w:color w:val="auto"/>
              </w:rPr>
              <w:t>Nikolay Kudryavtsev</w:t>
            </w:r>
          </w:p>
        </w:tc>
        <w:tc>
          <w:tcPr>
            <w:tcW w:w="440" w:type="dxa"/>
            <w:vAlign w:val="bottom"/>
          </w:tcPr>
          <w:p>
            <w:pPr>
              <w:spacing w:after="0"/>
              <w:rPr>
                <w:sz w:val="14"/>
                <w:szCs w:val="14"/>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declarations of dividends.</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51"/>
        </w:trPr>
        <w:tc>
          <w:tcPr>
            <w:tcW w:w="360" w:type="dxa"/>
            <w:vAlign w:val="bottom"/>
            <w:tcBorders>
              <w:left w:val="single" w:sz="8" w:color="auto"/>
            </w:tcBorders>
          </w:tcPr>
          <w:p>
            <w:pPr>
              <w:spacing w:after="0"/>
              <w:rPr>
                <w:sz w:val="13"/>
                <w:szCs w:val="13"/>
                <w:color w:val="auto"/>
              </w:rPr>
            </w:pPr>
          </w:p>
        </w:tc>
        <w:tc>
          <w:tcPr>
            <w:tcW w:w="36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640" w:type="dxa"/>
            <w:vAlign w:val="bottom"/>
            <w:gridSpan w:val="4"/>
            <w:vMerge w:val="restart"/>
          </w:tcPr>
          <w:p>
            <w:pPr>
              <w:ind w:left="60"/>
              <w:spacing w:after="0"/>
              <w:rPr>
                <w:sz w:val="20"/>
                <w:szCs w:val="20"/>
                <w:color w:val="auto"/>
              </w:rPr>
            </w:pPr>
            <w:r>
              <w:rPr>
                <w:rFonts w:ascii="Arial" w:cs="Arial" w:eastAsia="Arial" w:hAnsi="Arial"/>
                <w:sz w:val="14"/>
                <w:szCs w:val="14"/>
                <w:color w:val="auto"/>
                <w:w w:val="92"/>
              </w:rPr>
              <w:t>4.   To approve the appointment of the independent registered</w:t>
            </w:r>
          </w:p>
        </w:tc>
        <w:tc>
          <w:tcPr>
            <w:tcW w:w="28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360" w:type="dxa"/>
            <w:vAlign w:val="bottom"/>
            <w:tcBorders>
              <w:lef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60" w:type="dxa"/>
            <w:vAlign w:val="bottom"/>
            <w:tcBorders>
              <w:left w:val="single" w:sz="8" w:color="auto"/>
            </w:tcBorders>
          </w:tcPr>
          <w:p>
            <w:pPr>
              <w:spacing w:after="0"/>
              <w:rPr>
                <w:sz w:val="14"/>
                <w:szCs w:val="14"/>
                <w:color w:val="auto"/>
              </w:rPr>
            </w:pPr>
          </w:p>
        </w:tc>
        <w:tc>
          <w:tcPr>
            <w:tcW w:w="360" w:type="dxa"/>
            <w:vAlign w:val="bottom"/>
            <w:vMerge w:val="restart"/>
          </w:tcPr>
          <w:p>
            <w:pPr>
              <w:ind w:left="80"/>
              <w:spacing w:after="0"/>
              <w:rPr>
                <w:sz w:val="20"/>
                <w:szCs w:val="20"/>
                <w:color w:val="auto"/>
              </w:rPr>
            </w:pPr>
            <w:r>
              <w:rPr>
                <w:rFonts w:ascii="Arial" w:cs="Arial" w:eastAsia="Arial" w:hAnsi="Arial"/>
                <w:sz w:val="14"/>
                <w:szCs w:val="14"/>
                <w:color w:val="auto"/>
              </w:rPr>
              <w:t>1f.</w:t>
            </w:r>
          </w:p>
        </w:tc>
        <w:tc>
          <w:tcPr>
            <w:tcW w:w="2700" w:type="dxa"/>
            <w:vAlign w:val="bottom"/>
            <w:vMerge w:val="restart"/>
          </w:tcPr>
          <w:p>
            <w:pPr>
              <w:ind w:left="100"/>
              <w:spacing w:after="0"/>
              <w:rPr>
                <w:sz w:val="20"/>
                <w:szCs w:val="20"/>
                <w:color w:val="auto"/>
              </w:rPr>
            </w:pPr>
            <w:r>
              <w:rPr>
                <w:rFonts w:ascii="Arial" w:cs="Arial" w:eastAsia="Arial" w:hAnsi="Arial"/>
                <w:sz w:val="14"/>
                <w:szCs w:val="14"/>
                <w:color w:val="auto"/>
              </w:rPr>
              <w:t>Adrian Lajous</w:t>
            </w:r>
          </w:p>
        </w:tc>
        <w:tc>
          <w:tcPr>
            <w:tcW w:w="440" w:type="dxa"/>
            <w:vAlign w:val="bottom"/>
          </w:tcPr>
          <w:p>
            <w:pPr>
              <w:spacing w:after="0"/>
              <w:rPr>
                <w:sz w:val="14"/>
                <w:szCs w:val="14"/>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public accounting firm.</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51"/>
        </w:trPr>
        <w:tc>
          <w:tcPr>
            <w:tcW w:w="360" w:type="dxa"/>
            <w:vAlign w:val="bottom"/>
            <w:tcBorders>
              <w:left w:val="single" w:sz="8" w:color="auto"/>
            </w:tcBorders>
          </w:tcPr>
          <w:p>
            <w:pPr>
              <w:spacing w:after="0"/>
              <w:rPr>
                <w:sz w:val="13"/>
                <w:szCs w:val="13"/>
                <w:color w:val="auto"/>
              </w:rPr>
            </w:pPr>
          </w:p>
        </w:tc>
        <w:tc>
          <w:tcPr>
            <w:tcW w:w="36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640" w:type="dxa"/>
            <w:vAlign w:val="bottom"/>
            <w:gridSpan w:val="4"/>
            <w:vMerge w:val="restart"/>
          </w:tcPr>
          <w:p>
            <w:pPr>
              <w:ind w:left="60"/>
              <w:spacing w:after="0"/>
              <w:rPr>
                <w:sz w:val="20"/>
                <w:szCs w:val="20"/>
                <w:color w:val="auto"/>
              </w:rPr>
            </w:pPr>
            <w:r>
              <w:rPr>
                <w:rFonts w:ascii="Arial" w:cs="Arial" w:eastAsia="Arial" w:hAnsi="Arial"/>
                <w:sz w:val="14"/>
                <w:szCs w:val="14"/>
                <w:color w:val="auto"/>
              </w:rPr>
              <w:t>5.   To approve the adoption of the 2013 Schlumberger</w:t>
            </w:r>
          </w:p>
        </w:tc>
        <w:tc>
          <w:tcPr>
            <w:tcW w:w="28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360" w:type="dxa"/>
            <w:vAlign w:val="bottom"/>
            <w:tcBorders>
              <w:lef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60" w:type="dxa"/>
            <w:vAlign w:val="bottom"/>
            <w:tcBorders>
              <w:left w:val="single" w:sz="8" w:color="auto"/>
            </w:tcBorders>
          </w:tcPr>
          <w:p>
            <w:pPr>
              <w:spacing w:after="0"/>
              <w:rPr>
                <w:sz w:val="14"/>
                <w:szCs w:val="14"/>
                <w:color w:val="auto"/>
              </w:rPr>
            </w:pPr>
          </w:p>
        </w:tc>
        <w:tc>
          <w:tcPr>
            <w:tcW w:w="360" w:type="dxa"/>
            <w:vAlign w:val="bottom"/>
            <w:vMerge w:val="restart"/>
          </w:tcPr>
          <w:p>
            <w:pPr>
              <w:ind w:left="80"/>
              <w:spacing w:after="0"/>
              <w:rPr>
                <w:sz w:val="20"/>
                <w:szCs w:val="20"/>
                <w:color w:val="auto"/>
              </w:rPr>
            </w:pPr>
            <w:r>
              <w:rPr>
                <w:rFonts w:ascii="Arial" w:cs="Arial" w:eastAsia="Arial" w:hAnsi="Arial"/>
                <w:sz w:val="14"/>
                <w:szCs w:val="14"/>
                <w:color w:val="auto"/>
              </w:rPr>
              <w:t>1g.</w:t>
            </w:r>
          </w:p>
        </w:tc>
        <w:tc>
          <w:tcPr>
            <w:tcW w:w="2700" w:type="dxa"/>
            <w:vAlign w:val="bottom"/>
            <w:vMerge w:val="restart"/>
          </w:tcPr>
          <w:p>
            <w:pPr>
              <w:ind w:left="100"/>
              <w:spacing w:after="0"/>
              <w:rPr>
                <w:sz w:val="20"/>
                <w:szCs w:val="20"/>
                <w:color w:val="auto"/>
              </w:rPr>
            </w:pPr>
            <w:r>
              <w:rPr>
                <w:rFonts w:ascii="Arial" w:cs="Arial" w:eastAsia="Arial" w:hAnsi="Arial"/>
                <w:sz w:val="14"/>
                <w:szCs w:val="14"/>
                <w:color w:val="auto"/>
              </w:rPr>
              <w:t>Michael E. Marks</w:t>
            </w:r>
          </w:p>
        </w:tc>
        <w:tc>
          <w:tcPr>
            <w:tcW w:w="440" w:type="dxa"/>
            <w:vAlign w:val="bottom"/>
          </w:tcPr>
          <w:p>
            <w:pPr>
              <w:spacing w:after="0"/>
              <w:rPr>
                <w:sz w:val="14"/>
                <w:szCs w:val="14"/>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Omnibus Incentive Plan.</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gridSpan w:val="2"/>
            <w:vMerge w:val="restart"/>
          </w:tcPr>
          <w:p>
            <w:pPr>
              <w:jc w:val="right"/>
              <w:ind w:right="60"/>
              <w:spacing w:after="0" w:line="221" w:lineRule="exact"/>
              <w:rPr>
                <w:sz w:val="20"/>
                <w:szCs w:val="20"/>
                <w:color w:val="auto"/>
              </w:rPr>
            </w:pPr>
            <w:r>
              <w:rPr>
                <w:rFonts w:ascii="MS PGothic" w:cs="MS PGothic" w:eastAsia="MS PGothic" w:hAnsi="MS PGothic"/>
                <w:sz w:val="22"/>
                <w:szCs w:val="22"/>
                <w:color w:val="auto"/>
                <w:w w:val="90"/>
              </w:rPr>
              <w:t>☐</w:t>
            </w:r>
          </w:p>
        </w:tc>
        <w:tc>
          <w:tcPr>
            <w:tcW w:w="5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60" w:type="dxa"/>
            <w:vAlign w:val="bottom"/>
            <w:tcBorders>
              <w:right w:val="single" w:sz="8" w:color="auto"/>
            </w:tcBorders>
            <w:gridSpan w:val="2"/>
            <w:vMerge w:val="restart"/>
          </w:tcPr>
          <w:p>
            <w:pPr>
              <w:jc w:val="center"/>
              <w:ind w:right="18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51"/>
        </w:trPr>
        <w:tc>
          <w:tcPr>
            <w:tcW w:w="360" w:type="dxa"/>
            <w:vAlign w:val="bottom"/>
            <w:tcBorders>
              <w:left w:val="single" w:sz="8" w:color="auto"/>
            </w:tcBorders>
          </w:tcPr>
          <w:p>
            <w:pPr>
              <w:spacing w:after="0"/>
              <w:rPr>
                <w:sz w:val="13"/>
                <w:szCs w:val="13"/>
                <w:color w:val="auto"/>
              </w:rPr>
            </w:pPr>
          </w:p>
        </w:tc>
        <w:tc>
          <w:tcPr>
            <w:tcW w:w="36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640" w:type="dxa"/>
            <w:vAlign w:val="bottom"/>
            <w:gridSpan w:val="4"/>
            <w:vMerge w:val="restart"/>
          </w:tcPr>
          <w:p>
            <w:pPr>
              <w:ind w:left="60"/>
              <w:spacing w:after="0"/>
              <w:rPr>
                <w:sz w:val="20"/>
                <w:szCs w:val="20"/>
                <w:color w:val="auto"/>
              </w:rPr>
            </w:pPr>
            <w:r>
              <w:rPr>
                <w:rFonts w:ascii="Arial" w:cs="Arial" w:eastAsia="Arial" w:hAnsi="Arial"/>
                <w:sz w:val="14"/>
                <w:szCs w:val="14"/>
                <w:color w:val="auto"/>
                <w:w w:val="90"/>
              </w:rPr>
              <w:t>6.   To approve the adoption of an amendment and restatement</w:t>
            </w:r>
          </w:p>
        </w:tc>
        <w:tc>
          <w:tcPr>
            <w:tcW w:w="28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360" w:type="dxa"/>
            <w:vAlign w:val="bottom"/>
            <w:tcBorders>
              <w:lef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60" w:type="dxa"/>
            <w:vAlign w:val="bottom"/>
            <w:tcBorders>
              <w:left w:val="single" w:sz="8" w:color="auto"/>
            </w:tcBorders>
          </w:tcPr>
          <w:p>
            <w:pPr>
              <w:spacing w:after="0"/>
              <w:rPr>
                <w:sz w:val="14"/>
                <w:szCs w:val="14"/>
                <w:color w:val="auto"/>
              </w:rPr>
            </w:pPr>
          </w:p>
        </w:tc>
        <w:tc>
          <w:tcPr>
            <w:tcW w:w="360" w:type="dxa"/>
            <w:vAlign w:val="bottom"/>
            <w:vMerge w:val="restart"/>
          </w:tcPr>
          <w:p>
            <w:pPr>
              <w:ind w:left="80"/>
              <w:spacing w:after="0"/>
              <w:rPr>
                <w:sz w:val="20"/>
                <w:szCs w:val="20"/>
                <w:color w:val="auto"/>
              </w:rPr>
            </w:pPr>
            <w:r>
              <w:rPr>
                <w:rFonts w:ascii="Arial" w:cs="Arial" w:eastAsia="Arial" w:hAnsi="Arial"/>
                <w:sz w:val="14"/>
                <w:szCs w:val="14"/>
                <w:color w:val="auto"/>
              </w:rPr>
              <w:t>1h.</w:t>
            </w:r>
          </w:p>
        </w:tc>
        <w:tc>
          <w:tcPr>
            <w:tcW w:w="2700" w:type="dxa"/>
            <w:vAlign w:val="bottom"/>
            <w:vMerge w:val="restart"/>
          </w:tcPr>
          <w:p>
            <w:pPr>
              <w:ind w:left="100"/>
              <w:spacing w:after="0"/>
              <w:rPr>
                <w:sz w:val="20"/>
                <w:szCs w:val="20"/>
                <w:color w:val="auto"/>
              </w:rPr>
            </w:pPr>
            <w:r>
              <w:rPr>
                <w:rFonts w:ascii="Arial" w:cs="Arial" w:eastAsia="Arial" w:hAnsi="Arial"/>
                <w:sz w:val="14"/>
                <w:szCs w:val="14"/>
                <w:color w:val="auto"/>
              </w:rPr>
              <w:t>Lubna S. Olayan</w:t>
            </w:r>
          </w:p>
        </w:tc>
        <w:tc>
          <w:tcPr>
            <w:tcW w:w="440" w:type="dxa"/>
            <w:vAlign w:val="bottom"/>
          </w:tcPr>
          <w:p>
            <w:pPr>
              <w:spacing w:after="0"/>
              <w:rPr>
                <w:sz w:val="14"/>
                <w:szCs w:val="14"/>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4"/>
                <w:szCs w:val="14"/>
                <w:color w:val="auto"/>
              </w:rPr>
            </w:pPr>
          </w:p>
        </w:tc>
        <w:tc>
          <w:tcPr>
            <w:tcW w:w="3460" w:type="dxa"/>
            <w:vAlign w:val="bottom"/>
            <w:gridSpan w:val="3"/>
          </w:tcPr>
          <w:p>
            <w:pPr>
              <w:ind w:left="160"/>
              <w:spacing w:after="0"/>
              <w:rPr>
                <w:sz w:val="20"/>
                <w:szCs w:val="20"/>
                <w:color w:val="auto"/>
              </w:rPr>
            </w:pPr>
            <w:r>
              <w:rPr>
                <w:rFonts w:ascii="Arial" w:cs="Arial" w:eastAsia="Arial" w:hAnsi="Arial"/>
                <w:sz w:val="14"/>
                <w:szCs w:val="14"/>
                <w:color w:val="auto"/>
              </w:rPr>
              <w:t>of the Schlumberger Discount Stock Purchase Plan.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60" w:type="dxa"/>
            <w:vAlign w:val="bottom"/>
            <w:tcBorders>
              <w:left w:val="single" w:sz="8" w:color="auto"/>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60" w:type="dxa"/>
            <w:vAlign w:val="bottom"/>
            <w:tcBorders>
              <w:left w:val="single" w:sz="8" w:color="auto"/>
            </w:tcBorders>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1i.</w:t>
            </w:r>
          </w:p>
        </w:tc>
        <w:tc>
          <w:tcPr>
            <w:tcW w:w="2700" w:type="dxa"/>
            <w:vAlign w:val="bottom"/>
          </w:tcPr>
          <w:p>
            <w:pPr>
              <w:ind w:left="100"/>
              <w:spacing w:after="0"/>
              <w:rPr>
                <w:sz w:val="20"/>
                <w:szCs w:val="20"/>
                <w:color w:val="auto"/>
              </w:rPr>
            </w:pPr>
            <w:r>
              <w:rPr>
                <w:rFonts w:ascii="Arial" w:cs="Arial" w:eastAsia="Arial" w:hAnsi="Arial"/>
                <w:sz w:val="14"/>
                <w:szCs w:val="14"/>
                <w:color w:val="auto"/>
              </w:rPr>
              <w:t>L. Rafael Reif</w:t>
            </w:r>
          </w:p>
        </w:tc>
        <w:tc>
          <w:tcPr>
            <w:tcW w:w="440" w:type="dxa"/>
            <w:vAlign w:val="bottom"/>
          </w:tcPr>
          <w:p>
            <w:pPr>
              <w:spacing w:after="0"/>
              <w:rPr>
                <w:sz w:val="18"/>
                <w:szCs w:val="18"/>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60" w:type="dxa"/>
            <w:vAlign w:val="bottom"/>
            <w:tcBorders>
              <w:left w:val="single" w:sz="8" w:color="auto"/>
            </w:tcBorders>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1j.</w:t>
            </w:r>
          </w:p>
        </w:tc>
        <w:tc>
          <w:tcPr>
            <w:tcW w:w="2700" w:type="dxa"/>
            <w:vAlign w:val="bottom"/>
          </w:tcPr>
          <w:p>
            <w:pPr>
              <w:ind w:left="100"/>
              <w:spacing w:after="0"/>
              <w:rPr>
                <w:sz w:val="20"/>
                <w:szCs w:val="20"/>
                <w:color w:val="auto"/>
              </w:rPr>
            </w:pPr>
            <w:r>
              <w:rPr>
                <w:rFonts w:ascii="Arial" w:cs="Arial" w:eastAsia="Arial" w:hAnsi="Arial"/>
                <w:sz w:val="14"/>
                <w:szCs w:val="14"/>
                <w:color w:val="auto"/>
              </w:rPr>
              <w:t>Tore I. Sandvold</w:t>
            </w:r>
          </w:p>
        </w:tc>
        <w:tc>
          <w:tcPr>
            <w:tcW w:w="440" w:type="dxa"/>
            <w:vAlign w:val="bottom"/>
          </w:tcPr>
          <w:p>
            <w:pPr>
              <w:spacing w:after="0"/>
              <w:rPr>
                <w:sz w:val="18"/>
                <w:szCs w:val="18"/>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60" w:type="dxa"/>
            <w:vAlign w:val="bottom"/>
            <w:tcBorders>
              <w:left w:val="single" w:sz="8" w:color="auto"/>
            </w:tcBorders>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1k.</w:t>
            </w:r>
          </w:p>
        </w:tc>
        <w:tc>
          <w:tcPr>
            <w:tcW w:w="2700" w:type="dxa"/>
            <w:vAlign w:val="bottom"/>
          </w:tcPr>
          <w:p>
            <w:pPr>
              <w:ind w:left="100"/>
              <w:spacing w:after="0"/>
              <w:rPr>
                <w:sz w:val="20"/>
                <w:szCs w:val="20"/>
                <w:color w:val="auto"/>
              </w:rPr>
            </w:pPr>
            <w:r>
              <w:rPr>
                <w:rFonts w:ascii="Arial" w:cs="Arial" w:eastAsia="Arial" w:hAnsi="Arial"/>
                <w:sz w:val="14"/>
                <w:szCs w:val="14"/>
                <w:color w:val="auto"/>
              </w:rPr>
              <w:t>Henri Seydoux</w:t>
            </w:r>
          </w:p>
        </w:tc>
        <w:tc>
          <w:tcPr>
            <w:tcW w:w="440" w:type="dxa"/>
            <w:vAlign w:val="bottom"/>
          </w:tcPr>
          <w:p>
            <w:pPr>
              <w:spacing w:after="0"/>
              <w:rPr>
                <w:sz w:val="18"/>
                <w:szCs w:val="18"/>
                <w:color w:val="auto"/>
              </w:rPr>
            </w:pPr>
          </w:p>
        </w:tc>
        <w:tc>
          <w:tcPr>
            <w:tcW w:w="1180" w:type="dxa"/>
            <w:vAlign w:val="bottom"/>
            <w:vMerge w:val="restart"/>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360" w:type="dxa"/>
            <w:vAlign w:val="bottom"/>
            <w:tcBorders>
              <w:lef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800" w:type="dxa"/>
            <w:vAlign w:val="bottom"/>
            <w:tcBorders>
              <w:left w:val="single" w:sz="8" w:color="auto"/>
            </w:tcBorders>
            <w:gridSpan w:val="11"/>
          </w:tcPr>
          <w:p>
            <w:pPr>
              <w:ind w:left="220"/>
              <w:spacing w:after="0" w:line="149" w:lineRule="exact"/>
              <w:rPr>
                <w:sz w:val="20"/>
                <w:szCs w:val="20"/>
                <w:color w:val="auto"/>
              </w:rPr>
            </w:pPr>
            <w:r>
              <w:rPr>
                <w:rFonts w:ascii="Arial" w:cs="Arial" w:eastAsia="Arial" w:hAnsi="Arial"/>
                <w:sz w:val="14"/>
                <w:szCs w:val="14"/>
                <w:color w:val="auto"/>
                <w:w w:val="92"/>
              </w:rPr>
              <w:t>Please sign exactly as your name(s) appear(s) hereon. When signing as attorney, executor, administrator, or other fiduciary, please give full title as such. Joint owners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0" w:type="dxa"/>
            <w:vAlign w:val="bottom"/>
            <w:tcBorders>
              <w:left w:val="single" w:sz="8" w:color="auto"/>
            </w:tcBorders>
            <w:gridSpan w:val="11"/>
          </w:tcPr>
          <w:p>
            <w:pPr>
              <w:ind w:left="220"/>
              <w:spacing w:after="0"/>
              <w:rPr>
                <w:sz w:val="20"/>
                <w:szCs w:val="20"/>
                <w:color w:val="auto"/>
              </w:rPr>
            </w:pPr>
            <w:r>
              <w:rPr>
                <w:rFonts w:ascii="Arial" w:cs="Arial" w:eastAsia="Arial" w:hAnsi="Arial"/>
                <w:sz w:val="14"/>
                <w:szCs w:val="14"/>
                <w:color w:val="auto"/>
                <w:w w:val="99"/>
              </w:rPr>
              <w:t>should each sign personally. All holders must sign. If a corporation or partnership, please sign in full corporate or partnership name by an authorized officer.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tcPr>
          <w:p>
            <w:pPr>
              <w:spacing w:after="0"/>
              <w:rPr>
                <w:sz w:val="12"/>
                <w:szCs w:val="12"/>
                <w:color w:val="auto"/>
              </w:rPr>
            </w:pPr>
          </w:p>
        </w:tc>
        <w:tc>
          <w:tcPr>
            <w:tcW w:w="306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Borders>
              <w:left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0" w:type="dxa"/>
            <w:vAlign w:val="bottom"/>
            <w:tcBorders>
              <w:left w:val="single" w:sz="8" w:color="auto"/>
              <w:bottom w:val="single" w:sz="8" w:color="auto"/>
            </w:tcBorders>
          </w:tcPr>
          <w:p>
            <w:pPr>
              <w:spacing w:after="0"/>
              <w:rPr>
                <w:sz w:val="13"/>
                <w:szCs w:val="13"/>
                <w:color w:val="auto"/>
              </w:rPr>
            </w:pPr>
          </w:p>
        </w:tc>
        <w:tc>
          <w:tcPr>
            <w:tcW w:w="306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Signature [PLEASE SIGN WITHIN BOX]</w:t>
            </w:r>
          </w:p>
        </w:tc>
        <w:tc>
          <w:tcPr>
            <w:tcW w:w="44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Date</w:t>
            </w: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color w:val="auto"/>
                <w:w w:val="92"/>
              </w:rPr>
              <w:t>Signature (Joint Owners)</w:t>
            </w:r>
          </w:p>
        </w:tc>
        <w:tc>
          <w:tcPr>
            <w:tcW w:w="1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w w:val="87"/>
              </w:rPr>
              <w:t>Date</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-3738245</wp:posOffset>
            </wp:positionV>
            <wp:extent cx="724662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540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1988185</wp:posOffset>
            </wp:positionV>
            <wp:extent cx="724662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240"/>
        <w:spacing w:after="0"/>
        <w:rPr>
          <w:sz w:val="20"/>
          <w:szCs w:val="20"/>
          <w:color w:val="auto"/>
        </w:rPr>
      </w:pPr>
      <w:r>
        <w:rPr>
          <w:rFonts w:ascii="Arial" w:cs="Arial" w:eastAsia="Arial" w:hAnsi="Arial"/>
          <w:sz w:val="12"/>
          <w:szCs w:val="12"/>
          <w:color w:val="auto"/>
        </w:rPr>
        <w:t>M40768-P20448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64770</wp:posOffset>
            </wp:positionV>
            <wp:extent cx="7263765" cy="2941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SCHLUMBERGER LIMITED (SCHLUMBERGER N.V.)</w:t>
      </w: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Proxy Solicitation on Behalf of the Board of Directors</w:t>
      </w: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Annual General Meeting of Stockholders</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April 10, 2013</w:t>
      </w:r>
    </w:p>
    <w:p>
      <w:pPr>
        <w:spacing w:after="0" w:line="228" w:lineRule="exact"/>
        <w:rPr>
          <w:sz w:val="20"/>
          <w:szCs w:val="20"/>
          <w:color w:val="auto"/>
        </w:rPr>
      </w:pPr>
    </w:p>
    <w:p>
      <w:pPr>
        <w:ind w:left="340" w:right="220"/>
        <w:spacing w:after="0" w:line="294" w:lineRule="auto"/>
        <w:rPr>
          <w:sz w:val="20"/>
          <w:szCs w:val="20"/>
          <w:color w:val="auto"/>
        </w:rPr>
      </w:pPr>
      <w:r>
        <w:rPr>
          <w:rFonts w:ascii="Arial" w:cs="Arial" w:eastAsia="Arial" w:hAnsi="Arial"/>
          <w:sz w:val="16"/>
          <w:szCs w:val="16"/>
          <w:color w:val="auto"/>
        </w:rPr>
        <w:t>The undersigned hereby appoints Aede Gerbranda, Robin van Bokhorst and Margo Troll-Weusten, and each of them, as proxies, each with the power of substitution, and hereby authorizes them to represent and to vote, as designated on the reverse side of this ballot and in their discretion upon any other matters that may properly come before the Annual General Meeting of Stockholders, all of the shares of Common Stock of Schlumberger Limited (SCHLUMBERGER N.V.) that the undersigned is entitled to vote at the Annual General Meeting of Stockholders to be held at the Avila Beach Hotel, Penstraat 130, Willemstad, Curacao on April 10, 2013, at 10:30 a.m. Curacao time and any adjournment or postponement thereof.</w:t>
      </w:r>
    </w:p>
    <w:p>
      <w:pPr>
        <w:spacing w:after="0" w:line="150" w:lineRule="exact"/>
        <w:rPr>
          <w:sz w:val="20"/>
          <w:szCs w:val="20"/>
          <w:color w:val="auto"/>
        </w:rPr>
      </w:pPr>
    </w:p>
    <w:p>
      <w:pPr>
        <w:ind w:left="340" w:firstLine="432"/>
        <w:spacing w:after="0" w:line="301" w:lineRule="auto"/>
        <w:rPr>
          <w:sz w:val="20"/>
          <w:szCs w:val="20"/>
          <w:color w:val="auto"/>
        </w:rPr>
      </w:pPr>
      <w:r>
        <w:rPr>
          <w:rFonts w:ascii="Arial" w:cs="Arial" w:eastAsia="Arial" w:hAnsi="Arial"/>
          <w:sz w:val="16"/>
          <w:szCs w:val="16"/>
          <w:b w:val="1"/>
          <w:bCs w:val="1"/>
          <w:color w:val="auto"/>
        </w:rPr>
        <w:t>THIS PROXY, WHEN PROPERLY EXECUTED, WILL BE VOTED IN THE MANNER DIRECTED BY THE UNDERSIGNED. IF NO SUCH DIRECTIONS ARE MADE, THIS PROXY WILL BE VOTED FOR THE ELECTION OF EACH OF THE NOMINEES LISTED IN ITEM 1 AND FOR ITEMS 2, 3, 4, 5 AND 6. IF ANY OTHER MATTERS PROPERLY COME BEFORE THE ANNUAL GENERAL MEETING OF STOCKHOLDERS, THE PERSONS NAMED IN THIS PROXY WILL VOTE ON SUCH MATTERS IN THEIR DISCRETION.</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lvl w:ilvl="1">
      <w:lvlJc w:val="left"/>
      <w:lvlText w:val="(%2)"/>
      <w:numFmt w:val="decimal"/>
      <w:start w:val="1"/>
    </w:lvl>
  </w:abstractNum>
  <w:abstractNum w:abstractNumId="4">
    <w:nsid w:val="579BE4F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5">
    <w:nsid w:val="310C50B3"/>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6">
    <w:nsid w:val="5FF87E05"/>
    <w:multiLevelType w:val="hybridMultilevel"/>
    <w:lvl w:ilvl="0">
      <w:lvlJc w:val="left"/>
      <w:lvlText w:val="%1."/>
      <w:numFmt w:val="decimal"/>
      <w:start w:val="3"/>
    </w:lvl>
    <w:lvl w:ilvl="1">
      <w:lvlJc w:val="left"/>
      <w:lvlText w:val="%2."/>
      <w:numFmt w:val="decimal"/>
      <w:start w:val="5"/>
    </w:lvl>
    <w:lvl w:ilvl="2">
      <w:lvlJc w:val="left"/>
      <w:lvlText w:val="%3."/>
      <w:numFmt w:val="decimal"/>
      <w:start w:val="5"/>
    </w:lvl>
    <w:lvl w:ilvl="3">
      <w:lvlJc w:val="left"/>
      <w:lvlText w:val="%4"/>
      <w:numFmt w:val="decimal"/>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lvl w:ilvl="1">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lvl w:ilvl="1">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lvl w:ilvl="1">
      <w:lvlJc w:val="left"/>
      <w:lvlText w:val="•"/>
      <w:numFmt w:val="bullet"/>
      <w:start w:val="1"/>
    </w:lvl>
  </w:abstractNum>
  <w:abstractNum w:abstractNumId="42">
    <w:nsid w:val="7FFFCA11"/>
    <w:multiLevelType w:val="hybridMultilevel"/>
    <w:lvl w:ilvl="0">
      <w:lvlJc w:val="left"/>
      <w:lvlText w:val="(%1)"/>
      <w:numFmt w:val="decimal"/>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1)"/>
      <w:numFmt w:val="decimal"/>
      <w:start w:val="6"/>
    </w:lvl>
  </w:abstractNum>
  <w:abstractNum w:abstractNumId="48">
    <w:nsid w:val="6F6DD9AC"/>
    <w:multiLevelType w:val="hybridMultilevel"/>
    <w:lvl w:ilvl="0">
      <w:lvlJc w:val="left"/>
      <w:lvlText w:val="(%1)"/>
      <w:numFmt w:val="decimal"/>
      <w:start w:val="7"/>
    </w:lvl>
    <w:lvl w:ilvl="1">
      <w:lvlJc w:val="left"/>
      <w:lvlText w:val="(%2)"/>
      <w:numFmt w:val="decimal"/>
      <w:start w:val="9"/>
    </w:lvl>
  </w:abstractNum>
  <w:abstractNum w:abstractNumId="49">
    <w:nsid w:val="94211F2"/>
    <w:multiLevelType w:val="hybridMultilevel"/>
    <w:lvl w:ilvl="0">
      <w:lvlJc w:val="left"/>
      <w:lvlText w:val="(%1)"/>
      <w:numFmt w:val="decimal"/>
      <w:start w:val="12"/>
    </w:lvl>
  </w:abstractNum>
  <w:abstractNum w:abstractNumId="50">
    <w:nsid w:val="885E1B"/>
    <w:multiLevelType w:val="hybridMultilevel"/>
    <w:lvl w:ilvl="0">
      <w:lvlJc w:val="left"/>
      <w:lvlText w:val="(%1)"/>
      <w:numFmt w:val="decimal"/>
      <w:start w:val="13"/>
    </w:lvl>
    <w:lvl w:ilvl="1">
      <w:lvlJc w:val="left"/>
      <w:lvlText w:val="(%2)"/>
      <w:numFmt w:val="decimal"/>
      <w:start w:val="14"/>
    </w:lvl>
  </w:abstractNum>
  <w:abstractNum w:abstractNumId="51">
    <w:nsid w:val="76272110"/>
    <w:multiLevelType w:val="hybridMultilevel"/>
    <w:lvl w:ilvl="0">
      <w:lvlJc w:val="left"/>
      <w:lvlText w:val="(%1)"/>
      <w:numFmt w:val="decimal"/>
      <w:start w:val="1"/>
    </w:lvl>
  </w:abstractNum>
  <w:abstractNum w:abstractNumId="52">
    <w:nsid w:val="4C04A8AF"/>
    <w:multiLevelType w:val="hybridMultilevel"/>
    <w:lvl w:ilvl="0">
      <w:lvlJc w:val="left"/>
      <w:lvlText w:val="(%1)"/>
      <w:numFmt w:val="decimal"/>
      <w:start w:val="2"/>
    </w:lvl>
  </w:abstractNum>
  <w:abstractNum w:abstractNumId="53">
    <w:nsid w:val="1716703B"/>
    <w:multiLevelType w:val="hybridMultilevel"/>
    <w:lvl w:ilvl="0">
      <w:lvlJc w:val="left"/>
      <w:lvlText w:val="(%1)"/>
      <w:numFmt w:val="decimal"/>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1)"/>
      <w:numFmt w:val="decimal"/>
      <w:start w:val="1"/>
    </w:lvl>
  </w:abstractNum>
  <w:abstractNum w:abstractNumId="56">
    <w:nsid w:val="74DE0EE3"/>
    <w:multiLevelType w:val="hybridMultilevel"/>
    <w:lvl w:ilvl="0">
      <w:lvlJc w:val="left"/>
      <w:lvlText w:val="(%1)"/>
      <w:numFmt w:val="decimal"/>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1)"/>
      <w:numFmt w:val="lowerRoman"/>
      <w:start w:val="1"/>
    </w:lvl>
  </w:abstractNum>
  <w:abstractNum w:abstractNumId="59">
    <w:nsid w:val="46B7D447"/>
    <w:multiLevelType w:val="hybridMultilevel"/>
    <w:lvl w:ilvl="0">
      <w:lvlJc w:val="left"/>
      <w:lvlText w:val="(%1)"/>
      <w:numFmt w:val="decimal"/>
      <w:start w:val="1"/>
    </w:lvl>
  </w:abstractNum>
  <w:abstractNum w:abstractNumId="60">
    <w:nsid w:val="4A2AC315"/>
    <w:multiLevelType w:val="hybridMultilevel"/>
    <w:lvl w:ilvl="0">
      <w:lvlJc w:val="left"/>
      <w:lvlText w:val="(%1)"/>
      <w:numFmt w:val="decimal"/>
      <w:start w:val="1"/>
    </w:lvl>
  </w:abstractNum>
  <w:abstractNum w:abstractNumId="61">
    <w:nsid w:val="39EE015C"/>
    <w:multiLevelType w:val="hybridMultilevel"/>
    <w:lvl w:ilvl="0">
      <w:lvlJc w:val="left"/>
      <w:lvlText w:val="(%1)"/>
      <w:numFmt w:val="decimal"/>
      <w:start w:val="2"/>
    </w:lvl>
    <w:lvl w:ilvl="1">
      <w:lvlJc w:val="left"/>
      <w:lvlText w:val="(%2)"/>
      <w:numFmt w:val="decimal"/>
      <w:start w:val="4"/>
    </w:lvl>
  </w:abstractNum>
  <w:abstractNum w:abstractNumId="62">
    <w:nsid w:val="57FC4FBB"/>
    <w:multiLevelType w:val="hybridMultilevel"/>
    <w:lvl w:ilvl="0">
      <w:lvlJc w:val="left"/>
      <w:lvlText w:val="(%1)"/>
      <w:numFmt w:val="decimal"/>
      <w:start w:val="5"/>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1)"/>
      <w:numFmt w:val="decimal"/>
      <w:start w:val="1"/>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
      <w:numFmt w:val="bullet"/>
      <w:start w:val="1"/>
    </w:lvl>
  </w:abstractNum>
  <w:abstractNum w:abstractNumId="70">
    <w:nsid w:val="5FB8370B"/>
    <w:multiLevelType w:val="hybridMultilevel"/>
    <w:lvl w:ilvl="0">
      <w:lvlJc w:val="left"/>
      <w:lvlText w:val="•"/>
      <w:numFmt w:val="bullet"/>
      <w:start w:val="1"/>
    </w:lvl>
  </w:abstractNum>
  <w:abstractNum w:abstractNumId="71">
    <w:nsid w:val="50801EE1"/>
    <w:multiLevelType w:val="hybridMultilevel"/>
    <w:lvl w:ilvl="0">
      <w:lvlJc w:val="left"/>
      <w:lvlText w:val="•"/>
      <w:numFmt w:val="bullet"/>
      <w:start w:val="1"/>
    </w:lvl>
  </w:abstractNum>
  <w:abstractNum w:abstractNumId="72">
    <w:nsid w:val="488AC1A"/>
    <w:multiLevelType w:val="hybridMultilevel"/>
    <w:lvl w:ilvl="0">
      <w:lvlJc w:val="left"/>
      <w:lvlText w:val="•"/>
      <w:numFmt w:val="bullet"/>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1)"/>
      <w:numFmt w:val="decimal"/>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1)"/>
      <w:numFmt w:val="decimal"/>
      <w:start w:val="1"/>
    </w:lvl>
  </w:abstractNum>
  <w:abstractNum w:abstractNumId="83">
    <w:nsid w:val="3FA62AC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84">
    <w:nsid w:val="14FCE74E"/>
    <w:multiLevelType w:val="hybridMultilevel"/>
    <w:lvl w:ilvl="0">
      <w:lvlJc w:val="left"/>
      <w:lvlText w:val="(%1)"/>
      <w:numFmt w:val="decimal"/>
      <w:start w:val="3"/>
    </w:lvl>
    <w:lvl w:ilvl="1">
      <w:lvlJc w:val="left"/>
      <w:lvlText w:val="(%2)"/>
      <w:numFmt w:val="decimal"/>
      <w:start w:val="4"/>
    </w:lvl>
    <w:lvl w:ilvl="2">
      <w:lvlJc w:val="left"/>
      <w:lvlText w:val="%3"/>
      <w:numFmt w:val="decimal"/>
      <w:start w:val="1"/>
    </w:lvl>
  </w:abstractNum>
  <w:abstractNum w:abstractNumId="85">
    <w:nsid w:val="6A3DD3E8"/>
    <w:multiLevelType w:val="hybridMultilevel"/>
    <w:lvl w:ilvl="0">
      <w:lvlJc w:val="left"/>
      <w:lvlText w:val="(%1)"/>
      <w:numFmt w:val="decimal"/>
      <w:start w:val="5"/>
    </w:lvl>
    <w:lvl w:ilvl="1">
      <w:lvlJc w:val="left"/>
      <w:lvlText w:val="(%2)"/>
      <w:numFmt w:val="decimal"/>
      <w:start w:val="7"/>
    </w:lvl>
  </w:abstractNum>
  <w:abstractNum w:abstractNumId="86">
    <w:nsid w:val="71C91298"/>
    <w:multiLevelType w:val="hybridMultilevel"/>
    <w:lvl w:ilvl="0">
      <w:lvlJc w:val="left"/>
      <w:lvlText w:val="(%1)"/>
      <w:numFmt w:val="decimal"/>
      <w:start w:val="8"/>
    </w:lvl>
  </w:abstractNum>
  <w:abstractNum w:abstractNumId="87">
    <w:nsid w:val="9DAF632"/>
    <w:multiLevelType w:val="hybridMultilevel"/>
    <w:lvl w:ilvl="0">
      <w:lvlJc w:val="left"/>
      <w:lvlText w:val="%1."/>
      <w:numFmt w:val="decimal"/>
      <w:start w:val="1"/>
    </w:lvl>
  </w:abstractNum>
  <w:abstractNum w:abstractNumId="88">
    <w:nsid w:val="53299938"/>
    <w:multiLevelType w:val="hybridMultilevel"/>
    <w:lvl w:ilvl="0">
      <w:lvlJc w:val="left"/>
      <w:lvlText w:val="%1."/>
      <w:numFmt w:val="decimal"/>
      <w:start w:val="3"/>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2"/>
    </w:lvl>
  </w:abstractNum>
  <w:abstractNum w:abstractNumId="91">
    <w:nsid w:val="1D545C4D"/>
    <w:multiLevelType w:val="hybridMultilevel"/>
    <w:lvl w:ilvl="0">
      <w:lvlJc w:val="left"/>
      <w:lvlText w:val="%1."/>
      <w:numFmt w:val="decimal"/>
      <w:start w:val="5"/>
    </w:lvl>
  </w:abstractNum>
  <w:abstractNum w:abstractNumId="92">
    <w:nsid w:val="59ADEA3D"/>
    <w:multiLevelType w:val="hybridMultilevel"/>
    <w:lvl w:ilvl="0">
      <w:lvlJc w:val="left"/>
      <w:lvlText w:val="•"/>
      <w:numFmt w:val="bullet"/>
      <w:start w:val="1"/>
    </w:lvl>
    <w:lvl w:ilvl="1">
      <w:lvlJc w:val="left"/>
      <w:lvlText w:val="(%2)"/>
      <w:numFmt w:val="lowerLetter"/>
      <w:start w:val="1"/>
    </w:lvl>
  </w:abstractNum>
  <w:abstractNum w:abstractNumId="93">
    <w:nsid w:val="288F1A34"/>
    <w:multiLevelType w:val="hybridMultilevel"/>
    <w:lvl w:ilvl="0">
      <w:lvlJc w:val="left"/>
      <w:lvlText w:val="•"/>
      <w:numFmt w:val="bullet"/>
      <w:start w:val="1"/>
    </w:lvl>
  </w:abstractNum>
  <w:abstractNum w:abstractNumId="94">
    <w:nsid w:val="2A155DBC"/>
    <w:multiLevelType w:val="hybridMultilevel"/>
    <w:lvl w:ilvl="0">
      <w:lvlJc w:val="left"/>
      <w:lvlText w:val="(%1)"/>
      <w:numFmt w:val="lowerLetter"/>
      <w:start w:val="2"/>
    </w:lvl>
  </w:abstractNum>
  <w:abstractNum w:abstractNumId="95">
    <w:nsid w:val="1D9F6E5F"/>
    <w:multiLevelType w:val="hybridMultilevel"/>
    <w:lvl w:ilvl="0">
      <w:lvlJc w:val="left"/>
      <w:lvlText w:val="%1."/>
      <w:numFmt w:val="decimal"/>
      <w:start w:val="6"/>
    </w:lvl>
  </w:abstractNum>
  <w:abstractNum w:abstractNumId="96">
    <w:nsid w:val="97E1B4E"/>
    <w:multiLevelType w:val="hybridMultilevel"/>
    <w:lvl w:ilvl="0">
      <w:lvlJc w:val="left"/>
      <w:lvlText w:val="(%1)"/>
      <w:numFmt w:val="lowerLetter"/>
      <w:start w:val="1"/>
    </w:lvl>
  </w:abstractNum>
  <w:abstractNum w:abstractNumId="97">
    <w:nsid w:val="51088277"/>
    <w:multiLevelType w:val="hybridMultilevel"/>
    <w:lvl w:ilvl="0">
      <w:lvlJc w:val="left"/>
      <w:lvlText w:val="(%1)"/>
      <w:numFmt w:val="lowerRoman"/>
      <w:start w:val="1"/>
    </w:lvl>
  </w:abstractNum>
  <w:abstractNum w:abstractNumId="98">
    <w:nsid w:val="1CA0C5FA"/>
    <w:multiLevelType w:val="hybridMultilevel"/>
    <w:lvl w:ilvl="0">
      <w:lvlJc w:val="left"/>
      <w:lvlText w:val="(%1)"/>
      <w:numFmt w:val="lowerRoman"/>
      <w:start w:val="2"/>
    </w:lvl>
  </w:abstractNum>
  <w:abstractNum w:abstractNumId="99">
    <w:nsid w:val="53584BCB"/>
    <w:multiLevelType w:val="hybridMultilevel"/>
    <w:lvl w:ilvl="0">
      <w:lvlJc w:val="left"/>
      <w:lvlText w:val="•"/>
      <w:numFmt w:val="bullet"/>
      <w:start w:val="1"/>
    </w:lvl>
    <w:lvl w:ilvl="1">
      <w:lvlJc w:val="left"/>
      <w:lvlText w:val="(%2)"/>
      <w:numFmt w:val="upperLetter"/>
      <w:start w:val="1"/>
    </w:lvl>
  </w:abstractNum>
  <w:abstractNum w:abstractNumId="100">
    <w:nsid w:val="415E286C"/>
    <w:multiLevelType w:val="hybridMultilevel"/>
    <w:lvl w:ilvl="0">
      <w:lvlJc w:val="left"/>
      <w:lvlText w:val="•"/>
      <w:numFmt w:val="bullet"/>
      <w:start w:val="1"/>
    </w:lvl>
  </w:abstractNum>
  <w:abstractNum w:abstractNumId="101">
    <w:nsid w:val="7C58FD05"/>
    <w:multiLevelType w:val="hybridMultilevel"/>
    <w:lvl w:ilvl="0">
      <w:lvlJc w:val="left"/>
      <w:lvlText w:val="(%1)"/>
      <w:numFmt w:val="lowerLetter"/>
      <w:start w:val="2"/>
    </w:lvl>
  </w:abstractNum>
  <w:abstractNum w:abstractNumId="102">
    <w:nsid w:val="23D86AAC"/>
    <w:multiLevelType w:val="hybridMultilevel"/>
    <w:lvl w:ilvl="0">
      <w:lvlJc w:val="left"/>
      <w:lvlText w:val="%1."/>
      <w:numFmt w:val="decimal"/>
      <w:start w:val="8"/>
    </w:lvl>
  </w:abstractNum>
  <w:abstractNum w:abstractNumId="103">
    <w:nsid w:val="45E6D486"/>
    <w:multiLevelType w:val="hybridMultilevel"/>
    <w:lvl w:ilvl="0">
      <w:lvlJc w:val="left"/>
      <w:lvlText w:val="(%1)"/>
      <w:numFmt w:val="lowerLetter"/>
      <w:start w:val="1"/>
    </w:lvl>
  </w:abstractNum>
  <w:abstractNum w:abstractNumId="104">
    <w:nsid w:val="5C10FE21"/>
    <w:multiLevelType w:val="hybridMultilevel"/>
    <w:lvl w:ilvl="0">
      <w:lvlJc w:val="left"/>
      <w:lvlText w:val="(%1)"/>
      <w:numFmt w:val="lowerLetter"/>
      <w:start w:val="3"/>
    </w:lvl>
  </w:abstractNum>
  <w:abstractNum w:abstractNumId="105">
    <w:nsid w:val="E7FFA2B"/>
    <w:multiLevelType w:val="hybridMultilevel"/>
    <w:lvl w:ilvl="0">
      <w:lvlJc w:val="left"/>
      <w:lvlText w:val="%1."/>
      <w:numFmt w:val="decimal"/>
      <w:start w:val="9"/>
    </w:lvl>
  </w:abstractNum>
  <w:abstractNum w:abstractNumId="106">
    <w:nsid w:val="3C5991AA"/>
    <w:multiLevelType w:val="hybridMultilevel"/>
    <w:lvl w:ilvl="0">
      <w:lvlJc w:val="left"/>
      <w:lvlText w:val="(%1)"/>
      <w:numFmt w:val="lowerLetter"/>
      <w:start w:val="1"/>
    </w:lvl>
  </w:abstractNum>
  <w:abstractNum w:abstractNumId="107">
    <w:nsid w:val="4BD8591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8">
    <w:nsid w:val="78DF6A55"/>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09">
    <w:nsid w:val="39B7AAA2"/>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10">
    <w:nsid w:val="2B0D8DBE"/>
    <w:multiLevelType w:val="hybridMultilevel"/>
    <w:lvl w:ilvl="0">
      <w:lvlJc w:val="left"/>
      <w:lvlText w:val="%1."/>
      <w:numFmt w:val="decimal"/>
      <w:start w:val="14"/>
    </w:lvl>
  </w:abstractNum>
  <w:abstractNum w:abstractNumId="111">
    <w:nsid w:val="6C80EC70"/>
    <w:multiLevelType w:val="hybridMultilevel"/>
    <w:lvl w:ilvl="0">
      <w:lvlJc w:val="left"/>
      <w:lvlText w:val="%1."/>
      <w:numFmt w:val="decimal"/>
      <w:start w:val="16"/>
    </w:lvl>
  </w:abstractNum>
  <w:abstractNum w:abstractNumId="112">
    <w:nsid w:val="379E21B5"/>
    <w:multiLevelType w:val="hybridMultilevel"/>
    <w:lvl w:ilvl="0">
      <w:lvlJc w:val="left"/>
      <w:lvlText w:val="(%1)"/>
      <w:numFmt w:val="decimal"/>
      <w:start w:val="1"/>
    </w:lvl>
    <w:lvl w:ilvl="1">
      <w:lvlJc w:val="left"/>
      <w:lvlText w:val="%2."/>
      <w:numFmt w:val="decimal"/>
      <w:start w:val="17"/>
    </w:lvl>
  </w:abstractNum>
  <w:abstractNum w:abstractNumId="113">
    <w:nsid w:val="69E373"/>
    <w:multiLevelType w:val="hybridMultilevel"/>
    <w:lvl w:ilvl="0">
      <w:lvlJc w:val="left"/>
      <w:lvlText w:val="%1."/>
      <w:numFmt w:val="decimal"/>
      <w:start w:val="22"/>
    </w:lvl>
  </w:abstractNum>
  <w:abstractNum w:abstractNumId="114">
    <w:nsid w:val="2C27173B"/>
    <w:multiLevelType w:val="hybridMultilevel"/>
    <w:lvl w:ilvl="0">
      <w:lvlJc w:val="left"/>
      <w:lvlText w:val="(%1)"/>
      <w:numFmt w:val="lowerRoman"/>
      <w:start w:val="2"/>
    </w:lvl>
  </w:abstractNum>
  <w:abstractNum w:abstractNumId="115">
    <w:nsid w:val="4C9B0904"/>
    <w:multiLevelType w:val="hybridMultilevel"/>
    <w:lvl w:ilvl="0">
      <w:lvlJc w:val="left"/>
      <w:lvlText w:val="(%1)"/>
      <w:numFmt w:val="lowerRoman"/>
      <w:start w:val="2"/>
    </w:lvl>
  </w:abstractNum>
  <w:abstractNum w:abstractNumId="116">
    <w:nsid w:val="6AA7B75C"/>
    <w:multiLevelType w:val="hybridMultilevel"/>
    <w:lvl w:ilvl="0">
      <w:lvlJc w:val="left"/>
      <w:lvlText w:val="(%1)"/>
      <w:numFmt w:val="lowerRoman"/>
      <w:start w:val="1"/>
    </w:lvl>
  </w:abstractNum>
  <w:abstractNum w:abstractNumId="117">
    <w:nsid w:val="1DF029D3"/>
    <w:multiLevelType w:val="hybridMultilevel"/>
    <w:lvl w:ilvl="0">
      <w:lvlJc w:val="left"/>
      <w:lvlText w:val="(%1)"/>
      <w:numFmt w:val="lowerRoman"/>
      <w:start w:val="2"/>
    </w:lvl>
  </w:abstractNum>
  <w:abstractNum w:abstractNumId="118">
    <w:nsid w:val="5675FF36"/>
    <w:multiLevelType w:val="hybridMultilevel"/>
    <w:lvl w:ilvl="0">
      <w:lvlJc w:val="left"/>
      <w:lvlText w:val="(%1)"/>
      <w:numFmt w:val="lowerRoman"/>
      <w:start w:val="1"/>
    </w:lvl>
  </w:abstractNum>
  <w:abstractNum w:abstractNumId="119">
    <w:nsid w:val="3DD15094"/>
    <w:multiLevelType w:val="hybridMultilevel"/>
    <w:lvl w:ilvl="0">
      <w:lvlJc w:val="left"/>
      <w:lvlText w:val="(%1)"/>
      <w:numFmt w:val="lowerRoman"/>
      <w:start w:val="3"/>
    </w:lvl>
  </w:abstractNum>
  <w:abstractNum w:abstractNumId="120">
    <w:nsid w:val="3DB012B3"/>
    <w:multiLevelType w:val="hybridMultilevel"/>
    <w:lvl w:ilvl="0">
      <w:lvlJc w:val="left"/>
      <w:lvlText w:val="(%1)"/>
      <w:numFmt w:val="lowerRoman"/>
      <w:start w:val="1"/>
    </w:lvl>
  </w:abstractNum>
  <w:abstractNum w:abstractNumId="121">
    <w:nsid w:val="2708C9AF"/>
    <w:multiLevelType w:val="hybridMultilevel"/>
    <w:lvl w:ilvl="0">
      <w:lvlJc w:val="left"/>
      <w:lvlText w:val="%1."/>
      <w:numFmt w:val="decimal"/>
      <w:start w:val="2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2019-12-05T14:39:17Z</dcterms:created>
  <dcterms:modified xsi:type="dcterms:W3CDTF">2019-12-05T14:39:17Z</dcterms:modified>
</cp:coreProperties>
</file>