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433</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Statement No. 333-190822</w:t>
      </w:r>
    </w:p>
    <w:p>
      <w:pPr>
        <w:spacing w:after="0" w:line="146" w:lineRule="exact"/>
        <w:rPr>
          <w:sz w:val="24"/>
          <w:szCs w:val="24"/>
          <w:color w:val="auto"/>
        </w:rPr>
      </w:pPr>
    </w:p>
    <w:tbl>
      <w:tblPr>
        <w:tblLayout w:type="fixed"/>
        <w:tblInd w:w="0" w:type="dxa"/>
        <w:tblCellMar>
          <w:top w:w="0" w:type="dxa"/>
          <w:left w:w="0" w:type="dxa"/>
          <w:bottom w:w="0" w:type="dxa"/>
          <w:right w:w="0" w:type="dxa"/>
        </w:tblCellMar>
      </w:tblPr>
      <w:tr>
        <w:trPr>
          <w:trHeight w:val="281"/>
        </w:trPr>
        <w:tc>
          <w:tcPr>
            <w:tcW w:w="20" w:type="dxa"/>
            <w:vAlign w:val="bottom"/>
          </w:tcPr>
          <w:p>
            <w:pPr>
              <w:spacing w:after="0"/>
              <w:rPr>
                <w:sz w:val="24"/>
                <w:szCs w:val="24"/>
                <w:color w:val="auto"/>
              </w:rPr>
            </w:pPr>
          </w:p>
        </w:tc>
        <w:tc>
          <w:tcPr>
            <w:tcW w:w="11400" w:type="dxa"/>
            <w:vAlign w:val="bottom"/>
            <w:gridSpan w:val="2"/>
          </w:tcPr>
          <w:p>
            <w:pPr>
              <w:jc w:val="center"/>
              <w:spacing w:after="0"/>
              <w:rPr>
                <w:sz w:val="20"/>
                <w:szCs w:val="20"/>
                <w:color w:val="auto"/>
              </w:rPr>
            </w:pPr>
            <w:r>
              <w:rPr>
                <w:rFonts w:ascii="Arial" w:cs="Arial" w:eastAsia="Arial" w:hAnsi="Arial"/>
                <w:sz w:val="22"/>
                <w:szCs w:val="22"/>
                <w:b w:val="1"/>
                <w:bCs w:val="1"/>
                <w:color w:val="auto"/>
                <w:w w:val="88"/>
              </w:rPr>
              <w:t>Schlumberger Investment SA $1,500,000,000 3.650% Senior Notes due 2023</w:t>
            </w:r>
          </w:p>
        </w:tc>
      </w:tr>
      <w:tr>
        <w:trPr>
          <w:trHeight w:val="405"/>
        </w:trPr>
        <w:tc>
          <w:tcPr>
            <w:tcW w:w="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8520" w:type="dxa"/>
            <w:vAlign w:val="bottom"/>
          </w:tcPr>
          <w:p>
            <w:pPr>
              <w:jc w:val="center"/>
              <w:ind w:right="2811"/>
              <w:spacing w:after="0"/>
              <w:rPr>
                <w:sz w:val="20"/>
                <w:szCs w:val="20"/>
                <w:color w:val="auto"/>
              </w:rPr>
            </w:pPr>
            <w:r>
              <w:rPr>
                <w:rFonts w:ascii="Arial" w:cs="Arial" w:eastAsia="Arial" w:hAnsi="Arial"/>
                <w:sz w:val="22"/>
                <w:szCs w:val="22"/>
                <w:b w:val="1"/>
                <w:bCs w:val="1"/>
                <w:color w:val="auto"/>
                <w:w w:val="88"/>
              </w:rPr>
              <w:t>Pricing Term Sheet</w:t>
            </w:r>
          </w:p>
        </w:tc>
      </w:tr>
      <w:tr>
        <w:trPr>
          <w:trHeight w:val="405"/>
        </w:trPr>
        <w:tc>
          <w:tcPr>
            <w:tcW w:w="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8520" w:type="dxa"/>
            <w:vAlign w:val="bottom"/>
          </w:tcPr>
          <w:p>
            <w:pPr>
              <w:jc w:val="center"/>
              <w:ind w:right="2791"/>
              <w:spacing w:after="0"/>
              <w:rPr>
                <w:sz w:val="20"/>
                <w:szCs w:val="20"/>
                <w:color w:val="auto"/>
              </w:rPr>
            </w:pPr>
            <w:r>
              <w:rPr>
                <w:rFonts w:ascii="Arial" w:cs="Arial" w:eastAsia="Arial" w:hAnsi="Arial"/>
                <w:sz w:val="22"/>
                <w:szCs w:val="22"/>
                <w:b w:val="1"/>
                <w:bCs w:val="1"/>
                <w:color w:val="auto"/>
                <w:w w:val="88"/>
              </w:rPr>
              <w:t>November 25, 2013</w:t>
            </w:r>
          </w:p>
        </w:tc>
      </w:tr>
      <w:tr>
        <w:trPr>
          <w:trHeight w:val="193"/>
        </w:trPr>
        <w:tc>
          <w:tcPr>
            <w:tcW w:w="2900" w:type="dxa"/>
            <w:vAlign w:val="bottom"/>
            <w:gridSpan w:val="2"/>
          </w:tcPr>
          <w:p>
            <w:pPr>
              <w:spacing w:after="0"/>
              <w:rPr>
                <w:sz w:val="16"/>
                <w:szCs w:val="16"/>
                <w:color w:val="auto"/>
              </w:rPr>
            </w:pPr>
          </w:p>
        </w:tc>
        <w:tc>
          <w:tcPr>
            <w:tcW w:w="8520" w:type="dxa"/>
            <w:vAlign w:val="bottom"/>
          </w:tcPr>
          <w:p>
            <w:pPr>
              <w:spacing w:after="0"/>
              <w:rPr>
                <w:sz w:val="16"/>
                <w:szCs w:val="16"/>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28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Guarantor:</w:t>
            </w:r>
          </w:p>
        </w:tc>
        <w:tc>
          <w:tcPr>
            <w:tcW w:w="852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8"/>
                <w:szCs w:val="18"/>
                <w:color w:val="auto"/>
              </w:rPr>
              <w:t>Schlumberger Limited</w:t>
            </w:r>
          </w:p>
        </w:tc>
      </w:tr>
      <w:tr>
        <w:trPr>
          <w:trHeight w:val="210"/>
        </w:trPr>
        <w:tc>
          <w:tcPr>
            <w:tcW w:w="2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Issuer:</w:t>
            </w:r>
          </w:p>
        </w:tc>
        <w:tc>
          <w:tcPr>
            <w:tcW w:w="852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Schlumberger Investment SA</w:t>
            </w:r>
          </w:p>
        </w:tc>
      </w:tr>
      <w:tr>
        <w:trPr>
          <w:trHeight w:val="210"/>
        </w:trPr>
        <w:tc>
          <w:tcPr>
            <w:tcW w:w="2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Title:</w:t>
            </w:r>
          </w:p>
        </w:tc>
        <w:tc>
          <w:tcPr>
            <w:tcW w:w="852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3.650% Senior Notes due 2023</w:t>
            </w:r>
          </w:p>
        </w:tc>
      </w:tr>
      <w:tr>
        <w:trPr>
          <w:trHeight w:val="210"/>
        </w:trPr>
        <w:tc>
          <w:tcPr>
            <w:tcW w:w="2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Issue Format:</w:t>
            </w:r>
          </w:p>
        </w:tc>
        <w:tc>
          <w:tcPr>
            <w:tcW w:w="852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SEC registered</w:t>
            </w:r>
          </w:p>
        </w:tc>
      </w:tr>
      <w:tr>
        <w:trPr>
          <w:trHeight w:val="210"/>
        </w:trPr>
        <w:tc>
          <w:tcPr>
            <w:tcW w:w="2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Ratings*:</w:t>
            </w:r>
          </w:p>
        </w:tc>
        <w:tc>
          <w:tcPr>
            <w:tcW w:w="852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A1/AA-</w:t>
            </w:r>
          </w:p>
        </w:tc>
      </w:tr>
      <w:tr>
        <w:trPr>
          <w:trHeight w:val="210"/>
        </w:trPr>
        <w:tc>
          <w:tcPr>
            <w:tcW w:w="2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Principal Amount:</w:t>
            </w:r>
          </w:p>
        </w:tc>
        <w:tc>
          <w:tcPr>
            <w:tcW w:w="852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$1,500,000,000</w:t>
            </w:r>
          </w:p>
        </w:tc>
      </w:tr>
      <w:tr>
        <w:trPr>
          <w:trHeight w:val="210"/>
        </w:trPr>
        <w:tc>
          <w:tcPr>
            <w:tcW w:w="2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Coupon:</w:t>
            </w:r>
          </w:p>
        </w:tc>
        <w:tc>
          <w:tcPr>
            <w:tcW w:w="852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3.650%</w:t>
            </w:r>
          </w:p>
        </w:tc>
      </w:tr>
      <w:tr>
        <w:trPr>
          <w:trHeight w:val="210"/>
        </w:trPr>
        <w:tc>
          <w:tcPr>
            <w:tcW w:w="2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Price to Public:</w:t>
            </w:r>
          </w:p>
        </w:tc>
        <w:tc>
          <w:tcPr>
            <w:tcW w:w="852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99.660%</w:t>
            </w:r>
          </w:p>
        </w:tc>
      </w:tr>
      <w:tr>
        <w:trPr>
          <w:trHeight w:val="210"/>
        </w:trPr>
        <w:tc>
          <w:tcPr>
            <w:tcW w:w="2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Interest Payment Dates:</w:t>
            </w:r>
          </w:p>
        </w:tc>
        <w:tc>
          <w:tcPr>
            <w:tcW w:w="852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June 1 and December 1, beginning June 1, 2014</w:t>
            </w:r>
          </w:p>
        </w:tc>
      </w:tr>
      <w:tr>
        <w:trPr>
          <w:trHeight w:val="210"/>
        </w:trPr>
        <w:tc>
          <w:tcPr>
            <w:tcW w:w="2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Trade Date:</w:t>
            </w:r>
          </w:p>
        </w:tc>
        <w:tc>
          <w:tcPr>
            <w:tcW w:w="852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November 25, 2013</w:t>
            </w:r>
          </w:p>
        </w:tc>
      </w:tr>
      <w:tr>
        <w:trPr>
          <w:trHeight w:val="210"/>
        </w:trPr>
        <w:tc>
          <w:tcPr>
            <w:tcW w:w="2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Settlement Date:</w:t>
            </w:r>
          </w:p>
        </w:tc>
        <w:tc>
          <w:tcPr>
            <w:tcW w:w="852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December 3, 2013</w:t>
            </w:r>
          </w:p>
        </w:tc>
      </w:tr>
      <w:tr>
        <w:trPr>
          <w:trHeight w:val="210"/>
        </w:trPr>
        <w:tc>
          <w:tcPr>
            <w:tcW w:w="2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Maturity Date:</w:t>
            </w:r>
          </w:p>
        </w:tc>
        <w:tc>
          <w:tcPr>
            <w:tcW w:w="852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December 1, 2023</w:t>
            </w:r>
          </w:p>
        </w:tc>
      </w:tr>
      <w:tr>
        <w:trPr>
          <w:trHeight w:val="210"/>
        </w:trPr>
        <w:tc>
          <w:tcPr>
            <w:tcW w:w="2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Make-Whole Call:</w:t>
            </w:r>
          </w:p>
        </w:tc>
        <w:tc>
          <w:tcPr>
            <w:tcW w:w="852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T + 15 basis points</w:t>
            </w:r>
          </w:p>
        </w:tc>
      </w:tr>
      <w:tr>
        <w:trPr>
          <w:trHeight w:val="210"/>
        </w:trPr>
        <w:tc>
          <w:tcPr>
            <w:tcW w:w="2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Par Call:</w:t>
            </w:r>
          </w:p>
        </w:tc>
        <w:tc>
          <w:tcPr>
            <w:tcW w:w="852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At any time on or after September 1, 2023</w:t>
            </w:r>
          </w:p>
        </w:tc>
      </w:tr>
      <w:tr>
        <w:trPr>
          <w:trHeight w:val="210"/>
        </w:trPr>
        <w:tc>
          <w:tcPr>
            <w:tcW w:w="2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Benchmark Treasury:</w:t>
            </w:r>
          </w:p>
        </w:tc>
        <w:tc>
          <w:tcPr>
            <w:tcW w:w="852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2.750% due November 15, 2023</w:t>
            </w:r>
          </w:p>
        </w:tc>
      </w:tr>
      <w:tr>
        <w:trPr>
          <w:trHeight w:val="210"/>
        </w:trPr>
        <w:tc>
          <w:tcPr>
            <w:tcW w:w="2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Treasury Yield:</w:t>
            </w:r>
          </w:p>
        </w:tc>
        <w:tc>
          <w:tcPr>
            <w:tcW w:w="852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2.741%</w:t>
            </w:r>
          </w:p>
        </w:tc>
      </w:tr>
      <w:tr>
        <w:trPr>
          <w:trHeight w:val="210"/>
        </w:trPr>
        <w:tc>
          <w:tcPr>
            <w:tcW w:w="2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Spread to Benchmark Treasury:</w:t>
            </w:r>
          </w:p>
        </w:tc>
        <w:tc>
          <w:tcPr>
            <w:tcW w:w="852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+95 basis points</w:t>
            </w:r>
          </w:p>
        </w:tc>
      </w:tr>
      <w:tr>
        <w:trPr>
          <w:trHeight w:val="210"/>
        </w:trPr>
        <w:tc>
          <w:tcPr>
            <w:tcW w:w="2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Reoffer Yield:</w:t>
            </w:r>
          </w:p>
        </w:tc>
        <w:tc>
          <w:tcPr>
            <w:tcW w:w="852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3.691%</w:t>
            </w:r>
          </w:p>
        </w:tc>
      </w:tr>
      <w:tr>
        <w:trPr>
          <w:trHeight w:val="210"/>
        </w:trPr>
        <w:tc>
          <w:tcPr>
            <w:tcW w:w="2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CUSIP:</w:t>
            </w:r>
          </w:p>
        </w:tc>
        <w:tc>
          <w:tcPr>
            <w:tcW w:w="852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806854 AH8</w:t>
            </w:r>
          </w:p>
        </w:tc>
      </w:tr>
      <w:tr>
        <w:trPr>
          <w:trHeight w:val="210"/>
        </w:trPr>
        <w:tc>
          <w:tcPr>
            <w:tcW w:w="2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ISIN:</w:t>
            </w:r>
          </w:p>
        </w:tc>
        <w:tc>
          <w:tcPr>
            <w:tcW w:w="852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US806854AH81</w:t>
            </w:r>
          </w:p>
        </w:tc>
      </w:tr>
      <w:tr>
        <w:trPr>
          <w:trHeight w:val="201"/>
        </w:trPr>
        <w:tc>
          <w:tcPr>
            <w:tcW w:w="2900" w:type="dxa"/>
            <w:vAlign w:val="bottom"/>
            <w:gridSpan w:val="2"/>
          </w:tcPr>
          <w:p>
            <w:pPr>
              <w:spacing w:after="0" w:line="201" w:lineRule="exact"/>
              <w:rPr>
                <w:sz w:val="20"/>
                <w:szCs w:val="20"/>
                <w:color w:val="auto"/>
              </w:rPr>
            </w:pPr>
            <w:r>
              <w:rPr>
                <w:rFonts w:ascii="Arial" w:cs="Arial" w:eastAsia="Arial" w:hAnsi="Arial"/>
                <w:sz w:val="18"/>
                <w:szCs w:val="18"/>
                <w:color w:val="auto"/>
              </w:rPr>
              <w:t>Joint Book-Running Managers:</w:t>
            </w:r>
          </w:p>
        </w:tc>
        <w:tc>
          <w:tcPr>
            <w:tcW w:w="8520" w:type="dxa"/>
            <w:vAlign w:val="bottom"/>
          </w:tcPr>
          <w:p>
            <w:pPr>
              <w:ind w:left="640"/>
              <w:spacing w:after="0" w:line="201" w:lineRule="exact"/>
              <w:rPr>
                <w:sz w:val="20"/>
                <w:szCs w:val="20"/>
                <w:color w:val="auto"/>
              </w:rPr>
            </w:pPr>
            <w:r>
              <w:rPr>
                <w:rFonts w:ascii="Arial" w:cs="Arial" w:eastAsia="Arial" w:hAnsi="Arial"/>
                <w:sz w:val="18"/>
                <w:szCs w:val="18"/>
                <w:color w:val="auto"/>
              </w:rPr>
              <w:t>Citigroup Global Markets Inc.</w:t>
            </w: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8520" w:type="dxa"/>
            <w:vAlign w:val="bottom"/>
          </w:tcPr>
          <w:p>
            <w:pPr>
              <w:ind w:left="640"/>
              <w:spacing w:after="0"/>
              <w:rPr>
                <w:sz w:val="20"/>
                <w:szCs w:val="20"/>
                <w:color w:val="auto"/>
              </w:rPr>
            </w:pPr>
            <w:r>
              <w:rPr>
                <w:rFonts w:ascii="Arial" w:cs="Arial" w:eastAsia="Arial" w:hAnsi="Arial"/>
                <w:sz w:val="18"/>
                <w:szCs w:val="18"/>
                <w:color w:val="auto"/>
              </w:rPr>
              <w:t>Deutsche Bank Securities Inc.</w:t>
            </w: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8520" w:type="dxa"/>
            <w:vAlign w:val="bottom"/>
          </w:tcPr>
          <w:p>
            <w:pPr>
              <w:ind w:left="640"/>
              <w:spacing w:after="0"/>
              <w:rPr>
                <w:sz w:val="20"/>
                <w:szCs w:val="20"/>
                <w:color w:val="auto"/>
              </w:rPr>
            </w:pPr>
            <w:r>
              <w:rPr>
                <w:rFonts w:ascii="Arial" w:cs="Arial" w:eastAsia="Arial" w:hAnsi="Arial"/>
                <w:sz w:val="18"/>
                <w:szCs w:val="18"/>
                <w:color w:val="auto"/>
              </w:rPr>
              <w:t>J.P. Morgan Securities LLC</w:t>
            </w: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8520" w:type="dxa"/>
            <w:vAlign w:val="bottom"/>
          </w:tcPr>
          <w:p>
            <w:pPr>
              <w:ind w:left="640"/>
              <w:spacing w:after="0"/>
              <w:rPr>
                <w:sz w:val="20"/>
                <w:szCs w:val="20"/>
                <w:color w:val="auto"/>
              </w:rPr>
            </w:pPr>
            <w:r>
              <w:rPr>
                <w:rFonts w:ascii="Arial" w:cs="Arial" w:eastAsia="Arial" w:hAnsi="Arial"/>
                <w:sz w:val="18"/>
                <w:szCs w:val="18"/>
                <w:color w:val="auto"/>
              </w:rPr>
              <w:t>Mitsubishi UFJ Securities (USA), Inc.</w:t>
            </w:r>
          </w:p>
        </w:tc>
      </w:tr>
      <w:tr>
        <w:trPr>
          <w:trHeight w:val="231"/>
        </w:trPr>
        <w:tc>
          <w:tcPr>
            <w:tcW w:w="20" w:type="dxa"/>
            <w:vAlign w:val="bottom"/>
          </w:tcPr>
          <w:p>
            <w:pPr>
              <w:spacing w:after="0"/>
              <w:rPr>
                <w:sz w:val="20"/>
                <w:szCs w:val="20"/>
                <w:color w:val="auto"/>
              </w:rPr>
            </w:pPr>
          </w:p>
        </w:tc>
        <w:tc>
          <w:tcPr>
            <w:tcW w:w="2880" w:type="dxa"/>
            <w:vAlign w:val="bottom"/>
            <w:tcBorders>
              <w:bottom w:val="single" w:sz="8" w:color="auto"/>
            </w:tcBorders>
          </w:tcPr>
          <w:p>
            <w:pPr>
              <w:spacing w:after="0"/>
              <w:rPr>
                <w:sz w:val="20"/>
                <w:szCs w:val="20"/>
                <w:color w:val="auto"/>
              </w:rPr>
            </w:pPr>
          </w:p>
        </w:tc>
        <w:tc>
          <w:tcPr>
            <w:tcW w:w="852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Morgan Stanley &amp; Co. LLC</w:t>
            </w:r>
          </w:p>
        </w:tc>
      </w:tr>
      <w:tr>
        <w:trPr>
          <w:trHeight w:val="208"/>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Co-Managers:</w:t>
            </w:r>
          </w:p>
        </w:tc>
        <w:tc>
          <w:tcPr>
            <w:tcW w:w="8520" w:type="dxa"/>
            <w:vAlign w:val="bottom"/>
          </w:tcPr>
          <w:p>
            <w:pPr>
              <w:ind w:left="640"/>
              <w:spacing w:after="0"/>
              <w:rPr>
                <w:sz w:val="20"/>
                <w:szCs w:val="20"/>
                <w:color w:val="auto"/>
              </w:rPr>
            </w:pPr>
            <w:r>
              <w:rPr>
                <w:rFonts w:ascii="Arial" w:cs="Arial" w:eastAsia="Arial" w:hAnsi="Arial"/>
                <w:sz w:val="18"/>
                <w:szCs w:val="18"/>
                <w:color w:val="auto"/>
              </w:rPr>
              <w:t>BBVA Securities Inc.</w:t>
            </w:r>
          </w:p>
        </w:tc>
      </w:tr>
      <w:tr>
        <w:trPr>
          <w:trHeight w:val="222"/>
        </w:trPr>
        <w:tc>
          <w:tcPr>
            <w:tcW w:w="2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8520" w:type="dxa"/>
            <w:vAlign w:val="bottom"/>
          </w:tcPr>
          <w:p>
            <w:pPr>
              <w:ind w:left="640"/>
              <w:spacing w:after="0"/>
              <w:rPr>
                <w:sz w:val="20"/>
                <w:szCs w:val="20"/>
                <w:color w:val="auto"/>
              </w:rPr>
            </w:pPr>
            <w:r>
              <w:rPr>
                <w:rFonts w:ascii="Arial" w:cs="Arial" w:eastAsia="Arial" w:hAnsi="Arial"/>
                <w:sz w:val="18"/>
                <w:szCs w:val="18"/>
                <w:color w:val="auto"/>
              </w:rPr>
              <w:t>BNP Paribas Securities Corp.</w:t>
            </w:r>
          </w:p>
        </w:tc>
      </w:tr>
    </w:tbl>
    <w:p>
      <w:pPr>
        <w:ind w:left="3540"/>
        <w:spacing w:after="0"/>
        <w:rPr>
          <w:sz w:val="20"/>
          <w:szCs w:val="20"/>
          <w:color w:val="auto"/>
        </w:rPr>
      </w:pPr>
      <w:r>
        <w:rPr>
          <w:rFonts w:ascii="Arial" w:cs="Arial" w:eastAsia="Arial" w:hAnsi="Arial"/>
          <w:sz w:val="18"/>
          <w:szCs w:val="18"/>
          <w:color w:val="auto"/>
        </w:rPr>
        <w:t>DNB Markets, Inc.</w:t>
      </w:r>
    </w:p>
    <w:p>
      <w:pPr>
        <w:spacing w:after="0" w:line="9" w:lineRule="exact"/>
        <w:rPr>
          <w:sz w:val="24"/>
          <w:szCs w:val="24"/>
          <w:color w:val="auto"/>
        </w:rPr>
      </w:pPr>
    </w:p>
    <w:p>
      <w:pPr>
        <w:ind w:left="3540"/>
        <w:spacing w:after="0"/>
        <w:rPr>
          <w:sz w:val="20"/>
          <w:szCs w:val="20"/>
          <w:color w:val="auto"/>
        </w:rPr>
      </w:pPr>
      <w:r>
        <w:rPr>
          <w:rFonts w:ascii="Arial" w:cs="Arial" w:eastAsia="Arial" w:hAnsi="Arial"/>
          <w:sz w:val="18"/>
          <w:szCs w:val="18"/>
          <w:color w:val="auto"/>
        </w:rPr>
        <w:t>HSBC Securities (USA) Inc.</w:t>
      </w:r>
    </w:p>
    <w:p>
      <w:pPr>
        <w:spacing w:after="0" w:line="9" w:lineRule="exact"/>
        <w:rPr>
          <w:sz w:val="24"/>
          <w:szCs w:val="24"/>
          <w:color w:val="auto"/>
        </w:rPr>
      </w:pPr>
    </w:p>
    <w:p>
      <w:pPr>
        <w:ind w:left="3540"/>
        <w:spacing w:after="0"/>
        <w:rPr>
          <w:sz w:val="20"/>
          <w:szCs w:val="20"/>
          <w:color w:val="auto"/>
        </w:rPr>
      </w:pPr>
      <w:r>
        <w:rPr>
          <w:rFonts w:ascii="Arial" w:cs="Arial" w:eastAsia="Arial" w:hAnsi="Arial"/>
          <w:sz w:val="18"/>
          <w:szCs w:val="18"/>
          <w:color w:val="auto"/>
        </w:rPr>
        <w:t>Merrill Lynch, Pierce, Fenner &amp; Smith Incorporated</w:t>
      </w:r>
    </w:p>
    <w:p>
      <w:pPr>
        <w:spacing w:after="0" w:line="9" w:lineRule="exact"/>
        <w:rPr>
          <w:sz w:val="24"/>
          <w:szCs w:val="24"/>
          <w:color w:val="auto"/>
        </w:rPr>
      </w:pPr>
    </w:p>
    <w:p>
      <w:pPr>
        <w:ind w:left="3540"/>
        <w:spacing w:after="0"/>
        <w:rPr>
          <w:sz w:val="20"/>
          <w:szCs w:val="20"/>
          <w:color w:val="auto"/>
        </w:rPr>
      </w:pPr>
      <w:r>
        <w:rPr>
          <w:rFonts w:ascii="Arial" w:cs="Arial" w:eastAsia="Arial" w:hAnsi="Arial"/>
          <w:sz w:val="18"/>
          <w:szCs w:val="18"/>
          <w:color w:val="auto"/>
        </w:rPr>
        <w:t>RBC Capital Markets, LLC</w:t>
      </w:r>
    </w:p>
    <w:p>
      <w:pPr>
        <w:spacing w:after="0" w:line="9" w:lineRule="exact"/>
        <w:rPr>
          <w:sz w:val="24"/>
          <w:szCs w:val="24"/>
          <w:color w:val="auto"/>
        </w:rPr>
      </w:pPr>
    </w:p>
    <w:p>
      <w:pPr>
        <w:ind w:left="3540"/>
        <w:spacing w:after="0"/>
        <w:rPr>
          <w:sz w:val="20"/>
          <w:szCs w:val="20"/>
          <w:color w:val="auto"/>
        </w:rPr>
      </w:pPr>
      <w:r>
        <w:rPr>
          <w:rFonts w:ascii="Arial" w:cs="Arial" w:eastAsia="Arial" w:hAnsi="Arial"/>
          <w:sz w:val="18"/>
          <w:szCs w:val="18"/>
          <w:color w:val="auto"/>
        </w:rPr>
        <w:t>SG Americas Securities, LLC</w:t>
      </w:r>
    </w:p>
    <w:p>
      <w:pPr>
        <w:spacing w:after="0" w:line="9" w:lineRule="exact"/>
        <w:rPr>
          <w:sz w:val="24"/>
          <w:szCs w:val="24"/>
          <w:color w:val="auto"/>
        </w:rPr>
      </w:pPr>
    </w:p>
    <w:p>
      <w:pPr>
        <w:ind w:left="3540"/>
        <w:spacing w:after="0"/>
        <w:rPr>
          <w:sz w:val="20"/>
          <w:szCs w:val="20"/>
          <w:color w:val="auto"/>
        </w:rPr>
      </w:pPr>
      <w:r>
        <w:rPr>
          <w:rFonts w:ascii="Arial" w:cs="Arial" w:eastAsia="Arial" w:hAnsi="Arial"/>
          <w:sz w:val="18"/>
          <w:szCs w:val="18"/>
          <w:color w:val="auto"/>
        </w:rPr>
        <w:t>Standard Chartered Bank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1" w:lineRule="exact"/>
        <w:rPr>
          <w:sz w:val="24"/>
          <w:szCs w:val="24"/>
          <w:color w:val="auto"/>
        </w:rPr>
      </w:pPr>
    </w:p>
    <w:p>
      <w:pPr>
        <w:spacing w:after="0"/>
        <w:rPr>
          <w:sz w:val="20"/>
          <w:szCs w:val="20"/>
          <w:color w:val="auto"/>
        </w:rPr>
      </w:pPr>
      <w:r>
        <w:rPr>
          <w:rFonts w:ascii="Arial" w:cs="Arial" w:eastAsia="Arial" w:hAnsi="Arial"/>
          <w:sz w:val="18"/>
          <w:szCs w:val="18"/>
          <w:color w:val="auto"/>
        </w:rPr>
        <w:t>*Note: A securities rating is not a recommendation to buy, sell or hold securities and may be subject to revision or withdrawal at any time.</w:t>
      </w:r>
    </w:p>
    <w:p>
      <w:pPr>
        <w:spacing w:after="0" w:line="24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Settlement and Sale of the Notes</w:t>
      </w:r>
    </w:p>
    <w:p>
      <w:pPr>
        <w:spacing w:after="0" w:line="96" w:lineRule="exact"/>
        <w:rPr>
          <w:sz w:val="24"/>
          <w:szCs w:val="24"/>
          <w:color w:val="auto"/>
        </w:rPr>
      </w:pPr>
    </w:p>
    <w:p>
      <w:pPr>
        <w:jc w:val="both"/>
        <w:ind w:right="20"/>
        <w:spacing w:after="0" w:line="256" w:lineRule="auto"/>
        <w:rPr>
          <w:sz w:val="20"/>
          <w:szCs w:val="20"/>
          <w:color w:val="auto"/>
        </w:rPr>
      </w:pPr>
      <w:r>
        <w:rPr>
          <w:rFonts w:ascii="Arial" w:cs="Arial" w:eastAsia="Arial" w:hAnsi="Arial"/>
          <w:sz w:val="18"/>
          <w:szCs w:val="18"/>
          <w:color w:val="auto"/>
        </w:rPr>
        <w:t>The Issuer expects to deliver the Notes against payment for the Notes on or about December 3, 2013 which will be the fifth business day following November 25, 2013, the date of the pricing of the Notes. Since trades in the secondary market generally settle in three business days, purchasers who wish to trade Notes on the date of pricing or the next succeeding business day will be required, by virtue of the fact that the Notes initially will settle in T+5, to specify alternative settlement arrangements to prevent a failed settlement.</w:t>
      </w:r>
    </w:p>
    <w:p>
      <w:pPr>
        <w:sectPr>
          <w:pgSz w:w="11900" w:h="16838" w:orient="portrait"/>
          <w:cols w:equalWidth="0" w:num="1">
            <w:col w:w="11420"/>
          </w:cols>
          <w:pgMar w:left="240" w:top="233" w:right="239" w:bottom="1440" w:gutter="0" w:footer="0" w:header="0"/>
        </w:sectPr>
      </w:pPr>
    </w:p>
    <w:bookmarkStart w:id="1" w:name="page2"/>
    <w:bookmarkEnd w:id="1"/>
    <w:p>
      <w:pPr>
        <w:spacing w:after="0" w:line="25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issuer has filed a registration statement (including a prospectus) with the SEC for the offering to which this communication relates. Before you invest, you should read the prospectus in that registration statement and other documents the issuer has filed with the SEC for more complete information about the issuer and this offering. You may get these documents for free by visiting EDGAR on the SEC Web site at www.sec.gov. Alternatively, the issuer, any underwriter or any dealer participating in the offering will arrange to send you the prospectus if you request it by calling Citigroup Global Markets Inc. toll-free at 1-800-831-9146, Deutsche Bank Securities Inc. toll-free at 1-800-503-4611 and J.P. Morgan Securities LLC collect at 1-212-834-4533.</w:t>
      </w:r>
    </w:p>
    <w:p>
      <w:pPr>
        <w:spacing w:after="0" w:line="13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w:t>
      </w:r>
    </w:p>
    <w:sectPr>
      <w:pgSz w:w="11900" w:h="16838" w:orient="portrait"/>
      <w:cols w:equalWidth="0" w:num="1">
        <w:col w:w="11220"/>
      </w:cols>
      <w:pgMar w:left="240" w:top="27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2019-12-20T20:48:49Z</dcterms:created>
  <dcterms:modified xsi:type="dcterms:W3CDTF">2019-12-20T20:48:49Z</dcterms:modified>
</cp:coreProperties>
</file>