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AS FILED WITH THE SECURITIES AND EXCHANGE COMMISSION ON NOVEMBER 14, 1997</w:t>
      </w:r>
    </w:p>
    <w:p>
      <w:pPr>
        <w:spacing w:after="0" w:line="201"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380"/>
        <w:spacing w:after="0" w:line="238" w:lineRule="auto"/>
        <w:rPr>
          <w:sz w:val="20"/>
          <w:szCs w:val="20"/>
          <w:color w:val="auto"/>
        </w:rPr>
      </w:pPr>
      <w:r>
        <w:rPr>
          <w:rFonts w:ascii="Courier New" w:cs="Courier New" w:eastAsia="Courier New" w:hAnsi="Courier New"/>
          <w:sz w:val="18"/>
          <w:szCs w:val="18"/>
          <w:color w:val="auto"/>
        </w:rPr>
        <w:t>________________</w:t>
      </w: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SCHLUMBERGER N.V. (Schlumberger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160" w:right="320" w:firstLine="632"/>
        <w:spacing w:after="0" w:line="279" w:lineRule="auto"/>
        <w:rPr>
          <w:sz w:val="20"/>
          <w:szCs w:val="20"/>
          <w:color w:val="auto"/>
        </w:rPr>
      </w:pPr>
      <w:r>
        <w:rPr>
          <w:rFonts w:ascii="Courier New" w:cs="Courier New" w:eastAsia="Courier New" w:hAnsi="Courier New"/>
          <w:sz w:val="16"/>
          <w:szCs w:val="16"/>
          <w:color w:val="auto"/>
        </w:rPr>
        <w:t>Netherlands Antilles (State or other jurisdiction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52-0684746</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38" w:orient="portrait"/>
          <w:cols w:equalWidth="0" w:num="2">
            <w:col w:w="4760" w:space="720"/>
            <w:col w:w="4739"/>
          </w:cols>
          <w:pgMar w:left="240" w:top="649" w:right="1440" w:bottom="1440" w:gutter="0" w:footer="0" w:header="0"/>
          <w:type w:val="continuous"/>
        </w:sectPr>
      </w:pPr>
    </w:p>
    <w:p>
      <w:pPr>
        <w:spacing w:after="0" w:line="17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42, rue Saint Dominique, Paris 75007, France</w:t>
      </w:r>
    </w:p>
    <w:p>
      <w:pPr>
        <w:ind w:left="1700"/>
        <w:spacing w:after="0"/>
        <w:tabs>
          <w:tab w:leader="none" w:pos="5580" w:val="left"/>
        </w:tabs>
        <w:rPr>
          <w:sz w:val="20"/>
          <w:szCs w:val="20"/>
          <w:color w:val="auto"/>
        </w:rPr>
      </w:pPr>
      <w:r>
        <w:rPr>
          <w:rFonts w:ascii="Courier New" w:cs="Courier New" w:eastAsia="Courier New" w:hAnsi="Courier New"/>
          <w:sz w:val="18"/>
          <w:szCs w:val="18"/>
          <w:color w:val="auto"/>
        </w:rPr>
        <w:t>277 Park Avenue, New York, New York</w:t>
      </w:r>
      <w:r>
        <w:rPr>
          <w:sz w:val="20"/>
          <w:szCs w:val="20"/>
          <w:color w:val="auto"/>
        </w:rPr>
        <w:tab/>
      </w:r>
      <w:r>
        <w:rPr>
          <w:rFonts w:ascii="Courier New" w:cs="Courier New" w:eastAsia="Courier New" w:hAnsi="Courier New"/>
          <w:sz w:val="16"/>
          <w:szCs w:val="16"/>
          <w:color w:val="auto"/>
        </w:rPr>
        <w:t>10172-0266</w:t>
      </w:r>
    </w:p>
    <w:p>
      <w:pPr>
        <w:jc w:val="center"/>
        <w:ind w:right="1779"/>
        <w:spacing w:after="0"/>
        <w:rPr>
          <w:sz w:val="20"/>
          <w:szCs w:val="20"/>
          <w:color w:val="auto"/>
        </w:rPr>
      </w:pPr>
      <w:r>
        <w:rPr>
          <w:rFonts w:ascii="Courier New" w:cs="Courier New" w:eastAsia="Courier New" w:hAnsi="Courier New"/>
          <w:sz w:val="18"/>
          <w:szCs w:val="18"/>
          <w:color w:val="auto"/>
        </w:rPr>
        <w:t>Laan Van Meerdervoort 55, 2517 AG The Hague, The Netherlands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(Addresses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INTERACTIVE VIDEO SYSTEMS, INC. 1995 INCENTIVE STOCK OPTION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James L. Gunderson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Deputy General Counsel</w:t>
      </w:r>
    </w:p>
    <w:p>
      <w:pPr>
        <w:jc w:val="center"/>
        <w:ind w:right="1779"/>
        <w:spacing w:after="0"/>
        <w:rPr>
          <w:sz w:val="20"/>
          <w:szCs w:val="20"/>
          <w:color w:val="auto"/>
        </w:rPr>
      </w:pPr>
      <w:r>
        <w:rPr>
          <w:rFonts w:ascii="Courier New" w:cs="Courier New" w:eastAsia="Courier New" w:hAnsi="Courier New"/>
          <w:sz w:val="18"/>
          <w:szCs w:val="18"/>
          <w:color w:val="auto"/>
        </w:rPr>
        <w:t>Schlumberger Limited</w:t>
      </w: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277 Park Avenue, New York, New York</w:t>
      </w:r>
      <w:r>
        <w:rPr>
          <w:sz w:val="20"/>
          <w:szCs w:val="20"/>
          <w:color w:val="auto"/>
        </w:rPr>
        <w:tab/>
      </w:r>
      <w:r>
        <w:rPr>
          <w:rFonts w:ascii="Courier New" w:cs="Courier New" w:eastAsia="Courier New" w:hAnsi="Courier New"/>
          <w:sz w:val="16"/>
          <w:szCs w:val="16"/>
          <w:color w:val="auto"/>
        </w:rPr>
        <w:t>10172-0266</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(212) 350-9428</w:t>
      </w:r>
    </w:p>
    <w:p>
      <w:pPr>
        <w:ind w:left="120"/>
        <w:spacing w:after="0"/>
        <w:rPr>
          <w:sz w:val="20"/>
          <w:szCs w:val="20"/>
          <w:color w:val="auto"/>
        </w:rPr>
      </w:pPr>
      <w:r>
        <w:rPr>
          <w:rFonts w:ascii="Courier New" w:cs="Courier New" w:eastAsia="Courier New" w:hAnsi="Courier New"/>
          <w:sz w:val="18"/>
          <w:szCs w:val="18"/>
          <w:color w:val="auto"/>
        </w:rPr>
        <w:t>(Name, Address and Telephone Number, Including Area Code of Agent for Service)</w:t>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Amount</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Proposed</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Proposed</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Maximum</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21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Registered</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Price</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Share(1)</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Price(2)</w:t>
            </w:r>
          </w:p>
        </w:tc>
        <w:tc>
          <w:tcPr>
            <w:tcW w:w="132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25,998</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$17.12</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$119,146.99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$100.00</w:t>
            </w:r>
          </w:p>
        </w:tc>
      </w:tr>
    </w:tbl>
    <w:p>
      <w:pPr>
        <w:spacing w:after="0" w:line="238" w:lineRule="auto"/>
        <w:rPr>
          <w:sz w:val="20"/>
          <w:szCs w:val="20"/>
          <w:color w:val="auto"/>
        </w:rPr>
      </w:pPr>
      <w:r>
        <w:rPr>
          <w:rFonts w:ascii="Courier New" w:cs="Courier New" w:eastAsia="Courier New" w:hAnsi="Courier New"/>
          <w:sz w:val="18"/>
          <w:szCs w:val="18"/>
          <w:color w:val="auto"/>
        </w:rPr>
        <w:t>(Par Value</w:t>
      </w:r>
    </w:p>
    <w:p>
      <w:pPr>
        <w:spacing w:after="0"/>
        <w:rPr>
          <w:sz w:val="20"/>
          <w:szCs w:val="20"/>
          <w:color w:val="auto"/>
        </w:rPr>
      </w:pPr>
      <w:r>
        <w:rPr>
          <w:rFonts w:ascii="Courier New" w:cs="Courier New" w:eastAsia="Courier New" w:hAnsi="Courier New"/>
          <w:sz w:val="18"/>
          <w:szCs w:val="18"/>
          <w:color w:val="auto"/>
        </w:rPr>
        <w:t>$0.01 Per Share)</w:t>
      </w:r>
    </w:p>
    <w:p>
      <w:pPr>
        <w:spacing w:after="0" w:line="200" w:lineRule="exact"/>
        <w:rPr>
          <w:sz w:val="24"/>
          <w:szCs w:val="24"/>
          <w:color w:val="auto"/>
        </w:rPr>
      </w:pPr>
    </w:p>
    <w:p>
      <w:pPr>
        <w:spacing w:after="0" w:line="209" w:lineRule="exact"/>
        <w:rPr>
          <w:sz w:val="24"/>
          <w:szCs w:val="24"/>
          <w:color w:val="auto"/>
        </w:rPr>
      </w:pPr>
    </w:p>
    <w:p>
      <w:pPr>
        <w:ind w:right="2519" w:firstLine="8"/>
        <w:spacing w:after="0" w:line="23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plan listed above, shares may be purchased upon exercise of options at exercise prices ranging from $4.21 to $17.12 per share. The average exercise price is $4.58.</w:t>
      </w:r>
    </w:p>
    <w:p>
      <w:pPr>
        <w:spacing w:after="0" w:line="208" w:lineRule="exact"/>
        <w:rPr>
          <w:rFonts w:ascii="Courier New" w:cs="Courier New" w:eastAsia="Courier New" w:hAnsi="Courier New"/>
          <w:sz w:val="18"/>
          <w:szCs w:val="18"/>
          <w:color w:val="auto"/>
        </w:rPr>
      </w:pPr>
    </w:p>
    <w:p>
      <w:pPr>
        <w:ind w:right="261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457(h) under the Securites Act 1933, represents the aggregate exercise price of all options under the plan listed above.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1779" w:firstLine="737"/>
        <w:spacing w:after="0" w:line="235" w:lineRule="auto"/>
        <w:rPr>
          <w:sz w:val="20"/>
          <w:szCs w:val="20"/>
          <w:color w:val="auto"/>
        </w:rPr>
      </w:pPr>
      <w:r>
        <w:rPr>
          <w:rFonts w:ascii="Courier New" w:cs="Courier New" w:eastAsia="Courier New" w:hAnsi="Courier New"/>
          <w:sz w:val="18"/>
          <w:szCs w:val="18"/>
          <w:color w:val="auto"/>
        </w:rPr>
        <w:t>The following documents filed with the Securities and Exchange Commission are hereby incorporated by reference in the Registration Statement:</w:t>
      </w:r>
    </w:p>
    <w:p>
      <w:pPr>
        <w:spacing w:after="0" w:line="208" w:lineRule="exact"/>
        <w:rPr>
          <w:sz w:val="20"/>
          <w:szCs w:val="20"/>
          <w:color w:val="auto"/>
        </w:rPr>
      </w:pPr>
    </w:p>
    <w:p>
      <w:pPr>
        <w:ind w:right="2099" w:firstLine="745"/>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10-K Annual Report of Schlumberger Limited ("Schlumberger") for fiscal year ended December 31, 1996.</w:t>
      </w:r>
    </w:p>
    <w:p>
      <w:pPr>
        <w:spacing w:after="0" w:line="208" w:lineRule="exact"/>
        <w:rPr>
          <w:rFonts w:ascii="Courier New" w:cs="Courier New" w:eastAsia="Courier New" w:hAnsi="Courier New"/>
          <w:sz w:val="18"/>
          <w:szCs w:val="18"/>
          <w:color w:val="auto"/>
        </w:rPr>
      </w:pPr>
    </w:p>
    <w:p>
      <w:pPr>
        <w:ind w:right="2199" w:firstLine="745"/>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10-Q Quarterly Reports of Schlumberger for fiscal quarters ended March 31, 1997, June 30, 1997 and September 30, 1997.</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Schlumberger's Common Stock which is contained in a Registration Statement on Form 20 dated January 8, 1962, filed under the Securities Exchange Act of 1934 (the "Exchange Act"), including any amendment or report filed for the purpose of updating such description.</w:t>
      </w:r>
    </w:p>
    <w:p>
      <w:pPr>
        <w:spacing w:after="0" w:line="200" w:lineRule="exact"/>
        <w:rPr>
          <w:sz w:val="20"/>
          <w:szCs w:val="20"/>
          <w:color w:val="auto"/>
        </w:rPr>
      </w:pPr>
    </w:p>
    <w:p>
      <w:pPr>
        <w:spacing w:after="0" w:line="210"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All documents filed by Schlumberger pursuant to Sections 13(a), 13(c), 14 and 15(d) of the Exchange Act subsequent to the date hereof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the purposes hereof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hereof.</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0" w:lineRule="exact"/>
        <w:rPr>
          <w:sz w:val="20"/>
          <w:szCs w:val="20"/>
          <w:color w:val="auto"/>
        </w:rPr>
      </w:pPr>
    </w:p>
    <w:p>
      <w:pPr>
        <w:spacing w:after="0" w:line="209"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consolidated financial statements incorporated in this Registration Statement by reference to Schlumberger's Annual Report on Form 10-K for the year ended December 31, 1996 have been so incorporated in reliance on the reports of Price Waterhouse LLP, independent accountants, given on the authority of said firm as experts in auditing and accounting.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2" w:name="page3"/>
    <w:bookmarkEnd w:id="2"/>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0" w:lineRule="exact"/>
        <w:rPr>
          <w:sz w:val="20"/>
          <w:szCs w:val="20"/>
          <w:color w:val="auto"/>
        </w:rPr>
      </w:pPr>
    </w:p>
    <w:p>
      <w:pPr>
        <w:spacing w:after="0" w:line="209"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Schlumberger is authorized to issue 1,000,000,000 shares of Common Stock, par value $0.01 per share, of which 619,135,609 shares were issued; 497,727,589 of such shares were outstanding and 121,408,020 of such shares were held in its treasury at October 31, 1997. In addition, Schlumberger is authorized to issue, subject to certain limitations with respect to voting rights, liquidation and dividend preferences, 200,000,000 shares of cumulative preferred stock, par value $0.01 per share (the "Preferred Stock"), which may be issued in one or more separate series. If issued, the Preferred Stock may be convertible into Common Stock under terms and conditions specified by the Board of Directors of Schlumberger. No shares of Preferred Stock have been issued as of the date of this Registration Statement. The rights of holders of the Common Stock are governed by Schlumberger's Deed of Incorporation and By-Laws and by the laws of the Netherlands Antilles.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0" w:lineRule="exact"/>
        <w:rPr>
          <w:sz w:val="20"/>
          <w:szCs w:val="20"/>
          <w:color w:val="auto"/>
        </w:rPr>
      </w:pPr>
    </w:p>
    <w:p>
      <w:pPr>
        <w:spacing w:after="0" w:line="209"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All outstanding shares of Schlumberger Common Stock (i.e., shares not held by Schlumberger and its subsidiaries), are entitled to participate equally in dividends which may be paid out of available profits of the preceding fiscal year or years. All accumulated and unpaid dividends payable on Preferred Stock must be paid prior to the payment of any dividends on Common Stock. The amount of dividends payable with respect to any fiscal year is determined by the stockholders at the annual meeting following such fiscal year, except that the Board of Directors may declare prior interim dividends.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0" w:lineRule="exact"/>
        <w:rPr>
          <w:sz w:val="20"/>
          <w:szCs w:val="20"/>
          <w:color w:val="auto"/>
        </w:rPr>
      </w:pPr>
    </w:p>
    <w:p>
      <w:pPr>
        <w:spacing w:after="0" w:line="209"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Each holder of shares of Common Stock, exclusive of shares held in treasury, is entitled to one vote for each share registered in such holder's name. Voting rights may be exercised in person or by proxy. No action to amend the Deed of Incorporation or to sell all or substantially all of Schlumberger's assets or to dissolve Schlumberger can be taken except upon the authorization of the holders of a majority of the outstanding shares. In addition, holders of Preferred Stock would have additional rights to vote as a class on certain amendments to Schlumberger's Deed of Incorporation that would adversely affect the Preferred Stock. Any other action requiring the approval of the stockholders may be authorized by a majority of the votes cast at any meeting at which a quorum is present, except that, if a quorum is not present at any meeting, any action which could have been taken at such meeting may be taken at a subsequent meeting held within a stated period thereafter even though a quorum is not present. A quorum consists of not less than 50% of the shares outstanding.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3" w:name="page4"/>
    <w:bookmarkEnd w:id="3"/>
    <w:p>
      <w:pPr>
        <w:ind w:right="1779" w:firstLine="737"/>
        <w:spacing w:after="0" w:line="271" w:lineRule="auto"/>
        <w:rPr>
          <w:sz w:val="20"/>
          <w:szCs w:val="20"/>
          <w:color w:val="auto"/>
        </w:rPr>
      </w:pPr>
      <w:r>
        <w:rPr>
          <w:rFonts w:ascii="Courier New" w:cs="Courier New" w:eastAsia="Courier New" w:hAnsi="Courier New"/>
          <w:sz w:val="16"/>
          <w:szCs w:val="16"/>
          <w:color w:val="auto"/>
        </w:rPr>
        <w:t>The Deed of Incorporation of Schlumberger provides that stockholders may evidence their approval of proposed corporate action by written consent without a meeting. Such action must be taken by the written consent of the holders of at least the absolute majority of all shares outstanding and entitled to vote. The Deed of Incorporation also authorizes the Board of Directors of Schlumberger to effect reorganizations or rearrangements of the corporate structure of Schlumberger or its subsidiaries without the vote of stockholders if such reorganization or rearrangement does not result in any diminution of the beneficial interest of the stockholders in the assets of Schlumberger.</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AND OTHER RIGHTS</w:t>
      </w:r>
    </w:p>
    <w:p>
      <w:pPr>
        <w:spacing w:after="0" w:line="200" w:lineRule="exact"/>
        <w:rPr>
          <w:sz w:val="20"/>
          <w:szCs w:val="20"/>
          <w:color w:val="auto"/>
        </w:rPr>
      </w:pPr>
    </w:p>
    <w:p>
      <w:pPr>
        <w:spacing w:after="0" w:line="209"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shares of Common Stock do not carry any preemptive or conversion rights, and there are no redemption provisions with respect to the Common Stock. The shares of Preferred Stock would not carry any preemptive rights, but the Board of Directors could specify conversion rights, redemption provisions and (within limits) liquidation preferences with respect to one or more series of Preferred Stock. Schlumberger, as provided in the Deed of Incorporation, may for its own account purchase shares of Common Stock so long as at least one-fifth of the authorized capital stock of Schlumberger remains outstanding with holders other than Schlumberger. In the event of liquidation, each share of Common Stock is entitled to equal rights after satisfaction of any Preferred Stock liquidation preference.</w:t>
      </w:r>
    </w:p>
    <w:p>
      <w:pPr>
        <w:spacing w:after="0" w:line="200" w:lineRule="exact"/>
        <w:rPr>
          <w:sz w:val="20"/>
          <w:szCs w:val="20"/>
          <w:color w:val="auto"/>
        </w:rPr>
      </w:pPr>
    </w:p>
    <w:p>
      <w:pPr>
        <w:spacing w:after="0" w:line="219" w:lineRule="exact"/>
        <w:rPr>
          <w:sz w:val="20"/>
          <w:szCs w:val="20"/>
          <w:color w:val="auto"/>
        </w:rPr>
      </w:pPr>
    </w:p>
    <w:p>
      <w:pPr>
        <w:ind w:right="1779" w:firstLine="737"/>
        <w:spacing w:after="0" w:line="236" w:lineRule="auto"/>
        <w:rPr>
          <w:sz w:val="20"/>
          <w:szCs w:val="20"/>
          <w:color w:val="auto"/>
        </w:rPr>
      </w:pPr>
      <w:r>
        <w:rPr>
          <w:rFonts w:ascii="Courier New" w:cs="Courier New" w:eastAsia="Courier New" w:hAnsi="Courier New"/>
          <w:sz w:val="18"/>
          <w:szCs w:val="18"/>
          <w:color w:val="auto"/>
        </w:rPr>
        <w:t>Upon sale and delivery pursuant to the terms of the plan relating to this Registration Statement, the shares of Common Stock offered hereby will be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LISTING;</w:t>
      </w:r>
      <w:r>
        <w:rPr>
          <w:sz w:val="20"/>
          <w:szCs w:val="20"/>
          <w:color w:val="auto"/>
        </w:rPr>
        <w:tab/>
      </w:r>
      <w:r>
        <w:rPr>
          <w:rFonts w:ascii="Courier New" w:cs="Courier New" w:eastAsia="Courier New" w:hAnsi="Courier New"/>
          <w:sz w:val="16"/>
          <w:szCs w:val="16"/>
          <w:color w:val="auto"/>
        </w:rPr>
        <w:t>TRANSFER AGENTS AND REGISTRARS</w:t>
      </w:r>
    </w:p>
    <w:p>
      <w:pPr>
        <w:spacing w:after="0" w:line="200" w:lineRule="exact"/>
        <w:rPr>
          <w:sz w:val="20"/>
          <w:szCs w:val="20"/>
          <w:color w:val="auto"/>
        </w:rPr>
      </w:pPr>
    </w:p>
    <w:p>
      <w:pPr>
        <w:spacing w:after="0" w:line="209" w:lineRule="exact"/>
        <w:rPr>
          <w:sz w:val="20"/>
          <w:szCs w:val="20"/>
          <w:color w:val="auto"/>
        </w:rPr>
      </w:pPr>
    </w:p>
    <w:p>
      <w:pPr>
        <w:ind w:right="2099" w:firstLine="737"/>
        <w:spacing w:after="0" w:line="279" w:lineRule="auto"/>
        <w:rPr>
          <w:sz w:val="20"/>
          <w:szCs w:val="20"/>
          <w:color w:val="auto"/>
        </w:rPr>
      </w:pPr>
      <w:r>
        <w:rPr>
          <w:rFonts w:ascii="Courier New" w:cs="Courier New" w:eastAsia="Courier New" w:hAnsi="Courier New"/>
          <w:sz w:val="16"/>
          <w:szCs w:val="16"/>
          <w:color w:val="auto"/>
        </w:rPr>
        <w:t>Outstanding shares of Common Stock are listed for trading on the New York, London, Paris, Amsterdam and Swiss stock exchanges. The Transfer Agent and Registrar for the Common Stock is the BankBoston, Boston, Massachusetts.</w:t>
      </w:r>
    </w:p>
    <w:p>
      <w:pPr>
        <w:spacing w:after="0" w:line="200" w:lineRule="exact"/>
        <w:rPr>
          <w:sz w:val="20"/>
          <w:szCs w:val="20"/>
          <w:color w:val="auto"/>
        </w:rPr>
      </w:pPr>
    </w:p>
    <w:p>
      <w:pPr>
        <w:spacing w:after="0" w:line="3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0" w:lineRule="exact"/>
        <w:rPr>
          <w:sz w:val="20"/>
          <w:szCs w:val="20"/>
          <w:color w:val="auto"/>
        </w:rPr>
      </w:pPr>
    </w:p>
    <w:p>
      <w:pPr>
        <w:spacing w:after="0" w:line="209"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Article IX, Section 7 of the Company's Deed of Incorporation of Schlumberger (the "Company") and Article V of the Company's By-Laws provide as follows:</w:t>
      </w:r>
    </w:p>
    <w:p>
      <w:pPr>
        <w:spacing w:after="0" w:line="209"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The Company shall have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reasonable believed to be in or not opposed to the best interests of the Company, and, with respect to any criminal action or proceeding, had reasonable cause to believe that his conduct was unlawful.</w:t>
      </w:r>
    </w:p>
    <w:p>
      <w:pPr>
        <w:spacing w:after="0" w:line="210" w:lineRule="exact"/>
        <w:rPr>
          <w:sz w:val="20"/>
          <w:szCs w:val="20"/>
          <w:color w:val="auto"/>
        </w:rPr>
      </w:pPr>
    </w:p>
    <w:p>
      <w:pPr>
        <w:ind w:right="1779" w:firstLine="737"/>
        <w:spacing w:after="0" w:line="269" w:lineRule="auto"/>
        <w:rPr>
          <w:sz w:val="20"/>
          <w:szCs w:val="20"/>
          <w:color w:val="auto"/>
        </w:rPr>
      </w:pPr>
      <w:r>
        <w:rPr>
          <w:rFonts w:ascii="Courier New" w:cs="Courier New" w:eastAsia="Courier New" w:hAnsi="Courier New"/>
          <w:sz w:val="16"/>
          <w:szCs w:val="16"/>
          <w:color w:val="auto"/>
        </w:rPr>
        <w:t>The Company shall have the power to indemnify any person who was or is a party or is threatened to be made a party to any threatened, pending or completed action, or suit by or in the right of the Company to procure a judgment in its favor by reason of the fact that 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the defense or settlement of such action or suit if he acted in good faith and in a manner he reasonable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5" w:name="page6"/>
    <w:bookmarkEnd w:id="5"/>
    <w:p>
      <w:pPr>
        <w:ind w:right="1779" w:firstLine="737"/>
        <w:spacing w:after="0" w:line="237" w:lineRule="auto"/>
        <w:rPr>
          <w:sz w:val="20"/>
          <w:szCs w:val="20"/>
          <w:color w:val="auto"/>
        </w:rPr>
      </w:pPr>
      <w:r>
        <w:rPr>
          <w:rFonts w:ascii="Courier New" w:cs="Courier New" w:eastAsia="Courier New" w:hAnsi="Courier New"/>
          <w:sz w:val="18"/>
          <w:szCs w:val="18"/>
          <w:color w:val="auto"/>
        </w:rPr>
        <w:t>To the extent that a director, officer, employee or agent of the Company has been successful on the merits or otherwise in defense of any action, suit or proceeding referred to in the two preceding paragraphs, or in defense of any claim, issue or matter therein, he shall be indemnified against expenses (including attorneys' fees) actually and reasonably incurred by him in connection therewith.</w:t>
      </w:r>
    </w:p>
    <w:p>
      <w:pPr>
        <w:spacing w:after="0" w:line="210"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Any indemnification under the preceding paragraphs (unless ordered by a court) shall be made by the Company only as authorized by contract approved, or by by-laws, resolution or other action adopted or taken, by the Board of Directors or by the shareholders.</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Expenses incurred in defending a civil or criminal action, suit or proceeding will be paid by the Company in advance of the final disposition of such action, suit or proceeding upon receipt of an undertaking by or on behalf of the director, officer, employee or agent to repay such amount if it shall ultimately be determined that he is not entitled to be indemnified by the Company as authorized by Article V of the By-Laws or Article IX, Section 7 of the Deed of Incorporation.</w:t>
      </w:r>
    </w:p>
    <w:p>
      <w:pPr>
        <w:spacing w:after="0" w:line="211"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indemnification and advancement of expenses provided by or granted pursuant to the other subsections of Article V of the By-Laws and Article IX, Section 7 of the Deed of Incorporation shall not be deemed exclusive of any other rights to which those seeking indemnification or advancement of expenses may be entitled under any law,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15"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him and incurred by him in any such capacity, or arising out of his status as such, whether or not the Company would have the power to indemnify him against such liability under the provisions of Article V of the By-Laws or Article IX, Section 7 of the Deed of Incorporation.</w:t>
      </w:r>
    </w:p>
    <w:p>
      <w:pPr>
        <w:spacing w:after="0" w:line="214"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For purposes of Article V of the By-Laws and Article IX, Section 7 of the Deed of Incorporation,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as a director, officer, employee or agent of another corporation, partnership, joint venture, trusts or other enterprise, shall stand in the same position under the provisions of Article V of the By-Laws and Article IX, Section 7 of the Deed of Incorporation with respect to the resulting or surviving</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35" w:lineRule="auto"/>
        <w:rPr>
          <w:sz w:val="20"/>
          <w:szCs w:val="20"/>
          <w:color w:val="auto"/>
        </w:rPr>
      </w:pPr>
      <w:r>
        <w:rPr>
          <w:rFonts w:ascii="Courier New" w:cs="Courier New" w:eastAsia="Courier New" w:hAnsi="Courier New"/>
          <w:sz w:val="18"/>
          <w:szCs w:val="18"/>
          <w:color w:val="auto"/>
        </w:rPr>
        <w:t>corporation as he would have with respect to such constituent corporation if its separate existence had continued.</w:t>
      </w:r>
    </w:p>
    <w:p>
      <w:pPr>
        <w:spacing w:after="0" w:line="208"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In addition, the Company maintains directors' and officers' liability insurance which insures against liabilities that the officers and directors of the Company may incur in such capacities.</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580" w:right="1879" w:hanging="631"/>
        <w:spacing w:after="0" w:line="236" w:lineRule="auto"/>
        <w:tabs>
          <w:tab w:leader="none" w:pos="1560" w:val="left"/>
        </w:tabs>
        <w:rPr>
          <w:sz w:val="20"/>
          <w:szCs w:val="20"/>
          <w:color w:val="auto"/>
        </w:rPr>
      </w:pPr>
      <w:r>
        <w:rPr>
          <w:rFonts w:ascii="Courier New" w:cs="Courier New" w:eastAsia="Courier New" w:hAnsi="Courier New"/>
          <w:sz w:val="18"/>
          <w:szCs w:val="18"/>
          <w:color w:val="auto"/>
        </w:rPr>
        <w:t>4.1</w:t>
        <w:tab/>
        <w:t>Deed of Incorporation (incorporated by reference to Exhibit 3(i) to Schlumberger's Quarterly Report on Form 10-Q for the period ended March 31, 1997).</w:t>
      </w:r>
    </w:p>
    <w:p>
      <w:pPr>
        <w:spacing w:after="0" w:line="209" w:lineRule="exact"/>
        <w:rPr>
          <w:sz w:val="20"/>
          <w:szCs w:val="20"/>
          <w:color w:val="auto"/>
        </w:rPr>
      </w:pPr>
    </w:p>
    <w:p>
      <w:pPr>
        <w:ind w:left="1580" w:right="2099" w:hanging="631"/>
        <w:spacing w:after="0" w:line="236" w:lineRule="auto"/>
        <w:tabs>
          <w:tab w:leader="none" w:pos="1560" w:val="left"/>
        </w:tabs>
        <w:rPr>
          <w:sz w:val="20"/>
          <w:szCs w:val="20"/>
          <w:color w:val="auto"/>
        </w:rPr>
      </w:pPr>
      <w:r>
        <w:rPr>
          <w:rFonts w:ascii="Courier New" w:cs="Courier New" w:eastAsia="Courier New" w:hAnsi="Courier New"/>
          <w:sz w:val="18"/>
          <w:szCs w:val="18"/>
          <w:color w:val="auto"/>
        </w:rPr>
        <w:t>4.2</w:t>
        <w:tab/>
        <w:t>Amended and Restated By-Laws (incorporated by reference to Exhibit 3 to Schlumberger's Annual Report on Form 10-K for the year ended December 31, 1993).</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23.1* Consent of Price Waterhouse LLP.</w:t>
      </w:r>
    </w:p>
    <w:p>
      <w:pPr>
        <w:spacing w:after="0" w:line="207" w:lineRule="exact"/>
        <w:rPr>
          <w:sz w:val="20"/>
          <w:szCs w:val="20"/>
          <w:color w:val="auto"/>
        </w:rPr>
      </w:pPr>
    </w:p>
    <w:p>
      <w:pPr>
        <w:ind w:left="1580" w:right="1779" w:hanging="631"/>
        <w:spacing w:after="0" w:line="237" w:lineRule="auto"/>
        <w:rPr>
          <w:sz w:val="20"/>
          <w:szCs w:val="20"/>
          <w:color w:val="auto"/>
        </w:rPr>
      </w:pPr>
      <w:r>
        <w:rPr>
          <w:rFonts w:ascii="Courier New" w:cs="Courier New" w:eastAsia="Courier New" w:hAnsi="Courier New"/>
          <w:sz w:val="18"/>
          <w:szCs w:val="18"/>
          <w:color w:val="auto"/>
        </w:rPr>
        <w:t>24.1* Powers of Attorney) for Don E. Ackerman, D. Euan Baird, John Deutch, Denys Henderson, Andre Levy-Lang, William T. McCormick, Jr., Dider Primat, Nicolas Seydoux, Linda G. Stuntz, Sven Ullring and Yoshihito Wakumoto.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 Filed herewith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540" w:right="1999" w:hanging="5"/>
        <w:spacing w:after="0" w:line="235" w:lineRule="auto"/>
        <w:tabs>
          <w:tab w:leader="none" w:pos="96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160" w:right="2199" w:firstLine="7"/>
        <w:spacing w:after="0" w:line="235" w:lineRule="auto"/>
        <w:tabs>
          <w:tab w:leader="none" w:pos="1581"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160" w:right="1879" w:firstLine="7"/>
        <w:spacing w:after="0" w:line="237" w:lineRule="auto"/>
        <w:tabs>
          <w:tab w:leader="none" w:pos="1687"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left="1160" w:right="1779" w:firstLine="7"/>
        <w:spacing w:after="0" w:line="237" w:lineRule="auto"/>
        <w:tabs>
          <w:tab w:leader="none" w:pos="1792"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9" w:lineRule="exact"/>
        <w:rPr>
          <w:sz w:val="20"/>
          <w:szCs w:val="20"/>
          <w:color w:val="auto"/>
        </w:rPr>
      </w:pPr>
    </w:p>
    <w:p>
      <w:pPr>
        <w:ind w:left="540" w:right="1999" w:hanging="5"/>
        <w:spacing w:after="0" w:line="237" w:lineRule="auto"/>
        <w:tabs>
          <w:tab w:leader="none" w:pos="96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999" w:hanging="5"/>
        <w:spacing w:after="0" w:line="236" w:lineRule="auto"/>
        <w:tabs>
          <w:tab w:leader="none" w:pos="96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879" w:firstLine="8"/>
        <w:spacing w:after="0" w:line="271"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17" w:right="1440" w:bottom="1440" w:gutter="0" w:footer="0" w:header="0"/>
        </w:sectPr>
      </w:pPr>
    </w:p>
    <w:bookmarkStart w:id="8" w:name="page9"/>
    <w:bookmarkEnd w:id="8"/>
    <w:p>
      <w:pPr>
        <w:ind w:left="-8" w:right="1779" w:firstLine="8"/>
        <w:spacing w:after="0" w:line="270" w:lineRule="auto"/>
        <w:tabs>
          <w:tab w:leader="none" w:pos="41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1"/>
          </w:cols>
          <w:pgMar w:left="248" w:top="723" w:right="1440" w:bottom="1440" w:gutter="0" w:footer="0" w:header="0"/>
        </w:sectPr>
      </w:pPr>
    </w:p>
    <w:bookmarkStart w:id="9" w:name="page10"/>
    <w:bookmarkEnd w:id="9"/>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14th day of November, 1997.</w:t>
      </w: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/s/Arthur Lindenauer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Arthur Lindenauer</w:t>
      </w:r>
    </w:p>
    <w:p>
      <w:pPr>
        <w:ind w:left="4220"/>
        <w:spacing w:after="0" w:line="237" w:lineRule="auto"/>
        <w:rPr>
          <w:sz w:val="20"/>
          <w:szCs w:val="20"/>
          <w:color w:val="auto"/>
        </w:rPr>
      </w:pPr>
      <w:r>
        <w:rPr>
          <w:rFonts w:ascii="Courier New" w:cs="Courier New" w:eastAsia="Courier New" w:hAnsi="Courier New"/>
          <w:sz w:val="18"/>
          <w:szCs w:val="18"/>
          <w:color w:val="auto"/>
        </w:rPr>
        <w:t>Executive Vice President -</w:t>
      </w:r>
    </w:p>
    <w:p>
      <w:pPr>
        <w:ind w:left="4220"/>
        <w:spacing w:after="0" w:line="238" w:lineRule="auto"/>
        <w:rPr>
          <w:sz w:val="20"/>
          <w:szCs w:val="20"/>
          <w:color w:val="auto"/>
        </w:rPr>
      </w:pPr>
      <w:r>
        <w:rPr>
          <w:rFonts w:ascii="Courier New" w:cs="Courier New" w:eastAsia="Courier New" w:hAnsi="Courier New"/>
          <w:sz w:val="18"/>
          <w:szCs w:val="18"/>
          <w:color w:val="auto"/>
        </w:rPr>
        <w:t>Finance; Chief Financial Officer</w:t>
      </w:r>
    </w:p>
    <w:p>
      <w:pPr>
        <w:ind w:left="4220"/>
        <w:spacing w:after="0"/>
        <w:rPr>
          <w:sz w:val="20"/>
          <w:szCs w:val="20"/>
          <w:color w:val="auto"/>
        </w:rPr>
      </w:pPr>
      <w:r>
        <w:rPr>
          <w:rFonts w:ascii="Courier New" w:cs="Courier New" w:eastAsia="Courier New" w:hAnsi="Courier New"/>
          <w:sz w:val="18"/>
          <w:szCs w:val="18"/>
          <w:color w:val="auto"/>
        </w:rPr>
        <w:t>and Chief Accounting Officer</w:t>
      </w:r>
    </w:p>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on behalf of the Registrant and in the capacities and on the date indicated.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80" w:space="720"/>
            <w:col w:w="4519"/>
          </w:cols>
          <w:pgMar w:left="240" w:top="717" w:right="1440" w:bottom="1440"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Director, Chairman, President and Chief Executive Officer</w:t>
      </w:r>
    </w:p>
    <w:p>
      <w:pPr>
        <w:spacing w:after="0" w:line="200"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Arthur Lindenauer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Lindenauer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Executive Vice President - Finance; Chief Financial Officer and Chief Accounting Officer</w:t>
      </w:r>
    </w:p>
    <w:p>
      <w:pPr>
        <w:spacing w:after="0" w:line="200"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17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John Deutch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5"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 Levy-Lang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19"/>
          </w:cols>
          <w:pgMar w:left="240" w:top="717" w:right="1440" w:bottom="1440" w:gutter="0" w:footer="0" w:header="0"/>
          <w:type w:val="continuous"/>
        </w:sectPr>
      </w:pPr>
    </w:p>
    <w:bookmarkStart w:id="10" w:name="page11"/>
    <w:bookmarkEnd w:id="10"/>
    <w:p>
      <w:pPr>
        <w:ind w:left="180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80" w:space="720"/>
            <w:col w:w="4519"/>
          </w:cols>
          <w:pgMar w:left="240" w:top="723" w:right="1440" w:bottom="1440" w:gutter="0" w:footer="0" w:header="0"/>
        </w:sectPr>
      </w:pPr>
    </w:p>
    <w:p>
      <w:pPr>
        <w:spacing w:after="0" w:line="22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23" w:right="1440" w:bottom="1440" w:gutter="0" w:footer="0" w:header="0"/>
          <w:type w:val="continuous"/>
        </w:sect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23" w:right="1440" w:bottom="1440" w:gutter="0" w:footer="0" w:header="0"/>
          <w:type w:val="continuous"/>
        </w:sect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23" w:right="1440" w:bottom="1440" w:gutter="0" w:footer="0" w:header="0"/>
          <w:type w:val="continuous"/>
        </w:sect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23" w:right="1440" w:bottom="1440" w:gutter="0" w:footer="0" w:header="0"/>
          <w:type w:val="continuous"/>
        </w:sect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23" w:right="1440" w:bottom="1440" w:gutter="0" w:footer="0" w:header="0"/>
          <w:type w:val="continuous"/>
        </w:sect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Yoshihito Wakumoto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120" w:space="420"/>
            <w:col w:w="5679"/>
          </w:cols>
          <w:pgMar w:left="240" w:top="72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/s/James L. Gunderson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 By</w:t>
      </w:r>
      <w:r>
        <w:rPr>
          <w:sz w:val="20"/>
          <w:szCs w:val="20"/>
          <w:color w:val="auto"/>
        </w:rPr>
        <w:tab/>
      </w:r>
      <w:r>
        <w:rPr>
          <w:rFonts w:ascii="Courier New" w:cs="Courier New" w:eastAsia="Courier New" w:hAnsi="Courier New"/>
          <w:sz w:val="16"/>
          <w:szCs w:val="16"/>
          <w:color w:val="auto"/>
        </w:rPr>
        <w:t>James L. Gunderson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1997</w:t>
      </w:r>
    </w:p>
    <w:p>
      <w:pPr>
        <w:spacing w:after="0" w:line="419" w:lineRule="exact"/>
        <w:rPr>
          <w:sz w:val="20"/>
          <w:szCs w:val="20"/>
          <w:color w:val="auto"/>
        </w:rPr>
      </w:pPr>
    </w:p>
    <w:p>
      <w:pPr>
        <w:sectPr>
          <w:pgSz w:w="11900" w:h="16838" w:orient="portrait"/>
          <w:cols w:equalWidth="0" w:num="2">
            <w:col w:w="4120" w:space="420"/>
            <w:col w:w="5679"/>
          </w:cols>
          <w:pgMar w:left="240" w:top="723" w:right="1440"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723"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320" w:type="dxa"/>
            <w:vAlign w:val="bottom"/>
          </w:tcPr>
          <w:p>
            <w:pPr>
              <w:ind w:left="2420"/>
              <w:spacing w:after="0"/>
              <w:rPr>
                <w:sz w:val="20"/>
                <w:szCs w:val="20"/>
                <w:color w:val="auto"/>
              </w:rPr>
            </w:pPr>
            <w:r>
              <w:rPr>
                <w:rFonts w:ascii="Courier New" w:cs="Courier New" w:eastAsia="Courier New" w:hAnsi="Courier New"/>
                <w:sz w:val="18"/>
                <w:szCs w:val="18"/>
                <w:color w:val="auto"/>
              </w:rPr>
              <w:t>INDEX TO EXHIBITS</w:t>
            </w:r>
          </w:p>
        </w:tc>
        <w:tc>
          <w:tcPr>
            <w:tcW w:w="1160" w:type="dxa"/>
            <w:vAlign w:val="bottom"/>
          </w:tcPr>
          <w:p>
            <w:pPr>
              <w:spacing w:after="0"/>
              <w:rPr>
                <w:sz w:val="17"/>
                <w:szCs w:val="17"/>
                <w:color w:val="auto"/>
              </w:rPr>
            </w:pPr>
          </w:p>
        </w:tc>
      </w:tr>
      <w:tr>
        <w:trPr>
          <w:trHeight w:val="810"/>
        </w:trPr>
        <w:tc>
          <w:tcPr>
            <w:tcW w:w="8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DESCRIPTION OF DOCUMENT</w:t>
            </w:r>
          </w:p>
        </w:tc>
        <w:tc>
          <w:tcPr>
            <w:tcW w:w="11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PAGE NO.</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Deed of Incorporation as last amended on April 29, 1997</w:t>
            </w:r>
          </w:p>
        </w:tc>
        <w:tc>
          <w:tcPr>
            <w:tcW w:w="1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by reference to Exhibit 3(i) to</w:t>
            </w:r>
          </w:p>
        </w:tc>
        <w:tc>
          <w:tcPr>
            <w:tcW w:w="1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Schlumberger's quarterly report on Form 10-Q for the</w:t>
            </w:r>
          </w:p>
        </w:tc>
        <w:tc>
          <w:tcPr>
            <w:tcW w:w="1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period ended March 31, 1997)..............................</w:t>
            </w:r>
          </w:p>
        </w:tc>
        <w:tc>
          <w:tcPr>
            <w:tcW w:w="1160" w:type="dxa"/>
            <w:vAlign w:val="bottom"/>
          </w:tcPr>
          <w:p>
            <w:pPr>
              <w:spacing w:after="0"/>
              <w:rPr>
                <w:sz w:val="17"/>
                <w:szCs w:val="17"/>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By-Laws (incorporated by reference</w:t>
            </w:r>
          </w:p>
        </w:tc>
        <w:tc>
          <w:tcPr>
            <w:tcW w:w="1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Exhibit 3 to Schlumberger's Annual Report on Form 10-K</w:t>
            </w:r>
          </w:p>
        </w:tc>
        <w:tc>
          <w:tcPr>
            <w:tcW w:w="1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the year ended December 31, 1993)....................</w:t>
            </w:r>
          </w:p>
        </w:tc>
        <w:tc>
          <w:tcPr>
            <w:tcW w:w="1160" w:type="dxa"/>
            <w:vAlign w:val="bottom"/>
          </w:tcPr>
          <w:p>
            <w:pPr>
              <w:spacing w:after="0"/>
              <w:rPr>
                <w:sz w:val="17"/>
                <w:szCs w:val="17"/>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Consent of Price Waterhouse LLP..........................</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Powers of Attorney for Don E. Ackerman, D. Euan Baird,</w:t>
            </w:r>
          </w:p>
        </w:tc>
        <w:tc>
          <w:tcPr>
            <w:tcW w:w="1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Deutch, Denys Henderson, Andre Levy-Lang,</w:t>
            </w:r>
          </w:p>
        </w:tc>
        <w:tc>
          <w:tcPr>
            <w:tcW w:w="1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William T. McCormick, Jr., Dider Primat, Nicolas Seydoux,</w:t>
            </w:r>
          </w:p>
        </w:tc>
        <w:tc>
          <w:tcPr>
            <w:tcW w:w="1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Linda G. Stuntz, Sven Ullring and Yoshihito Wakumoto.....</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 Filed herewith</w:t>
      </w:r>
    </w:p>
    <w:p>
      <w:pPr>
        <w:sectPr>
          <w:pgSz w:w="11900" w:h="16838" w:orient="portrait"/>
          <w:cols w:equalWidth="0" w:num="1">
            <w:col w:w="10219"/>
          </w:cols>
          <w:pgMar w:left="240" w:top="717"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23, 1997, appearing on page 45 of the Schlumberger Limited Annual Report on Form 10-K for the year ended December 31, 1996. We also consent to the reference to us under the heading "Experts" in such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 Waterhouse LLP</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Price Waterhouse LLP New York, New York November 14, 1997</w:t>
      </w:r>
    </w:p>
    <w:p>
      <w:pPr>
        <w:sectPr>
          <w:pgSz w:w="11900" w:h="16838" w:orient="portrait"/>
          <w:cols w:equalWidth="0" w:num="1">
            <w:col w:w="10219"/>
          </w:cols>
          <w:pgMar w:left="240" w:top="541"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Director or Officer, or both, of Schlumberger Limited, a Netherlands Antilles corporation (the "Corporation"), hereby constitutes and appoints David S. Browning, James L. Gunderson and Arthur Lindenauer, severally, the true and lawful Attorney-in-Fact and Agent of the undersigned, with full power of substitution and revocation, to execute and file from time to time on behalf of the undersigned:</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 a Registration Statement on Form S-3 (or such other Form as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may be required) to be filed with the Securities and Exchange Commission ("SEC") covering the shares of Common Stock of the Corporation to be issued to shareholders of Interactive Video Systems, Inc., a Massachusetts corporation ("IVS"), upon consummation of the proposed merger (the "Merger") of IVS with and into Schlumberger Technology Corporation, a wholly-owned subsidiary of the Corporation ("STC"), as contemplated by the Agreement and Plan of Merger dated as of October 3, 1997 among IVS, STC and certain shareholders of IVS;</w:t>
      </w:r>
    </w:p>
    <w:p>
      <w:pPr>
        <w:spacing w:after="0" w:line="211" w:lineRule="exact"/>
        <w:rPr>
          <w:sz w:val="20"/>
          <w:szCs w:val="20"/>
          <w:color w:val="auto"/>
        </w:rPr>
      </w:pPr>
    </w:p>
    <w:p>
      <w:pPr>
        <w:ind w:right="1879" w:firstLine="851"/>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S-8 (or such other Form as may be required) to be filed with the SEC covering the shares of Common Stock of the Corporation deliverable upon exercise of the IVS stock options to be assumed by the Corporation upon consummation of the Merger; and</w:t>
      </w:r>
    </w:p>
    <w:p>
      <w:pPr>
        <w:spacing w:after="0" w:line="207" w:lineRule="exact"/>
        <w:rPr>
          <w:rFonts w:ascii="Courier New" w:cs="Courier New" w:eastAsia="Courier New" w:hAnsi="Courier New"/>
          <w:sz w:val="18"/>
          <w:szCs w:val="18"/>
          <w:color w:val="auto"/>
        </w:rPr>
      </w:pPr>
    </w:p>
    <w:p>
      <w:pPr>
        <w:ind w:right="1879" w:firstLine="851"/>
        <w:spacing w:after="0" w:line="273" w:lineRule="auto"/>
        <w:tabs>
          <w:tab w:leader="none" w:pos="147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amendments and post-effective amendments to such Registration Statements as may be required, and to take any and all such action for and in the name, place and stead of the undersigned as may be necessary or desirable in connection with any such Registration Statements or any amendments thereto, including the making of any representation as may be required.</w:t>
      </w:r>
    </w:p>
    <w:p>
      <w:pPr>
        <w:sectPr>
          <w:pgSz w:w="11900" w:h="16838" w:orient="portrait"/>
          <w:cols w:equalWidth="0" w:num="1">
            <w:col w:w="10219"/>
          </w:cols>
          <w:pgMar w:left="240" w:top="541"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 E. Baird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 Baird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 Primat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Primat</w:t>
      </w:r>
    </w:p>
    <w:p>
      <w:pPr>
        <w:spacing w:after="0" w:line="200" w:lineRule="exact"/>
        <w:rPr>
          <w:sz w:val="20"/>
          <w:szCs w:val="20"/>
          <w:color w:val="auto"/>
        </w:rPr>
      </w:pPr>
    </w:p>
    <w:p>
      <w:pPr>
        <w:sectPr>
          <w:pgSz w:w="11900" w:h="16838" w:orient="portrait"/>
          <w:cols w:equalWidth="0" w:num="2">
            <w:col w:w="3600" w:space="720"/>
            <w:col w:w="589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 E. Ackerman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 Ackerman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N. Seydoux</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 Seydoux</w:t>
      </w:r>
    </w:p>
    <w:p>
      <w:pPr>
        <w:spacing w:after="0" w:line="200" w:lineRule="exact"/>
        <w:rPr>
          <w:sz w:val="20"/>
          <w:szCs w:val="20"/>
          <w:color w:val="auto"/>
        </w:rPr>
      </w:pPr>
    </w:p>
    <w:p>
      <w:pPr>
        <w:sectPr>
          <w:pgSz w:w="11900" w:h="16838" w:orient="portrait"/>
          <w:cols w:equalWidth="0" w:num="2">
            <w:col w:w="3600" w:space="720"/>
            <w:col w:w="589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Deutch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Deutch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L. Stuntz</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Stuntz</w:t>
      </w:r>
    </w:p>
    <w:p>
      <w:pPr>
        <w:spacing w:after="0" w:line="200" w:lineRule="exact"/>
        <w:rPr>
          <w:sz w:val="20"/>
          <w:szCs w:val="20"/>
          <w:color w:val="auto"/>
        </w:rPr>
      </w:pPr>
    </w:p>
    <w:p>
      <w:pPr>
        <w:sectPr>
          <w:pgSz w:w="11900" w:h="16838" w:orient="portrait"/>
          <w:cols w:equalWidth="0" w:num="2">
            <w:col w:w="3600" w:space="720"/>
            <w:col w:w="589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D.Henderson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Henderson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S. Ullring</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Ullring</w:t>
      </w:r>
    </w:p>
    <w:p>
      <w:pPr>
        <w:spacing w:after="0" w:line="200" w:lineRule="exact"/>
        <w:rPr>
          <w:sz w:val="20"/>
          <w:szCs w:val="20"/>
          <w:color w:val="auto"/>
        </w:rPr>
      </w:pPr>
    </w:p>
    <w:p>
      <w:pPr>
        <w:sectPr>
          <w:pgSz w:w="11900" w:h="16838" w:orient="portrait"/>
          <w:cols w:equalWidth="0" w:num="2">
            <w:col w:w="3600" w:space="720"/>
            <w:col w:w="589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 Levy-Lang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Levy-Lang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Y. Wakumoto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 Wakumoto</w:t>
      </w:r>
    </w:p>
    <w:p>
      <w:pPr>
        <w:spacing w:after="0" w:line="200" w:lineRule="exact"/>
        <w:rPr>
          <w:sz w:val="20"/>
          <w:szCs w:val="20"/>
          <w:color w:val="auto"/>
        </w:rPr>
      </w:pPr>
    </w:p>
    <w:p>
      <w:pPr>
        <w:sectPr>
          <w:pgSz w:w="11900" w:h="16838" w:orient="portrait"/>
          <w:cols w:equalWidth="0" w:num="2">
            <w:col w:w="3600" w:space="720"/>
            <w:col w:w="589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 T. McCormick</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 T. McCormick</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22, 1997</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EB141F2"/>
    <w:multiLevelType w:val="hybridMultilevel"/>
    <w:lvl w:ilvl="0">
      <w:lvlJc w:val="left"/>
      <w:lvlText w:val="%1"/>
      <w:numFmt w:val="lowerLetter"/>
      <w:start w:val="1"/>
    </w:lvl>
    <w:lvl w:ilvl="1">
      <w:lvlJc w:val="left"/>
      <w:lvlText w:val="(%2)"/>
      <w:numFmt w:val="decimal"/>
      <w:start w:val="2"/>
    </w:lvl>
  </w:abstractNum>
  <w:abstractNum w:abstractNumId="4">
    <w:nsid w:val="41B71EFB"/>
    <w:multiLevelType w:val="hybridMultilevel"/>
    <w:lvl w:ilvl="0">
      <w:lvlJc w:val="left"/>
      <w:lvlText w:val="(%1)"/>
      <w:numFmt w:val="lowerLetter"/>
      <w:start w:val="2"/>
    </w:lvl>
    <w:lvl w:ilvl="1">
      <w:lvlJc w:val="left"/>
      <w:lvlText w:val="%2"/>
      <w:numFmt w:val="decimal"/>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2019-12-13T06:51:08Z</dcterms:created>
  <dcterms:modified xsi:type="dcterms:W3CDTF">2019-12-13T06:51:08Z</dcterms:modified>
</cp:coreProperties>
</file>