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2019 Annual General Meeting of Stockholders (the “Annual Meeting”) of Schlumberger Limited (Schlumberger N.V.), a Curaçao corporation (“Schlumberger”), was held on April 3, 2019. At the Annual Meeting, the stockholders of Schlumberger:</w:t>
      </w:r>
    </w:p>
    <w:p>
      <w:pPr>
        <w:spacing w:after="0" w:line="76"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10 director nominees;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ind w:left="860" w:right="18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2018, its consolidated statement of income for the year ended December 31, 2018, and the declarations of dividends by Schlumberger’s Board of Directors in 2018 as reflected in its 2018 Annual Report to Stockholders;</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Schlumberger for 2019;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amended and restated 2004 Stock and Deferral Plan for Non-Employee Directors.</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21, 2019 (the “Definitive Proxy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results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vMerge w:val="restart"/>
          </w:tcPr>
          <w:p>
            <w:pPr>
              <w:spacing w:after="0"/>
              <w:rPr>
                <w:sz w:val="20"/>
                <w:szCs w:val="20"/>
                <w:color w:val="auto"/>
              </w:rPr>
            </w:pPr>
            <w:r>
              <w:rPr>
                <w:rFonts w:ascii="Arial" w:cs="Arial" w:eastAsia="Arial" w:hAnsi="Arial"/>
                <w:sz w:val="18"/>
                <w:szCs w:val="18"/>
                <w:color w:val="auto"/>
              </w:rPr>
              <w:t>Peter L.S. Currie</w:t>
            </w:r>
          </w:p>
        </w:tc>
        <w:tc>
          <w:tcPr>
            <w:tcW w:w="222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2200" w:type="dxa"/>
            <w:vAlign w:val="bottom"/>
            <w:gridSpan w:val="2"/>
          </w:tcPr>
          <w:p>
            <w:pPr>
              <w:ind w:left="740"/>
              <w:spacing w:after="0"/>
              <w:rPr>
                <w:sz w:val="20"/>
                <w:szCs w:val="20"/>
                <w:color w:val="auto"/>
              </w:rPr>
            </w:pPr>
            <w:r>
              <w:rPr>
                <w:rFonts w:ascii="Arial" w:cs="Arial" w:eastAsia="Arial" w:hAnsi="Arial"/>
                <w:sz w:val="14"/>
                <w:szCs w:val="14"/>
                <w:b w:val="1"/>
                <w:bCs w:val="1"/>
                <w:color w:val="auto"/>
              </w:rPr>
              <w:t>Against</w:t>
            </w:r>
          </w:p>
        </w:tc>
        <w:tc>
          <w:tcPr>
            <w:tcW w:w="2180" w:type="dxa"/>
            <w:vAlign w:val="bottom"/>
            <w:gridSpan w:val="2"/>
          </w:tcPr>
          <w:p>
            <w:pPr>
              <w:ind w:left="740"/>
              <w:spacing w:after="0"/>
              <w:rPr>
                <w:sz w:val="20"/>
                <w:szCs w:val="20"/>
                <w:color w:val="auto"/>
              </w:rPr>
            </w:pPr>
            <w:r>
              <w:rPr>
                <w:rFonts w:ascii="Arial" w:cs="Arial" w:eastAsia="Arial" w:hAnsi="Arial"/>
                <w:sz w:val="14"/>
                <w:szCs w:val="14"/>
                <w:b w:val="1"/>
                <w:bCs w:val="1"/>
                <w:color w:val="auto"/>
              </w:rPr>
              <w:t>Abstain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c>
          <w:tcPr>
            <w:tcW w:w="0" w:type="dxa"/>
            <w:vAlign w:val="bottom"/>
          </w:tcPr>
          <w:p>
            <w:pPr>
              <w:spacing w:after="0"/>
              <w:rPr>
                <w:sz w:val="1"/>
                <w:szCs w:val="1"/>
                <w:color w:val="auto"/>
              </w:rPr>
            </w:pPr>
          </w:p>
        </w:tc>
      </w:tr>
      <w:tr>
        <w:trPr>
          <w:trHeight w:val="195"/>
        </w:trPr>
        <w:tc>
          <w:tcPr>
            <w:tcW w:w="2560" w:type="dxa"/>
            <w:vAlign w:val="bottom"/>
            <w:vMerge w:val="continue"/>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1,003,382,418</w:t>
            </w:r>
          </w:p>
        </w:tc>
        <w:tc>
          <w:tcPr>
            <w:tcW w:w="24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16,771,838</w:t>
            </w: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9,660,081</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Miguel M. Galuccio</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1,014,136,779</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14,831,771</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845,787</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Paal Kibsgaard</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996,850,571</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31,572,454</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1,391,312</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Nikolay Kudryavtsev</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1,019,007,271</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9,860,522</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946,544</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Tatiana A. Mitrova</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1,026,191,589</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2,718,203</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904,545</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Indra K. Nooyi</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1,011,608,002</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17,393,827</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812,508</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Lubna S. Olayan</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1,023,305,476</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5,425,773</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1,083,088</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Mark G. Papa</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1,015,042,758</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13,863,176</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908,403</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Leo Rafael Reif</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1,008,614,749</w:t>
            </w:r>
          </w:p>
        </w:tc>
        <w:tc>
          <w:tcPr>
            <w:tcW w:w="2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20,355,788</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843,800</w:t>
            </w: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Henri Seydoux</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1,010,059,629</w:t>
            </w:r>
          </w:p>
        </w:tc>
        <w:tc>
          <w:tcPr>
            <w:tcW w:w="24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18,869,814</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884,894</w:t>
            </w:r>
          </w:p>
        </w:tc>
        <w:tc>
          <w:tcPr>
            <w:tcW w:w="2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130,628,628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117" w:lineRule="exact"/>
        <w:rPr>
          <w:sz w:val="20"/>
          <w:szCs w:val="20"/>
          <w:color w:val="auto"/>
        </w:rPr>
      </w:pPr>
    </w:p>
    <w:p>
      <w:pPr>
        <w:jc w:val="both"/>
        <w:ind w:right="220" w:firstLine="441"/>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95.8% of the votes cast at the Annual Meeting voting in favor of the advisory resolution.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62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983,322,516</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43,278,364</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3,213,457</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130,628,628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17"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2018, its consolidated statement of income for the year ended December 31, 2018, and the declarations of dividends by Schlumberger’s Board of Directors in 2018 as reflected in its 2018 Annual Report to Stockholders, as described in the Definitive Proxy Statement, was approved with approximately 99.8% of the votes cast at the Annual Meeting voting for the proposal.</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Abstain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96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1,154,661,404</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2,286,111</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3,495,450</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040"/>
          </w:cols>
          <w:pgMar w:left="440" w:top="270"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4—Independent Registered Public Accounting Firm</w:t>
      </w:r>
    </w:p>
    <w:p>
      <w:pPr>
        <w:spacing w:after="0" w:line="11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The proposal to ratify the appointment of PricewaterhouseCoopers LLP as the independent auditors of Schlumberger for 2019, as described in the Definitive Proxy Statement, was approved with approximately 97.3% of the votes cast at the Annual Meeting voting for the proposal.</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Abstain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96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1,128,194,550</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30,986,505</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1,261,910</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5—2004 Stock and Deferral Plan for Non-Employee Directors</w:t>
      </w:r>
    </w:p>
    <w:p>
      <w:pPr>
        <w:spacing w:after="0" w:line="117"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The proposal to approve the amended and restated 2004 Stock and Deferral Plan for Non-Employee Directors, as described in the Definitive Proxy Statement, was approved with approximately 97.0% of the votes cast at the Annual Meeting voting for the proposal.</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Abstain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9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rPr>
              <w:t>998,967,870</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28,694,132</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2,152,335</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rPr>
              <w:t>130,628,628</w:t>
            </w:r>
          </w:p>
        </w:tc>
      </w:tr>
    </w:tbl>
    <w:p>
      <w:pPr>
        <w:spacing w:after="0" w:line="33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56"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440"/>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Amended and Restated 2004 Stock and Deferral Plan for Non-Employee Directors, as amended and restated effective January 17,</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2019.</w:t>
        </w:r>
      </w:hyperlink>
    </w:p>
    <w:p>
      <w:pPr>
        <w:sectPr>
          <w:pgSz w:w="11900" w:h="16838" w:orient="portrait"/>
          <w:cols w:equalWidth="0" w:num="1">
            <w:col w:w="11040"/>
          </w:cols>
          <w:pgMar w:left="440" w:top="274" w:right="41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2019</w:t>
      </w:r>
    </w:p>
    <w:p>
      <w:pPr>
        <w:sectPr>
          <w:pgSz w:w="11900" w:h="16838" w:orient="portrait"/>
          <w:cols w:equalWidth="0" w:num="1">
            <w:col w:w="10780"/>
          </w:cols>
          <w:pgMar w:left="440" w:top="270"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NON-EMPLOYEE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17, 2019)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03"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Schlumberger Limited, a Curaçao corporation (the “Company”), established this 2004 Stock and Deferral Plan for Non-Employee Directors (as amended to date, the “Plan”) for the purpose of providing non-employee directors of the Company with regular grants of shares of the common stock of the Company (or units representing the right to receive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their April 2004 annual general meeting. Effective April 19, 2007, the Plan was amended and restated to allow a non-employee director to defer the payment of part or all of his or her Cash Compensation (as defined in Section 1.2). Effective January 19, 2012, the Plan was amended and restated to incorporate previous amendments to the Plan and to make certain other amendments, including increasing the number of shares available for grant under the Plan. The Plan is hereby amended and restated effective January 17, 2019.</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 or, if the last day of the calendar month is not a business day, then the next business day, or such other date as may be selected by the Committee from time to time.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225"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“Cash Compensation” means the total cash compensation that is paid to Eligible Directors for services rendered, including any annual retainer fees and any annual fees related to committee membership or services as a committee chair.</w:t>
      </w:r>
    </w:p>
    <w:p>
      <w:pPr>
        <w:spacing w:after="0" w:line="170"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“Committee” means such committee as is designated by the Board from time to time to administer the Plan in accordance with Article II, or if no such committee is designated, the Board.</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“Deferral Election” is defined in Section 4.1.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“Deferred Compensation Account” is defined in Section 4.3.</w:t>
      </w:r>
    </w:p>
    <w:p>
      <w:pPr>
        <w:spacing w:after="0" w:line="225"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225"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“Fair Market Value” means, as of any date, the value of the Common Stock as determined by computing the average of the high and low composite sales prices per share of Common Stock, as reported on the consolidated transaction reporting system for the New York Stock Exchange for that date, or, if there were no reported prices for that date, the average of the reported high and low prices on the last preceding date on which composite sales were effected on the New York Stock Exchange.</w:t>
      </w:r>
    </w:p>
    <w:p>
      <w:pPr>
        <w:spacing w:after="0" w:line="187"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“Money Market Equivalents” means a phantom investment benchmark that is used to measure the return credited to a Participant’s Deferred Compensation Account. To the extent Money Market Equivalents are elected, 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ectPr>
          <w:pgSz w:w="11900" w:h="16838" w:orient="portrait"/>
          <w:cols w:equalWidth="0" w:num="1">
            <w:col w:w="11020"/>
          </w:cols>
          <w:pgMar w:left="440" w:top="121" w:right="439" w:bottom="1440" w:gutter="0" w:footer="0" w:header="0"/>
        </w:sectPr>
      </w:pPr>
    </w:p>
    <w:bookmarkStart w:id="5" w:name="page6"/>
    <w:bookmarkEnd w:id="5"/>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 means an award of shares of Common Stock, restricted Common Stock or restricted Stock Units pursuant to Article III.</w:t>
      </w:r>
    </w:p>
    <w:p>
      <w:pPr>
        <w:spacing w:after="0" w:line="237" w:lineRule="exact"/>
        <w:rPr>
          <w:sz w:val="20"/>
          <w:szCs w:val="20"/>
          <w:color w:val="auto"/>
        </w:rPr>
      </w:pPr>
    </w:p>
    <w:p>
      <w:pPr>
        <w:ind w:right="500" w:firstLine="881"/>
        <w:spacing w:after="0" w:line="277" w:lineRule="auto"/>
        <w:rPr>
          <w:sz w:val="20"/>
          <w:szCs w:val="20"/>
          <w:color w:val="auto"/>
        </w:rPr>
      </w:pPr>
      <w:r>
        <w:rPr>
          <w:rFonts w:ascii="Arial" w:cs="Arial" w:eastAsia="Arial" w:hAnsi="Arial"/>
          <w:sz w:val="18"/>
          <w:szCs w:val="18"/>
          <w:color w:val="auto"/>
        </w:rPr>
        <w:t>“Stock Unit” means a unit that represents the right to receive one share of Common Stock under such terms and conditions as may be prescribed by the Committee and the Plan.</w:t>
      </w:r>
    </w:p>
    <w:p>
      <w:pPr>
        <w:spacing w:after="0" w:line="170"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“S&amp;P 500 Equivalents” means a phantom investment benchmark that is used to measure the return credited to a Participant’s Deferred Compensation Account. To the extent S&amp;P 500 Equivalents are elected, the earnings (or loss) equivalents will be credited (or debited) to a Participant’s Deferred Compensation Account as of the last day of each calendar month based upon the balance in the account as of the last day of the month and the returns realized by the Standard &amp; Poor’s 500 Index for the month.</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0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unless and until the Board designates another committee to administer the Plan.</w:t>
      </w:r>
    </w:p>
    <w:p>
      <w:pPr>
        <w:spacing w:after="0" w:line="170" w:lineRule="exact"/>
        <w:rPr>
          <w:sz w:val="20"/>
          <w:szCs w:val="20"/>
          <w:color w:val="auto"/>
        </w:rPr>
      </w:pPr>
    </w:p>
    <w:p>
      <w:pPr>
        <w:ind w:right="40" w:firstLine="881"/>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will have full and exclusive power and authority to administer the Plan and to take all actions which are specifically contemplated hereby or are, in its discretion, necessary or appropriate in connection with the administration of the Plan. The Committee will also have full and exclusive power to interpret this Plan and to adopt such rules, regulations, and guidelines for carrying out the Plan as it may deem necessary or proper. The Committee will also have the full and exclusive power to adopt rules, procedures, guidelines and sub-plans to the Plan relating to the operation and administration of the Plan to accommodate the specific requirements of local laws and procedures in non-US jurisdictions. The Committee may, in its discretion, determine the eligibility of individuals to participate herein, determine the amount of Stock Awards to be granted to a Participant and the number or amount of Stock Awards or Cash Compensation a Participant may elect to defer, or waive any restriction or other provision of the Plan. The Committee may, in its discretion, correct any defect or omission, or reconcile any inconsistency in the Plan in the manner and to the extent the Committee deems necessary or desirable to carry it into effect.</w:t>
      </w:r>
    </w:p>
    <w:p>
      <w:pPr>
        <w:spacing w:after="0" w:line="167"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the Plan will lie within its sole and absolute discretion and will be final, conclusive and binding on all parties concerned.</w:t>
      </w:r>
    </w:p>
    <w:p>
      <w:pPr>
        <w:spacing w:after="0" w:line="170"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Committee Member Liability</w:t>
      </w:r>
      <w:r>
        <w:rPr>
          <w:rFonts w:ascii="Arial" w:cs="Arial" w:eastAsia="Arial" w:hAnsi="Arial"/>
          <w:sz w:val="18"/>
          <w:szCs w:val="18"/>
          <w:color w:val="auto"/>
        </w:rPr>
        <w:t>. No member of the Committee or officer of the Company to whom the Committee has delegated authority in accordance with the provisions of Section 2.5 of the Plan will be liable for anything done or omitted to be done by him or her, by any member of the Committee or by an officer of the Company in connection with the performance of any duties under the Plan, except for his or her own willful misconduct or as expressly provided by statute.</w:t>
      </w:r>
    </w:p>
    <w:p>
      <w:pPr>
        <w:spacing w:after="0" w:line="187"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to the Chief Executive Officer and to other senior officers of the Company its duties under the Plan (other than its granting authority described in Article III) pursuant to such conditions or limitations as the Committee may establish.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03"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will be available for Stock Awards during the term of the Plan an aggregate of 650,000 shares of Common Stock. Shares of Common Stock will be made available from either (a) the Company’s authorized but unissued shares or (b) treasury shares that have been issued but reacquired by the Company.</w:t>
      </w:r>
    </w:p>
    <w:p>
      <w:pPr>
        <w:spacing w:after="0" w:line="181"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Grants</w:t>
      </w:r>
      <w:r>
        <w:rPr>
          <w:rFonts w:ascii="Arial" w:cs="Arial" w:eastAsia="Arial" w:hAnsi="Arial"/>
          <w:sz w:val="18"/>
          <w:szCs w:val="18"/>
          <w:color w:val="auto"/>
        </w:rPr>
        <w:t>. On each Annual Director Award Date all Eligible Directors as of such Annual Director Award Date will be granted a Stock Award as compensation for services to be performed thereafter through the next succeeding Annual Director Award Date; provided, however, that any Eligible Director appointed between Annual Director Award Dates may be granted an initial Stock Award at any time between such Eligible Director’s appointment to the Board and the next Annual Director Award Date. Stock Awards will be granted in the form of a number of shares of Common Stock, restricted Common Stock or restricted Stock Units, and may be granted at such times as the Committee will determine, with the form and amount of such Stock Awards to be determined by the Committee; provided, however, that each such annual Stock Award may not exceed $500,000 in Fair Market Value. Any Stock Award will be subject to such terms, conditions and restrictions (including vesting) as the Committee may determine in its discretion.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DEFERRAL ELECTION AND ACCOUNTS</w:t>
      </w:r>
    </w:p>
    <w:p>
      <w:pPr>
        <w:spacing w:after="0" w:line="103"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An Eligible Director, at the discretion of the Committee, may irrevocably elect to defer the receipt of all or part of a Stock Award or Cash Compensation, or both, by submitting a written deferral election in the manner specified by the Committee (a “Deferral Election”). The Deferral Election (i) will specify the number of shares of Common Stock the receipt of which the Participant elects to defer and the amount or percentage of Cash Compensation the Participant elects to defer, (ii) will designate the period of deferral among the choices provided in Section 5.1, and (iii) may not be revoked or modified.</w:t>
      </w:r>
    </w:p>
    <w:p>
      <w:pPr>
        <w:sectPr>
          <w:pgSz w:w="11900" w:h="16838" w:orient="portrait"/>
          <w:cols w:equalWidth="0" w:num="1">
            <w:col w:w="11000"/>
          </w:cols>
          <w:pgMar w:left="440" w:top="274" w:right="459" w:bottom="1440" w:gutter="0" w:footer="0" w:header="0"/>
        </w:sectPr>
      </w:pPr>
    </w:p>
    <w:bookmarkStart w:id="6" w:name="page7"/>
    <w:bookmarkEnd w:id="6"/>
    <w:p>
      <w:pPr>
        <w:ind w:right="40" w:firstLine="88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Timing of Elections</w:t>
      </w:r>
      <w:r>
        <w:rPr>
          <w:rFonts w:ascii="Arial" w:cs="Arial" w:eastAsia="Arial" w:hAnsi="Arial"/>
          <w:sz w:val="17"/>
          <w:szCs w:val="17"/>
          <w:color w:val="auto"/>
        </w:rPr>
        <w:t>. Except as set forth in the next sentence of this Section 4.2, Deferral Elections must be made (i) for Stock Awards, no later than December 30 of each calendar year preceding the applicable Annual Director Award Date and (ii) for Cash Compensation, no later than the last day of the calendar year immediately preceding the calendar year in which such payments would have otherwise been paid. Deferral Elections may be completed by newly appointed Eligible Directors no later than the date that is 30 days after the date such individual first becomes an Eligible Director; provided that such Deferral Election will apply solely to Stock Awards or Cash Compensation related to services to be performed subsequent to such Deferral Election. The Committee will be authorized to adopt such other rules and limitations as it determines are necessary or appropriate with respect to the timing of elections to defer Stock Awards or Cash Compensation under the Plan.</w:t>
      </w:r>
    </w:p>
    <w:p>
      <w:pPr>
        <w:spacing w:after="0" w:line="178"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Establishment of Accounts</w:t>
      </w:r>
      <w:r>
        <w:rPr>
          <w:rFonts w:ascii="Arial" w:cs="Arial" w:eastAsia="Arial" w:hAnsi="Arial"/>
          <w:sz w:val="18"/>
          <w:szCs w:val="18"/>
          <w:color w:val="auto"/>
        </w:rPr>
        <w:t>. The Company shall also cause to be established an unfunded bookkeeping account for each Participant which will from time to time reflect the name of each Participant and (i) the number of Stock Awards and, if applicable, dividend equivalents credited to such Participant pursuant to Section 4.4 and (ii) the Cash Compensation deferred pursuant to Section 4.1 plus earnings or losses credited thereon monthly (as to each Participant, the “Deferred Compensation Account”).</w:t>
      </w:r>
    </w:p>
    <w:p>
      <w:pPr>
        <w:spacing w:after="0" w:line="187" w:lineRule="exact"/>
        <w:rPr>
          <w:sz w:val="20"/>
          <w:szCs w:val="20"/>
          <w:color w:val="auto"/>
        </w:rPr>
      </w:pPr>
    </w:p>
    <w:p>
      <w:pPr>
        <w:ind w:right="80" w:firstLine="881"/>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will be credited to the Participant’s Deferred Compensation Account as of the date the shares would otherwise have been delivered pursuant to Article III and any restricted Stock Units awarded pursuant to Section 3.2 will also be credited to a Participant’s Deferred Compensation Account as of such date. No interest will be credited to a Participant’s Deferred Compensation Account with respect to any restricted Stock Units provided, however that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93" w:lineRule="auto"/>
        <w:tabs>
          <w:tab w:leader="none" w:pos="110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the Plan and any outstanding Stock Awards or Deferred Compensation Accounts hereunder will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56" w:lineRule="exact"/>
        <w:rPr>
          <w:rFonts w:ascii="Arial" w:cs="Arial" w:eastAsia="Arial" w:hAnsi="Arial"/>
          <w:sz w:val="16"/>
          <w:szCs w:val="16"/>
          <w:color w:val="auto"/>
        </w:rPr>
      </w:pPr>
    </w:p>
    <w:p>
      <w:pPr>
        <w:ind w:left="440" w:right="260" w:firstLine="428"/>
        <w:spacing w:after="0" w:line="288" w:lineRule="auto"/>
        <w:tabs>
          <w:tab w:leader="none" w:pos="111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w:t>
      </w:r>
    </w:p>
    <w:p>
      <w:pPr>
        <w:ind w:left="440" w:firstLine="4"/>
        <w:spacing w:after="0" w:line="281" w:lineRule="auto"/>
        <w:tabs>
          <w:tab w:leader="none" w:pos="7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Plan in Section 3.1 and (iv) the limitations designated in Section 3.2 of the Plan will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w:t>
      </w:r>
    </w:p>
    <w:p>
      <w:pPr>
        <w:spacing w:after="0" w:line="4" w:lineRule="exact"/>
        <w:rPr>
          <w:rFonts w:ascii="Arial" w:cs="Arial" w:eastAsia="Arial" w:hAnsi="Arial"/>
          <w:sz w:val="16"/>
          <w:szCs w:val="16"/>
          <w:color w:val="auto"/>
        </w:rPr>
      </w:pPr>
    </w:p>
    <w:p>
      <w:pPr>
        <w:ind w:left="440" w:right="160" w:firstLine="4"/>
        <w:spacing w:after="0" w:line="292" w:lineRule="auto"/>
        <w:tabs>
          <w:tab w:leader="none" w:pos="7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Plan in Section 3.1 and (iv) the limitations designated in Section 3.2 of the Plan to give effect to such transaction; provided that such adjustments will only be such as are necessary to preserve, without increasing, the value of such items. In the event of a corporate merger, consolidation, acquisition of property or stock, separation, reorganization or liquidation, the Board will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63" w:lineRule="exact"/>
        <w:rPr>
          <w:sz w:val="20"/>
          <w:szCs w:val="20"/>
          <w:color w:val="auto"/>
        </w:rPr>
      </w:pPr>
    </w:p>
    <w:p>
      <w:pPr>
        <w:ind w:right="140" w:firstLine="881"/>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Deferred Cash Compensation</w:t>
      </w:r>
      <w:r>
        <w:rPr>
          <w:rFonts w:ascii="Arial" w:cs="Arial" w:eastAsia="Arial" w:hAnsi="Arial"/>
          <w:sz w:val="16"/>
          <w:szCs w:val="16"/>
          <w:color w:val="auto"/>
        </w:rPr>
        <w:t>. Each Participant will be entitled to direct the manner in which his or her deferred Cash Compensation will be deemed to be invested for the period of deferral and in accordance with such rules and procedures as the Committee may establish from time to time. Notwithstanding anything to the contrary herein, earnings and losses based on a Participant’s investment elections will begin to accrue as of the date such Participant’s deferred Cash Compensation amounts are credited to his or her Deferred Compensation Account and will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will (1) have a purchase price equal to the Fair Market Value of each share of Common Stock on the date the investment is deemed to have occurred, and (2) be credited with dividend equivalents representing cash dividends payable with respect to the Common Stock, if 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DEFERRED SHARES OR CASH</w:t>
      </w:r>
    </w:p>
    <w:p>
      <w:pPr>
        <w:spacing w:after="0" w:line="103"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Period of Deferral</w:t>
      </w:r>
      <w:r>
        <w:rPr>
          <w:rFonts w:ascii="Arial" w:cs="Arial" w:eastAsia="Arial" w:hAnsi="Arial"/>
          <w:sz w:val="18"/>
          <w:szCs w:val="18"/>
          <w:color w:val="auto"/>
        </w:rPr>
        <w:t>. With respect to (a) Stock Awards or Cash Compensation deferred pursuant to Section 4.1, a Participant may elect that delivery of such deferred Stock Awards 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the “Determination Date”).</w:t>
      </w:r>
    </w:p>
    <w:p>
      <w:pPr>
        <w:sectPr>
          <w:pgSz w:w="11900" w:h="16838" w:orient="portrait"/>
          <w:cols w:equalWidth="0" w:num="1">
            <w:col w:w="11020"/>
          </w:cols>
          <w:pgMar w:left="440" w:top="274" w:right="439" w:bottom="1440" w:gutter="0" w:footer="0" w:header="0"/>
        </w:sectPr>
      </w:pPr>
    </w:p>
    <w:bookmarkStart w:id="7" w:name="page8"/>
    <w:bookmarkEnd w:id="7"/>
    <w:p>
      <w:pPr>
        <w:ind w:right="20" w:firstLine="88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7"/>
          <w:szCs w:val="17"/>
          <w:u w:val="single" w:color="auto"/>
          <w:color w:val="auto"/>
        </w:rPr>
        <w:t>Delivery of Deferred Stock Awards and Deferred Cash Compensation</w:t>
      </w:r>
      <w:r>
        <w:rPr>
          <w:rFonts w:ascii="Arial" w:cs="Arial" w:eastAsia="Arial" w:hAnsi="Arial"/>
          <w:sz w:val="17"/>
          <w:szCs w:val="17"/>
          <w:color w:val="auto"/>
        </w:rPr>
        <w:t>. The aggregate number of restricted Stock Units and, if applicable, dividend equivalents credited to a Participant’s Deferred Compensation Account will be calculated as of the Determination Date. A Participant will receive delivery of a number of shares of Common Stock equal to the aggregate number of restricted Stock Units and a cash payment equal to the amount of the aggregate dividend equivalents representing cash dividends payable with respect to the Company’s Common Stock, if any, over the period beginning on the Annual Director Award Date and ending on the Determination Date. As of the Determination Date, a Participant’s Cash Compensation deemed to be invested in Money Market Equivalents or S&amp;P 500 Equivalents, plus any amounts credited to a Participant’s Deferred Compensation Account pursuant to Section 4.6 herein, will be payable in the form of a cash lump sum. As of the Determination Date, a Participant’s Cash Compensation deemed to be invested in shares of the Company’s Common Stock will be payable in the form of shares of the Company’s Common Stock plus a cash payment equal to the amount of the aggregate dividend equivalents. Delivery of shares of Common Stock or cash, as applicable, will be made within 60 days after the Determination Date.</w:t>
      </w:r>
    </w:p>
    <w:p>
      <w:pPr>
        <w:spacing w:after="0" w:line="178" w:lineRule="exact"/>
        <w:rPr>
          <w:sz w:val="20"/>
          <w:szCs w:val="20"/>
          <w:color w:val="auto"/>
        </w:rPr>
      </w:pPr>
    </w:p>
    <w:p>
      <w:pPr>
        <w:ind w:right="320" w:firstLine="881"/>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of Common Stock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Delivery to Incompetent Participants</w:t>
      </w:r>
      <w:r>
        <w:rPr>
          <w:rFonts w:ascii="Arial" w:cs="Arial" w:eastAsia="Arial" w:hAnsi="Arial"/>
          <w:sz w:val="18"/>
          <w:szCs w:val="18"/>
          <w:color w:val="auto"/>
        </w:rPr>
        <w:t>. To the extent allowed under applicable law, should the Participant become incompetent, the Company will be authorized to deliver shares and funds credited to Participant’s Deferred Compensation Account and deliverable pursuant to the Plan to a guardian or legal representative of such incompetent Participant, or directly to such incompetent Participant, in whichever manner the Committee determines in its sole discretion.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will be deemed to create a trust of any kind or create any fiduciary relationship. The Plan will be unfunded. To the extent that a Participant acquires a right to receive delivery of shares from the Company under the Plan, such right will not be greater than the right of any unsecured general creditor of the Company and such right will be an unsecured claim against the general assets of the Company. Although bookkeeping accounts may be established with respect to Participants, any such accounts will be used merely as a bookkeeping convenience. The Company will not be required to segregate any assets that may at any time be represented by stock or rights thereto, nor will the Plan be construed as providing for such segregation, nor will the Company, the Board or the Committee be deemed to be a trustee of any stock or rights thereto to be granted under the Plan. Any liability or obligation of the Company to any Participant with respect to stock or rights thereto under the Plan will be based solely upon any contractual obligations that may be created by the Plan, and no such liability or obligation of the Company will be deemed to be secured by any pledge or other encumbrance on any property of the Company. Neither the Company, the Board nor the Committee will be required to give any security or bond for the performance of any obligation that may be created by or under the Plan.</w:t>
      </w:r>
    </w:p>
    <w:p>
      <w:pPr>
        <w:spacing w:after="0" w:line="16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will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81"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date designated by the Committee.</w:t>
      </w:r>
    </w:p>
    <w:p>
      <w:pPr>
        <w:spacing w:after="0" w:line="170" w:lineRule="exact"/>
        <w:rPr>
          <w:sz w:val="20"/>
          <w:szCs w:val="20"/>
          <w:color w:val="auto"/>
        </w:rPr>
      </w:pPr>
    </w:p>
    <w:p>
      <w:pPr>
        <w:jc w:val="both"/>
        <w:ind w:right="100" w:firstLine="881"/>
        <w:spacing w:after="0" w:line="30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Assignability</w:t>
      </w:r>
      <w:r>
        <w:rPr>
          <w:rFonts w:ascii="Arial" w:cs="Arial" w:eastAsia="Arial" w:hAnsi="Arial"/>
          <w:sz w:val="16"/>
          <w:szCs w:val="16"/>
          <w:color w:val="auto"/>
        </w:rPr>
        <w:t>. Except as provided in Section 5.3, no right to receive delivery of shares of Common Stock hereunder will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the Plan in violation of this Section 6.4 will be null and void.</w:t>
      </w:r>
    </w:p>
    <w:p>
      <w:pPr>
        <w:spacing w:after="0" w:line="154" w:lineRule="exact"/>
        <w:rPr>
          <w:sz w:val="20"/>
          <w:szCs w:val="20"/>
          <w:color w:val="auto"/>
        </w:rPr>
      </w:pPr>
    </w:p>
    <w:p>
      <w:pPr>
        <w:ind w:right="20" w:firstLine="881"/>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Restrictions</w:t>
      </w:r>
      <w:r>
        <w:rPr>
          <w:rFonts w:ascii="Arial" w:cs="Arial" w:eastAsia="Arial" w:hAnsi="Arial"/>
          <w:sz w:val="16"/>
          <w:szCs w:val="16"/>
          <w:color w:val="auto"/>
        </w:rPr>
        <w:t>. No Common Stock or other form of payment will be issued with respect to any Stock Award or Deferred Compensation Account unless the Company is satisfied, based on the advice of its counsel, that such issuance will be in compliance with applicable law, including, but not limited to, applicable federal and state securities laws. The Company will not be obligated to issue any shares of Common Stock or make any payments with respect to any such Stock Award or Deferred Compensation Account if the issuance of such shares of Common Stock or if any such payment made would constitute a violation by the recipient or the Company of any provision of any applicable law or regulation of any governmental authority or any securities exchange on which the Common Stock is listed. Certificates evidencing shares of Common Stock delivered under the Plan (to the extent that such shares are so evidenced) may be subject to such stop transfer orders and other restrictions as the Committee may deem advisable under the rules, regulations and other requirements of the U.S.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refer to such restrictions.</w:t>
      </w:r>
    </w:p>
    <w:p>
      <w:pPr>
        <w:sectPr>
          <w:pgSz w:w="11900" w:h="16838" w:orient="portrait"/>
          <w:cols w:equalWidth="0" w:num="1">
            <w:col w:w="11020"/>
          </w:cols>
          <w:pgMar w:left="440" w:top="274" w:right="439" w:bottom="1440" w:gutter="0" w:footer="0" w:header="0"/>
        </w:sectPr>
      </w:pPr>
    </w:p>
    <w:bookmarkStart w:id="8" w:name="page9"/>
    <w:bookmarkEnd w:id="8"/>
    <w:p>
      <w:pPr>
        <w:ind w:right="10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6.6 </w:t>
      </w:r>
      <w:r>
        <w:rPr>
          <w:rFonts w:ascii="Arial" w:cs="Arial" w:eastAsia="Arial" w:hAnsi="Arial"/>
          <w:sz w:val="17"/>
          <w:szCs w:val="17"/>
          <w:u w:val="single" w:color="auto"/>
          <w:color w:val="auto"/>
        </w:rPr>
        <w:t>Amendment, Modification, Suspension or Termination</w:t>
      </w:r>
      <w:r>
        <w:rPr>
          <w:rFonts w:ascii="Arial" w:cs="Arial" w:eastAsia="Arial" w:hAnsi="Arial"/>
          <w:sz w:val="17"/>
          <w:szCs w:val="17"/>
          <w:color w:val="auto"/>
        </w:rPr>
        <w:t>. The Committee may amend, modify, suspend or terminate the Plan for the purpose of meeting or addressing any changes in legal requirements or for any other purpose permitted by law, except that (i) no amendment, modification or termination will, without the consent of the Participant, impair the rights of any Participant to the number of restricted Stock Units credited to such Participant’s Deferred Compensation Account as of the date of such amendment, modification or termination and (ii) no amendment or modification will be effective prior to its approval by the stockholders of the Company to the extent such approval is required by applicable legal requirements or the requirements of the securities exchange on which the Company’s Common Stock is listed.</w:t>
      </w:r>
    </w:p>
    <w:p>
      <w:pPr>
        <w:spacing w:after="0" w:line="178"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hereto, to the extent not otherwise governed by mandatory provisions of the Code or the securities laws of the United States, will be governed by and construed in accordance with the laws of the State of Texas.</w:t>
      </w:r>
    </w:p>
    <w:p>
      <w:pPr>
        <w:spacing w:after="0" w:line="18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Stock Awards and Deferred Compensation Accounts hereunder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1"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the Plan. Participants shall pay or make arrangements to satisfy all withholding obligations of the Company related to the Plan. The Company has the authority to satisfy any withholding obligations from funds or shares of Common Stock deliverable pursuant to the Plan or other cash compensation due a Participant, if applicable. Nothing in the Plan will constitute a representation by the Company to a Participant regarding the tax consequences of any Stock Award received by a Participant or any Deferred Compensation Account created in connection with the Plan. The Company will be unconstrained in its corporate activities without regard to the potential negative tax impact on holders of Stock Awards and Deferred Compensation Accounts under the Plan.</w:t>
      </w:r>
    </w:p>
    <w:p>
      <w:pPr>
        <w:spacing w:after="0" w:line="189" w:lineRule="exact"/>
        <w:rPr>
          <w:sz w:val="20"/>
          <w:szCs w:val="20"/>
          <w:color w:val="auto"/>
        </w:rPr>
      </w:pPr>
    </w:p>
    <w:p>
      <w:pPr>
        <w:ind w:right="120" w:firstLine="881"/>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the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the Plan in the least restrictive manner necessary to comply with such requirements and without resulting in any diminution in the value of payments or benefits to the Participants. No action taken to comply with Section 409A will be deemed to adversely affect the Participant’s rights under the Plan.</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292100</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
    </w:lvl>
    <w:lvl w:ilvl="1">
      <w:lvlJc w:val="left"/>
      <w:lvlText w:val="(%2)"/>
      <w:numFmt w:val="lowerLetter"/>
      <w:start w:val="1"/>
    </w:lvl>
  </w:abstractNum>
  <w:abstractNum w:abstractNumId="4">
    <w:nsid w:val="3D1B58BA"/>
    <w:multiLevelType w:val="hybridMultilevel"/>
    <w:lvl w:ilvl="0">
      <w:lvlJc w:val="left"/>
      <w:lvlText w:val="(%1)"/>
      <w:numFmt w:val="lowerLetter"/>
      <w:start w:val="61"/>
    </w:lvl>
    <w:lvl w:ilvl="1">
      <w:lvlJc w:val="left"/>
      <w:lvlText w:val="%2"/>
      <w:numFmt w:val="lowerLetter"/>
      <w:start w:val="1"/>
    </w:lvl>
  </w:abstractNum>
  <w:abstractNum w:abstractNumId="5">
    <w:nsid w:val="507ED7AB"/>
    <w:multiLevelType w:val="hybridMultilevel"/>
    <w:lvl w:ilvl="0">
      <w:lvlJc w:val="left"/>
      <w:lvlText w:val="(%1)"/>
      <w:numFmt w:val="lowerLetter"/>
      <w:start w:val="6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2019-12-28T14:00:29Z</dcterms:created>
  <dcterms:modified xsi:type="dcterms:W3CDTF">2019-12-28T14:00:29Z</dcterms:modified>
</cp:coreProperties>
</file>