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February 5, 2016, Schlumberger Limited and Cameron International Corporation issued a joint press release announcing that the European Commission has cleared their proposed merger under the EC Merger Regulation without any conditions.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5, 2016.</w:t>
      </w:r>
    </w:p>
    <w:p>
      <w:pPr>
        <w:sectPr>
          <w:pgSz w:w="11900" w:h="16838" w:orient="portrait"/>
          <w:cols w:equalWidth="0" w:num="1">
            <w:col w:w="10980"/>
          </w:cols>
          <w:pgMar w:left="240" w:top="270" w:right="6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Schlumberger-Cameron Merger Receives Unconditional Clearance from European Commission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PARIS, February 5, 2016 — Schlumberger Limited (NYSE: SLB) and Cameron International Corporation (NYSE: CAM) jointly announced today that the European Commission has cleared their proposed merger without any conditions following a Phase 1 review.</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previously announced, the U.S. Department of Justice cleared the proposed merger in November 2015 without any conditions; Cameron stockholders voted on December 17 to adopt the merger agreement between Schlumberger and Cameron; and antitrust clearances have been obtained in Canada, Brazil, Russia, and Mexico.</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the terms of the merger agreement, Schlumberger and Cameron only await regulatory approval from the Ministry of Commerce of the Peoples’ Republic of China. The Chinese authorities started their 30-day Phase I review process on February 4, 2016.</w:t>
      </w:r>
    </w:p>
    <w:p>
      <w:pPr>
        <w:spacing w:after="0" w:line="17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closing of the proposed merger remains subject to the satisfaction or waiver of the remaining customary closing conditions contained in the merger agreement. Schlumberger and Cameron expect to close the merger in the first quarter of 2016. Until that time, the companies will continue to operate as separate and independent entities and continue to serve their respective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Schlumberger is the world’s leading supplier of technology, integrated project management and information solutions to customers working in the oil and gas industry worldwide. Employing more than 95,000 people representing over 140 nationalities and working in more than 85 countries, Schlumberger provides the industry’s widest range of products and services from exploration through production. Schlumberger Limited has principal offices in Paris, Houston, London and The Hague, and reported revenues of $35.47 billion in 2015. For more information, visit </w:t>
      </w:r>
      <w:r>
        <w:rPr>
          <w:rFonts w:ascii="Arial" w:cs="Arial" w:eastAsia="Arial" w:hAnsi="Arial"/>
          <w:sz w:val="17"/>
          <w:szCs w:val="17"/>
          <w:u w:val="single" w:color="auto"/>
          <w:color w:val="auto"/>
        </w:rPr>
        <w:t>www.slb.com</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as amended, and Section 21E of the Securities Exchange Act of 1934, as amended. The expected timetable for completing the proposed transaction, and other statements regarding Schlumberger’s and Cameron’s future expectations, beliefs, plans, objectives, assumptions or future events or performance that are not statements of historical fact, are forward-looking statements. Neither Schlumberger nor Cameron can give any assurance that such expectations will prove correct. These statements are subject to, among other things, satisfaction of the closing conditions to the merger and other risk factors that are discussed in Schlumberger’s and Cameron’s most recent Annual Reports on Form 10-K and the definitive proxy statement/prospectus referred to below, as well as each company’s other filings with the SEC available at the SEC’s Internet site (</w:t>
      </w:r>
      <w:r>
        <w:rPr>
          <w:rFonts w:ascii="Arial" w:cs="Arial" w:eastAsia="Arial" w:hAnsi="Arial"/>
          <w:sz w:val="17"/>
          <w:szCs w:val="17"/>
          <w:u w:val="single" w:color="auto"/>
          <w:color w:val="auto"/>
        </w:rPr>
        <w:t>http://www.sec.gov</w:t>
      </w:r>
      <w:r>
        <w:rPr>
          <w:rFonts w:ascii="Arial" w:cs="Arial" w:eastAsia="Arial" w:hAnsi="Arial"/>
          <w:sz w:val="17"/>
          <w:szCs w:val="17"/>
          <w:color w:val="auto"/>
        </w:rPr>
        <w:t>).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proposed transaction, Schlumberger has filed with the SEC a registration statement on Form S-4, including Amendment No. 1 thereto, which was declared effective by the SEC on November 16, 2015, and Cameron has filed the definitive proxy statement/prospectus on November 17,</w:t>
      </w:r>
    </w:p>
    <w:p>
      <w:pPr>
        <w:ind w:right="60"/>
        <w:spacing w:after="0" w:line="261" w:lineRule="auto"/>
        <w:rPr>
          <w:sz w:val="20"/>
          <w:szCs w:val="20"/>
          <w:color w:val="auto"/>
        </w:rPr>
      </w:pPr>
      <w:r>
        <w:rPr>
          <w:rFonts w:ascii="Arial" w:cs="Arial" w:eastAsia="Arial" w:hAnsi="Arial"/>
          <w:sz w:val="18"/>
          <w:szCs w:val="18"/>
          <w:color w:val="auto"/>
        </w:rPr>
        <w:t>2015. This communication is not a substitute for the definitive proxy statement/prospectus, the registration statement or any other document Schlumberger or Cameron may file with the SEC in connection with the proposed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 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scott.lamb@c-a-m.com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2019-12-05T10:24:09Z</dcterms:created>
  <dcterms:modified xsi:type="dcterms:W3CDTF">2019-12-05T10:24:09Z</dcterms:modified>
</cp:coreProperties>
</file>