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-1085850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-682625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251460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-2149475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-554355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-151130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7, 2010</w:t>
      </w:r>
    </w:p>
    <w:p>
      <w:pPr>
        <w:spacing w:after="0" w:line="165"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4, 2010</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2010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Netherlands Antilles, on Wednesday, April 7, 2010 at 10:30 a.m., Curaçao time, for the following purposes:</w:t>
      </w:r>
    </w:p>
    <w:p>
      <w:pPr>
        <w:spacing w:after="0" w:line="20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12 directors named in this proxy statement.</w:t>
      </w:r>
    </w:p>
    <w:p>
      <w:pPr>
        <w:spacing w:after="0" w:line="90"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2009, to approve the Company’s Consolidated Balance Sheet as at December 31, 2009, its Consolidated Statement of Income for the year ended December 31, 2009, and the declarations of dividends by the Board of Directors in 2009 as reflected in the Company’s 2009 Annual Report to Stockholders.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the Schlumberger 2010 Stock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an amendment to the Schlumberger Discounted Stock Purchase Plan.</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2010.</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Action will also be taken on such other matters as may properly be brought before the meeting.</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17, 2010 has been fixed as the record date for the meeting. All holders of common stock of record at the close of business on that date are entitled to vote at the meeting.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59" w:lineRule="exact"/>
        <w:rPr>
          <w:sz w:val="20"/>
          <w:szCs w:val="20"/>
          <w:color w:val="auto"/>
        </w:rPr>
      </w:pPr>
    </w:p>
    <w:p>
      <w:pPr>
        <w:jc w:val="center"/>
        <w:spacing w:after="0" w:line="378"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w:t>
      </w:r>
    </w:p>
    <w:p>
      <w:pPr>
        <w:spacing w:after="0" w:line="5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44274"/>
        </w:rPr>
        <w:t>Brokers cannot vote for Items 1, 3 or 4 without your instructions.</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344274"/>
        </w:rPr>
        <w:t>Important Notice Regarding the Availability of Proxy Materials for the Annual General Meeting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Stockholders to Be Held on April 7, 2010:</w:t>
      </w:r>
    </w:p>
    <w:p>
      <w:pPr>
        <w:spacing w:after="0" w:line="1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2009 and the 2009 Annual Report to Stockholders, are available free of charge on the Company’s website at http://investorcenter.slb.com.</w:t>
      </w:r>
    </w:p>
    <w:p>
      <w:pPr>
        <w:sectPr>
          <w:pgSz w:w="11900" w:h="16838" w:orient="portrait"/>
          <w:cols w:equalWidth="0" w:num="1">
            <w:col w:w="11420"/>
          </w:cols>
          <w:pgMar w:left="240" w:top="88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4,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2010 annual general meeting of stockholders. The approximate mailing date of this proxy statement is March 4, 2010.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Schlumberger 2009 Annual Report to Stockholders is included in this package as a separate document. The Company’s Consolidated Balance Sheet as at December 31, 2009, its Consolidated Statement of Income for the year ended December 31, 2009 and the supplemental financial information with respect to dividends included in the Annual Report are incorporated by reference as part of this proxy soliciting material.</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$13,500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Each stockholder of record at the close of business on February 17, 2010 is entitled to one vote for each share registered in the stockholder’s name. A stockholder of record is a person or entity who held shares on that date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8"/>
          <w:szCs w:val="18"/>
          <w:i w:val="1"/>
          <w:iCs w:val="1"/>
          <w:color w:val="auto"/>
        </w:rPr>
        <w:t xml:space="preserve">beneficial </w:t>
      </w:r>
      <w:r>
        <w:rPr>
          <w:rFonts w:ascii="Arial" w:cs="Arial" w:eastAsia="Arial" w:hAnsi="Arial"/>
          <w:sz w:val="18"/>
          <w:szCs w:val="18"/>
          <w:color w:val="auto"/>
        </w:rPr>
        <w:t>owners. On February 17, 2010, there were 1,195,634,383 outstanding shares of common stock of Schlumberger, excluding 138,577,781 shares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4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taking of any action at the meeting. Abstentions and proxies submitted by brokers that do not indicate a vote because they do not have discretionary authority and have not received instructions as to how to vote on a proposal (so-called “broker non-votes”) will be considered as present for quorum purposes, but not as shares counted for determining the outcome of the vote on that proposal. If a quorum is not present at the meeting, the Board may call a second general meeting of stockholders, at which the quorum requirement will not apply.</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a recent amendment to an NYSE rule now expressly prohibits brokers holding shares in “street name” for their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holder clients from voting in uncontested director elections on behalf of the clients without receiving specific voting instructions from those clients. Under NYSE rules, brokers will have discretion to vote only on Items 2 and 5. Brokers cannot vote 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(the election of directors), Item 3 (2010 Stock Incentive Plan) or Item 4 (amendment to the Company’s Discounted Stock Purchase Plan)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If you do not instruct your broker how to vote on the election of directors or the two benefit plan proposals,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vote for you. As to Item 1, abstentions will have the effect of a vote against the election of the director, and broker non-votes will not affect the outcome of the vote. As to Items 3 and 4, abstentions and broker non-votes will not affect the outcome of the vote on the proposal as long as holders of a majority of the shares entitled to vote cast votes on the proposal. Otherwise, the effect of an abstention or broker non-vote is a vote against the proposal.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 by:</w:t>
      </w:r>
    </w:p>
    <w:p>
      <w:pPr>
        <w:spacing w:after="0" w:line="17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http://www.proxyvote.com;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and mailing their proxy card.</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6, 2010. The internet and telephone voting procedures have been designed to authenticate stockholders and to allow you to vote your shares and to confirm that your instructions have been properly recorded.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revoke your proxy at any time before it is exercised by timely delivery of a properly executed, later-dated proxy (including an internet or telephone vote) or by voting by ballot at the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1. Election of Directors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All of our directors are elected once a year at our annual meeting of stockholders. The stockholders are requested to elect a Board of Directors of 12 members, each to hold office until the next annual general meeting of stockholders and until a director’s successor is elected and qualified or until a director’s death, resignation or removal. Each of the nominees, except for Peter L.S. Currie and K. Vaman Kamath, is now a director and was previously elected by the stockholders. Ms. Linda Stuntz, currently a director, is not standing for re-election. All of the nominees for election have consented to being named in this proxy statement and to serve if elected. If any nominee is unable or unwilling to serve, proxies may be voted for another person designated by the Board of Directors. The Board knows of no reason why any nominee will be unable or unwilling to serve if elected.</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the 12 nominees named below. If you hold your shares in “street name,” you should know that your broker will not vote your shares for the 12 nominees listed below without your specific voting instructions.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Recommends a Vote FOR All Nominees.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are set forth below. There are no family relationships among executive officers and directors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Current Directors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PHILIPPE CAMUS, 61, has been a director of the Company since 2007. He has been a Co-Managing Partner of Société Lagardère, a French media and technology company, since March 1998, and a Senior Managing Director of Evercore Partners Inc., an advisory and investment firm, since January 2006. From July 2000 to July 2005, Mr. Camus was co-Chief Executive Officer of the European Aeronautic Defence &amp; Space Company, an aerospace and defense contractor. Mr. Camus is Chairman of the Board of Alcatel-Lucent, a global communications solutions provider. From May 2005 to May 2009, he was a director of Credit Agricole, the second-largest retail banking group in Europe, where he was a member of the audit committee and chaired the compensation committee. From January 2006 to September 2008, he was a director of Accor S.A., a global hotel and tourism-related company, and a member of its audit and compensation committees. The Board selected Mr. Camus to serve as a director because it believes he possesses valuable financial expertise, including extensive experience with capital markets transactions and investments in both public and private companies. He has led and directed global industrial, technology-dependent businesses, which informs his judgment and risk assessment as a Board member. Schlumberger also benefits from Mr. Camus’ experience as a former director and audit committee member at Accor S.A. and Credit Agricole.</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JAMIE S. GORELICK, 59, has been a director of the Company since 2002. She has been a Partner at Wilmer Cutler Pickering Hale and Dorr LLP, an international law firm, since July 2003. Ms. Gorelick is a director of United Technologies Corporation (since 2000), a provider of high technology products and services, where she serves on its finance, compensation and public issues review committees. The Board selected Ms. Gorelick to serve as a director because she has 35 years of experience counseling boards and senior management regarding corporate governance, compliance, disclosure, international business conduct and other relevant issues. Having been a member of the finance, compensation, audit and public issues committees of public company boards, Ms. Gorelick is familiar with a full range of corporate and board functions. Her many years of experience in U.S. national security enable her to assist the full Board in assessing geo-political risk, which is particularly relevant for Schlumberger, which has operations in approximately 80 countries.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ANDREW GOULD, 63, has served on the Board since 2002 and has been Chairman and Chief Executive Officer of the Company since February 2003. Since 2002, he has served as director of Rio Tinto plc and Rio Tinto Limited, a mineral resources group. In 2008, he was appointed the senior independent nonexecutive director and chairman of its remuneration committee. He is also a member of Rio Tinto’s nominations committee. The Board selected Mr. Gould to serve as a director because he is the Company’s Chief Executive Officer, and has been with the Company for 35 years, having begun in 1975 as an internal auditor. He has held 16 financial and operational management positions within the Company in Asia, Europe and the U.S. He has an expansive knowledge of the oil and gas industry and macro-economic global conditions, as well as relationships with chief executives and other senior management at oil and natural gas companies and oilfield service companies throughout the world, and brings a unique and valuable perspective to the Board.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TONY ISAAC, 68, has been a director of the Company since 2003, and is the Board’s lead independent director. He was the former Chief Executive of The BOC Group plc, an international group with three business segments consisting of Gases and Related Products, Vacuum Technology and Supply Chain Solutions, from September 1999 to October 2006. Since October 2000, Mr. Isaac has served on the board of International Power plc, an independent power producer, is its senior independent director, and currently serves on its audit, remuneration and appointments committees. He is also the senior independent director of the Hogg Robinson Group, a corporate travel services company, where he serves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its remuneration committee and is chairman of its audit committee. The Board selected Mr. Isaac to serve as a director because he has extensive experience serving on boards of large, multinational companies. Mr. Isaac also has valuable experience in the operation of a worldwide business faced with a myriad of international business and political issues. Mr. Isaac’s even temperament and ability to communicate and encourage discussion, together with his experience as senior independent director of all boards on which he serves, make him an effective lead independent director for the Board.</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NIKOLAY KUDRYAVTSEV, 59, has been a director of the Company since 2007. Since June 1997, he has been the Rector of the Moscow Institute of Physics and Technology, the most prestigious institute of theoretical and applied physics in Russia. The Board selected Mr. Kudryavtsev to serve as a director because it believes he brings valuable management and finance experience to the Board,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ADRIAN LAJOUS, 66, has been a director of the Company since 2002. He has been a Senior Energy Advisor at McKinsey &amp; Company and President of Petrométrica, an energy consulting company, in both cases since January 2001. Mr. Lajous is a director of Ternium, S.A. (since 2006), a flat and long steel producer, and serves on its audit committee. He is also a director of Trinity Industries, Inc. (since 2006), a volume producer of freight and tank railcars, and serves on its audit and the finance and risk management committees. The Board selected Mr. Lajous to serve as a director because it believes he has extensive knowledge and experience of the energy industry and its participants, as well as a deep understanding of operations in difficult political and regulatory environments. He also has significant knowledge of the issues affecting the international oil and gas industry, particularly in Mexico. From 1994 to 1999,</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Lajous was Chief Executive Officer of Petróleos Mexicanos (Pemex), Mexico’s national oil company. He served as Director General of Pemex and Chairman of the Board of the Pemex group of operating companies from 1994 to 1999. Through his service on the boards of Pemex and Ternium S.A., he has valuable experience in governance, compensation and audit issues.</w:t>
      </w:r>
    </w:p>
    <w:p>
      <w:pPr>
        <w:spacing w:after="0" w:line="14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MICHAEL E. MARKS, 59,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his retirement from the Board of Flextronics in 2008, and he previously served as Chairman of the Board of Flextronics from 1993 to 2003. Mr. Marks is a director at SanDisk (since 2003), a memory products company, and a member of its compensation and its nominating and governance committees. Until Sun Microsystems’ merger with Oracle in January 2009, he was a director at Sun Microsystems (since 2007), a network computing infrastructure product and service company, and a member of its audit committee. The Board selected Mr. Marks to serve as a director because it believes he is familiar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 some form of technology business, and this experience is especially relevant, given Schlumberger’s technology-oriented business and the fact that many of its acquisition targets are technology companies.</w:t>
      </w:r>
    </w:p>
    <w:p>
      <w:pPr>
        <w:spacing w:after="0" w:line="12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LEO RAFAEL REIF, 59, has been a director of the Company since 2007. He has been Provost, Chief Academic Officer and Chief Budget Officer of the Massachusetts Institute of Technology (MIT) since August 2005. Mr. Reif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 of the Electrical Engineering and Computer Science Department at MIT from September 2004 to July 2005, and an Associate Department Head for Electrical Engineering in the Department of Electrical Engineering and Computer Science at MIT from January 1999 to August 2004. The Board selected Mr. Reif to serve as a director because it believes he brings valuable management and finance expertise to the Board.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development of the Company’s strategy.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TORE I. SANDVOLD, 62, has been a director of the Company since 2004. He has been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Mr. Sandvold has served as executive Chairman of Petoro AS, a national company wholly-owned by Norway. The Board selected Mr. Sandvold to serve as a director because it believes he has worked in the area of energy policy for more than 35 years, and has broad experience in developing domestic and international energy policies for Norway as a career civil servant. He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HENRI SEYDOUX, 49,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The Board selected Mr. Seydoux to serve as a director because he has family ties to the founding Schlumberger brothers, and having grown up in the Schlumberger family culture, is well placed to ensure that the Company continues its historical commitment to the core Schlumberger values of people, technology and profit. His service on the Board addresses the Company’s need to preserve the Company’s unique culture and history on the 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New Director Nominees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PETER L.S. CURRIE, 53, is being nominated to the Board for the first time. He has been President of Currie Capital LLC, a private investment firm, since May 2004. Mr. Currie is a director of Clearwire Corporation (since 2005), a wireless internet service provider, and is a member of both its compensation committee and its audit committee, which he chairs. Until Sun Microsystems’ merger with Oracle in January 2009, he was a director of Sun Microsystems (since 2006),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The Board selected Mr. Currie to serve as a director because he has extensive Board and committee experience at both public and private companies; he served as Chief Financial Officer of two public companies (McCaw Cellular Communications Inc. and Netscape Communications Corp.); and has had senior positions in investment banking, venture capital and private equity. With Mr. Currie’s extensive executive experience, he will bring strong financial and operational expertise to the Board.</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K. VAMAN KAMATH, 62, is being nominated to the Board for the first time. He has been the non-executive Chairman of the Board of ICICI Bank Limited, a banking institution, since May 2009, and was Managing Director and Chief Executive Officer of ICICI Bank Limited from 2002 to May 2009. He has also been a director of Infosys Technologies Limited, an information technology services company, since May 2009, and a director of Lupin Limited, a pharmaceutical company, since January 2010. The Board selected Mr. Kamath to serve as a director because it believes he possesses a deep understanding of India, a large and critical market for Schlumberger, and of Asia generally, which will be of immense value to the Board. As a banker with more than 35 years’ experience, Mr. Kamath has extensive CEO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and expertise in corporate finance, international banking, financial reporting, and mergers and acquisitions. Mr. Kamath’s leadership abilities and experience in India and Asia will enable him to make a meaningful contribution to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Security Ownership by Certain Beneficial Owners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information as of March 1, 2010 with respect to persons known by the Company to be the beneficial owners of 5% or more of the Company’s common stock. This information is reported by such persons in their Schedule 13G filings with the SEC.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2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54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65,098,478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Statement on Schedule 13G filed on January 29, 2010. Such filing indicates that BlackRock Inc. has sole voting power and sole dispositive power with respect to 65,098,478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Security Ownership by Management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lists the shares of Schlumberger common stock beneficially owned as of January 31, 2010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2010, no nominee for director owned more than 1% of the outstanding shares of the Company’s common stock. All directors, director nominees and executive officers as a group owned 0.5% of the outstanding shares of the common stock of the Company at January 31,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Simon Ayat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420,596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Philippe Camus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Peter L. S. Currie</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Jamie S. Gorelick</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21,450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Andrew Gould</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3,494,158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Tony Isaac</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14,250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Paal Kibsgaard</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164,981</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Adrian Lajous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16,482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Satish Pai</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462,433</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Tore I. Sandvold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Chakib Sbiti</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955,568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Henri Seydoux</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28,450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All directors, director nominees and executive officers as a group (26 persons)</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6,348,823</w:t>
            </w:r>
            <w:r>
              <w:rPr>
                <w:rFonts w:ascii="Arial" w:cs="Arial" w:eastAsia="Arial" w:hAnsi="Arial"/>
                <w:sz w:val="11"/>
                <w:szCs w:val="1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354,000 shares that may be acquired by Mr. Ayat within 60 days through the exercise of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13,000 shares the receipt of which Ms. Gorelick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1,537,430 shares that may be acquired by Mr. Gould within 60 days through the exercise of stock options and (ii) 328,908 pledged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Excludes 5,000 shares the receipt of which Mr. Isaac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151,800 shares that may be acquired by Mr. Kibsgaard within 60 days through the exercise of stock options.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8,000 shares the receipt of which he has deferred under the Stock and Deferral Plan for Non-Employee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2,000 shares the receipt of which Mr. Marks has deferred under the Stock and Deferral Plan for Non-Employee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411,000 shares that may be acquired by Mr. Pai within 60 days through the exercise of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920,000 shares that may be acquired by Mr. Sbiti within 60 days through the exercise of stock options.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6,000 shares as to which Mrs. Stuntz shares voting power and 600 shares owned by a minor child in a trust for which Mrs. Stuntz serves as trustee, and excludes 3,400 shares that she deferred under the Stock and Deferral Plan for Non-Employee Directors.</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3,938,061 shares that may be acquired by executive officers as a group within 60 days through the exercise of stock options, and excludes 31,400 shares the receipt of which directors have deferred under the Stock and Deferral Plan for Non-Employee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16(a) Beneficial Ownership Reporting Compliance</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believes, based solely upon a review of the forms filed by its executive officers and directors and upon written representations from its executive officers and directors, that during 2009 all of its executive officers and directors filed on a timely basis the reports required to be filed under Section 16(a) of the Securities Exchange Act of 1934, as amended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17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joining the Board, own at least 10,000 shares or restricted stock units.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w:t>
      </w:r>
    </w:p>
    <w:p>
      <w:pPr>
        <w:spacing w:after="0" w:line="17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 These guidelines are available on our website at http://www.slb.com/content/about/corpgov_guidelines.asp?.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 The Board of Directors has determined that each current director and each of the two new director nominees is independent under the NYSE’s listing standards, other than Mr. Gould, who is Chairman and Chief Executive Officer of Schlumberger. The NYSE listing standards include objective tests that can disqualify a director from being treated as independent, as well as a subjective element,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2007 between Schlumberger and each director nominee, members of their immediate families or entities associated with them.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147" w:lineRule="exact"/>
        <w:rPr>
          <w:sz w:val="20"/>
          <w:szCs w:val="20"/>
          <w:color w:val="auto"/>
        </w:rPr>
      </w:pPr>
    </w:p>
    <w:p>
      <w:pPr>
        <w:ind w:left="900" w:right="8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(the “SEC”), but under that item does not require disclosure; 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non-employee directors was disqualified from “independent” status under the objective NYSE listing standards. In making its subjective determination that each non-employee director is independent, the Board reviewed and discussed additional information provided by the directors and the Company with regard to each director’s business and personal activities as they may relate to Schlumberger and Schlumberger’s management. The Board considered the transactions in the context of the NYSE’s objective listing standards, the categorical standards noted above,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Board’s independence determinations included a review of charitable contributions by Schlumberger to The Massachusetts Institute of Technology, of which Mr. Reif is the Provost, and to The Moscow Institute of Physics and Technology, of which Mr. Kudryavtsev is the Rector. Aggregate contributions to each of these educational institutions did not exceed the greater of $1 million or 1% of that organization’s consolidated gross revenues for 2007, 2008 or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 One of our independent directors suggested Mr. Currie and our CEO suggested Mr. Kamath as prospective Board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Nominating and Governance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77,000 employees worldwide, representing more than 140 countries, and values gender, cultural and geographical diversity in its directors as well. Two of the Company’s 11 current directors are women. Of the 12 current director nominees, four are citizens of the United States of America; two are French citizens; two are citizens of Great Britain; and one director nominee is a citizen of each Russia, India, Mexico or Norway. The Company’s very diverse Board also evidences the Board’s commitment to have directors who represent countries where Schlumberger operates. In addition, the exceptionally broad and diverse experience of Board members is in keeping with goal of having directors whose background and experience complement those of other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Board Leadership Structure; Independent Lead Director</w:t>
      </w:r>
    </w:p>
    <w:p>
      <w:pPr>
        <w:spacing w:after="0" w:line="177"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Andrew Gould serves as both our Chairman of the Board and CEO. The Board believes that independent oversight of management is an important component of an effective board of directors. The independent Board members have determined that the most effective Board leadership structure for Schlumberger at the present time is for the CEO to also serve as Chairman of the Board, a structure that has served Schlumberger well for many years. The independent Board members believe that because the CEO is ultimately responsible for the day-to-day operation of the Company and for executing the Company’s strategy, and because the performance of the Company is an integral part of Board deliberations, the CEO is the director best qualified to act as Chairman of the Board. The Board retains the authority to modify this structure to best address the Company’s unique circumstances, and so advance the best interests of all stockholders, as and when appropriate.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also believes, for the reasons set forth below, that its existing corporate governance practices achieve independent oversight or management accountability, which is the goal that many seek to achieve by separating the roles. Schlumberger’s governance practices provide for strong independent leadership, independent discussion among directors and for independent evaluation of, and communication with, many members of senior management. These governance practices are reflected in Schlumberger’s Corporate Governance Guidelines and the various Committee Charters, which are available on our website. Some of the relevant processes and other corporate governance practices include:</w:t>
      </w:r>
    </w:p>
    <w:p>
      <w:pPr>
        <w:spacing w:after="0" w:line="156" w:lineRule="exact"/>
        <w:rPr>
          <w:sz w:val="20"/>
          <w:szCs w:val="20"/>
          <w:color w:val="auto"/>
        </w:rPr>
      </w:pPr>
    </w:p>
    <w:p>
      <w:pPr>
        <w:ind w:left="900" w:right="3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Board has an independent lead director with leadership authority and responsibilities. Tony Isaac, Chair of the Nominating and Governance Committee, was selected by the independent Board members to be the lead independent director.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the authority to call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left="92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of the Board of Directors in executive session; facilitates discussions, outside of scheduled Board meetings, among the independent directors on key issues as required; and serves as a non-exclusive liaison with the Chairman and CEO, in consultation with the other independent directors.</w:t>
      </w:r>
    </w:p>
    <w:p>
      <w:pPr>
        <w:spacing w:after="0" w:line="73" w:lineRule="exact"/>
        <w:rPr>
          <w:sz w:val="20"/>
          <w:szCs w:val="20"/>
          <w:color w:val="auto"/>
        </w:rPr>
      </w:pPr>
    </w:p>
    <w:p>
      <w:pPr>
        <w:ind w:left="900" w:right="1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each regularly scheduled Board meeting, all non-management directors meet in an executive session without the management director. In these executive sessions, the independent directors deliberate on such matters as CEO succession planning and the performance of the CEO.</w:t>
      </w:r>
    </w:p>
    <w:p>
      <w:pPr>
        <w:spacing w:after="0" w:line="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directors, except the Chairman and CEO, are independent directors, which is substantially above the NYSE requirement that a majority of directors be independent. Each director is an equal participant in decisions made by the full Board. The Audit, Finance and Nominating and Governance Committees are all comprised of independent directors.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 is elected annually by our stockholders.</w:t>
      </w:r>
    </w:p>
    <w:p>
      <w:pPr>
        <w:spacing w:after="0" w:line="9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Schlumberger’s Corporate Governance Guidelines also ensure that the other independent members of the Board are involved in key aspects of governance. For example, any director may request that the lead director call an executive meeting of the Board. Additionally, the Chairman and CEO regularly solicits suggestions from the directors for presentations by management at Board and Committee meetings. Furthermore, each Board member has full and free access to the Company’s management and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The Board’s Role in Risk Oversight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role the Company’s Board of Directors fulfills in risk oversight is set out in the Company’s Corporate</w:t>
      </w:r>
    </w:p>
    <w:p>
      <w:pPr>
        <w:spacing w:after="0" w:line="1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Governance Guidelines, which are available on our website at http://www.slb.com/content/about/ corpgov_guidelines.asp?. The Board of Directors oversees the Company’s stockholders’ and other stakeholders’ interest in the long-term health and the overall success of the Company and its financial strength.</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 that the Company identifies all potential material risks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Functions and the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12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each of our Board committees considers the risks within its areas of responsibilities. For example, the Finance Committee considers financial risk on a quarterly basis and recommends guidelines to control cash and currency exposures. The Compensation Committee reviews the Company’s overall compensation program and its effectiveness at both linking executive pay to performance and aligning the interests of our executives and our stockholders. The Nominating and Governance Committee reviews the Company’s Compliance and Ethics program’s quarterly statistical report and considers the various allegations, disciplinary actions and training statistics brought to its attention. The Audit Committee reviews risks related to financial reporting. The Audit Committee discusses material violations of Company policies brought to its attention on an ad hoc basis, and once per year reviews a summary of the finance related violations. Additionally, the outcome of the Company’s Audit Risk assessment is presented to the Audit Committee annually; this assessment identifies internal controls risks and drives the internal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3" w:name="page14"/>
    <w:bookmarkEnd w:id="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plan for the coming year. Material violations of the Company’s Code of Ethics and related corporate policies are reported to the Audit Committee and/or the Nominating and Governance Committee, depending on the subject matter and, as required, are reported to the full Board. Once a year, the Director of Compliance delivers to the full Board a comprehensive Annual Compliance Report. The risks identified within the Compliance and Ethics program are incorporated into the ERC’s enterprise risk management program described above. The Chair of each of the Board’s key committees also discusses, reviews and makes decisions on serious matters outside of quarterly Board meetings, as needed.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2009, the Board of Directors held six meetings. Schlumberger has an Audit, a Compensation, a Nominating and Governance, a Finance, and a Technology Committee. During 2009, the Audit Committee met five times; the Compensation Committee met five times; the Finance Committee met five times; the Nominating and Governance Committee met four times; and the Technology Committee met two times. All incumbent director nominees attended 75% or more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Board Committees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Members of the Committees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020" w:type="dxa"/>
            <w:vAlign w:val="bottom"/>
            <w:tcBorders>
              <w:top w:val="single" w:sz="8" w:color="auto"/>
              <w:left w:val="single" w:sz="8" w:color="auto"/>
              <w:right w:val="single" w:sz="8" w:color="auto"/>
            </w:tcBorders>
            <w:shd w:val="clear" w:color="auto" w:fill="CCCCCC"/>
          </w:tcPr>
          <w:p>
            <w:pPr>
              <w:spacing w:after="0"/>
              <w:rPr>
                <w:sz w:val="12"/>
                <w:szCs w:val="12"/>
                <w:color w:val="auto"/>
              </w:rPr>
            </w:pPr>
          </w:p>
        </w:tc>
        <w:tc>
          <w:tcPr>
            <w:tcW w:w="1200" w:type="dxa"/>
            <w:vAlign w:val="bottom"/>
            <w:tcBorders>
              <w:top w:val="single" w:sz="8" w:color="auto"/>
              <w:right w:val="single" w:sz="8" w:color="auto"/>
            </w:tcBorders>
            <w:shd w:val="clear" w:color="auto" w:fill="CCCCCC"/>
          </w:tcPr>
          <w:p>
            <w:pPr>
              <w:spacing w:after="0"/>
              <w:rPr>
                <w:sz w:val="12"/>
                <w:szCs w:val="12"/>
                <w:color w:val="auto"/>
              </w:rPr>
            </w:pPr>
          </w:p>
        </w:tc>
        <w:tc>
          <w:tcPr>
            <w:tcW w:w="1400" w:type="dxa"/>
            <w:vAlign w:val="bottom"/>
            <w:tcBorders>
              <w:top w:val="single" w:sz="8" w:color="auto"/>
              <w:right w:val="single" w:sz="8" w:color="auto"/>
            </w:tcBorders>
            <w:shd w:val="clear" w:color="auto" w:fill="CCCCCC"/>
          </w:tcPr>
          <w:p>
            <w:pPr>
              <w:spacing w:after="0"/>
              <w:rPr>
                <w:sz w:val="12"/>
                <w:szCs w:val="12"/>
                <w:color w:val="auto"/>
              </w:rPr>
            </w:pPr>
          </w:p>
        </w:tc>
        <w:tc>
          <w:tcPr>
            <w:tcW w:w="1260" w:type="dxa"/>
            <w:vAlign w:val="bottom"/>
            <w:tcBorders>
              <w:top w:val="single" w:sz="8" w:color="auto"/>
              <w:right w:val="single" w:sz="8" w:color="auto"/>
            </w:tcBorders>
            <w:shd w:val="clear" w:color="auto" w:fill="CCCCCC"/>
          </w:tcPr>
          <w:p>
            <w:pPr>
              <w:jc w:val="center"/>
              <w:ind w:left="42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200" w:type="dxa"/>
            <w:vAlign w:val="bottom"/>
            <w:tcBorders>
              <w:top w:val="single" w:sz="8" w:color="auto"/>
              <w:right w:val="single" w:sz="8" w:color="auto"/>
            </w:tcBorders>
            <w:shd w:val="clear" w:color="auto" w:fill="CCCCCC"/>
          </w:tcPr>
          <w:p>
            <w:pPr>
              <w:spacing w:after="0"/>
              <w:rPr>
                <w:sz w:val="12"/>
                <w:szCs w:val="12"/>
                <w:color w:val="auto"/>
              </w:rPr>
            </w:pPr>
          </w:p>
        </w:tc>
        <w:tc>
          <w:tcPr>
            <w:tcW w:w="1340" w:type="dxa"/>
            <w:vAlign w:val="bottom"/>
            <w:tcBorders>
              <w:top w:val="single" w:sz="8" w:color="auto"/>
              <w:right w:val="single" w:sz="8" w:color="auto"/>
            </w:tcBorders>
            <w:shd w:val="clear" w:color="auto" w:fill="CCCCCC"/>
          </w:tcPr>
          <w:p>
            <w:pPr>
              <w:spacing w:after="0"/>
              <w:rPr>
                <w:sz w:val="12"/>
                <w:szCs w:val="12"/>
                <w:color w:val="auto"/>
              </w:rPr>
            </w:pPr>
          </w:p>
        </w:tc>
      </w:tr>
      <w:tr>
        <w:trPr>
          <w:trHeight w:val="149"/>
        </w:trPr>
        <w:tc>
          <w:tcPr>
            <w:tcW w:w="5020" w:type="dxa"/>
            <w:vAlign w:val="bottom"/>
            <w:tcBorders>
              <w:left w:val="single" w:sz="8" w:color="auto"/>
              <w:right w:val="single" w:sz="8" w:color="auto"/>
            </w:tcBorders>
            <w:shd w:val="clear" w:color="auto" w:fill="CCCCCC"/>
          </w:tcPr>
          <w:p>
            <w:pPr>
              <w:spacing w:after="0"/>
              <w:rPr>
                <w:sz w:val="12"/>
                <w:szCs w:val="12"/>
                <w:color w:val="auto"/>
              </w:rPr>
            </w:pPr>
          </w:p>
        </w:tc>
        <w:tc>
          <w:tcPr>
            <w:tcW w:w="1200" w:type="dxa"/>
            <w:vAlign w:val="bottom"/>
            <w:tcBorders>
              <w:right w:val="single" w:sz="8" w:color="auto"/>
            </w:tcBorders>
            <w:shd w:val="clear" w:color="auto" w:fill="CCCCCC"/>
          </w:tcPr>
          <w:p>
            <w:pPr>
              <w:spacing w:after="0"/>
              <w:rPr>
                <w:sz w:val="12"/>
                <w:szCs w:val="12"/>
                <w:color w:val="auto"/>
              </w:rPr>
            </w:pPr>
          </w:p>
        </w:tc>
        <w:tc>
          <w:tcPr>
            <w:tcW w:w="1400" w:type="dxa"/>
            <w:vAlign w:val="bottom"/>
            <w:tcBorders>
              <w:right w:val="single" w:sz="8" w:color="auto"/>
            </w:tcBorders>
            <w:shd w:val="clear" w:color="auto" w:fill="CCCCCC"/>
          </w:tcPr>
          <w:p>
            <w:pPr>
              <w:spacing w:after="0"/>
              <w:rPr>
                <w:sz w:val="12"/>
                <w:szCs w:val="12"/>
                <w:color w:val="auto"/>
              </w:rPr>
            </w:pPr>
          </w:p>
        </w:tc>
        <w:tc>
          <w:tcPr>
            <w:tcW w:w="1260" w:type="dxa"/>
            <w:vAlign w:val="bottom"/>
            <w:tcBorders>
              <w:right w:val="single" w:sz="8" w:color="auto"/>
            </w:tcBorders>
            <w:shd w:val="clear" w:color="auto" w:fill="CCCCCC"/>
          </w:tcPr>
          <w:p>
            <w:pPr>
              <w:jc w:val="center"/>
              <w:ind w:left="441"/>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tcBorders>
              <w:right w:val="single" w:sz="8" w:color="auto"/>
            </w:tcBorders>
            <w:shd w:val="clear" w:color="auto" w:fill="CCCCCC"/>
          </w:tcPr>
          <w:p>
            <w:pPr>
              <w:spacing w:after="0"/>
              <w:rPr>
                <w:sz w:val="12"/>
                <w:szCs w:val="12"/>
                <w:color w:val="auto"/>
              </w:rPr>
            </w:pPr>
          </w:p>
        </w:tc>
        <w:tc>
          <w:tcPr>
            <w:tcW w:w="1340" w:type="dxa"/>
            <w:vAlign w:val="bottom"/>
            <w:tcBorders>
              <w:right w:val="single" w:sz="8" w:color="auto"/>
            </w:tcBorders>
            <w:shd w:val="clear" w:color="auto" w:fill="CCCCCC"/>
          </w:tcPr>
          <w:p>
            <w:pPr>
              <w:spacing w:after="0"/>
              <w:rPr>
                <w:sz w:val="12"/>
                <w:szCs w:val="12"/>
                <w:color w:val="auto"/>
              </w:rPr>
            </w:pPr>
          </w:p>
        </w:tc>
      </w:tr>
      <w:tr>
        <w:trPr>
          <w:trHeight w:val="149"/>
        </w:trPr>
        <w:tc>
          <w:tcPr>
            <w:tcW w:w="5020" w:type="dxa"/>
            <w:vAlign w:val="bottom"/>
            <w:tcBorders>
              <w:left w:val="single" w:sz="8" w:color="auto"/>
              <w:right w:val="single" w:sz="8" w:color="auto"/>
            </w:tcBorders>
            <w:shd w:val="clear" w:color="auto" w:fill="CCCCCC"/>
          </w:tcPr>
          <w:p>
            <w:pPr>
              <w:spacing w:after="0"/>
              <w:rPr>
                <w:sz w:val="12"/>
                <w:szCs w:val="12"/>
                <w:color w:val="auto"/>
              </w:rPr>
            </w:pPr>
          </w:p>
        </w:tc>
        <w:tc>
          <w:tcPr>
            <w:tcW w:w="1200" w:type="dxa"/>
            <w:vAlign w:val="bottom"/>
            <w:tcBorders>
              <w:right w:val="single" w:sz="8" w:color="auto"/>
            </w:tcBorders>
            <w:shd w:val="clear" w:color="auto" w:fill="CCCCCC"/>
          </w:tcPr>
          <w:p>
            <w:pPr>
              <w:jc w:val="center"/>
              <w:ind w:left="439"/>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tcBorders>
              <w:right w:val="single" w:sz="8" w:color="auto"/>
            </w:tcBorders>
            <w:shd w:val="clear" w:color="auto" w:fill="CCCCCC"/>
          </w:tcPr>
          <w:p>
            <w:pPr>
              <w:jc w:val="center"/>
              <w:ind w:left="43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60" w:type="dxa"/>
            <w:vAlign w:val="bottom"/>
            <w:tcBorders>
              <w:right w:val="single" w:sz="8" w:color="auto"/>
            </w:tcBorders>
            <w:shd w:val="clear" w:color="auto" w:fill="CCCCCC"/>
          </w:tcPr>
          <w:p>
            <w:pPr>
              <w:jc w:val="center"/>
              <w:ind w:left="44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200" w:type="dxa"/>
            <w:vAlign w:val="bottom"/>
            <w:tcBorders>
              <w:right w:val="single" w:sz="8" w:color="auto"/>
            </w:tcBorders>
            <w:shd w:val="clear" w:color="auto" w:fill="CCCCCC"/>
          </w:tcPr>
          <w:p>
            <w:pPr>
              <w:jc w:val="center"/>
              <w:ind w:left="457"/>
              <w:spacing w:after="0" w:line="149" w:lineRule="exact"/>
              <w:rPr>
                <w:sz w:val="20"/>
                <w:szCs w:val="20"/>
                <w:color w:val="auto"/>
              </w:rPr>
            </w:pPr>
            <w:r>
              <w:rPr>
                <w:rFonts w:ascii="Arial" w:cs="Arial" w:eastAsia="Arial" w:hAnsi="Arial"/>
                <w:sz w:val="14"/>
                <w:szCs w:val="14"/>
                <w:b w:val="1"/>
                <w:bCs w:val="1"/>
                <w:color w:val="auto"/>
                <w:w w:val="86"/>
              </w:rPr>
              <w:t>Finance</w:t>
            </w:r>
          </w:p>
        </w:tc>
        <w:tc>
          <w:tcPr>
            <w:tcW w:w="1340" w:type="dxa"/>
            <w:vAlign w:val="bottom"/>
            <w:tcBorders>
              <w:right w:val="single" w:sz="8" w:color="auto"/>
            </w:tcBorders>
            <w:shd w:val="clear" w:color="auto" w:fill="CCCCCC"/>
          </w:tcPr>
          <w:p>
            <w:pPr>
              <w:jc w:val="center"/>
              <w:ind w:left="360"/>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5"/>
        </w:trPr>
        <w:tc>
          <w:tcPr>
            <w:tcW w:w="5020" w:type="dxa"/>
            <w:vAlign w:val="bottom"/>
            <w:tcBorders>
              <w:left w:val="single" w:sz="8" w:color="auto"/>
              <w:bottom w:val="single" w:sz="8" w:color="auto"/>
              <w:right w:val="single" w:sz="8" w:color="auto"/>
            </w:tcBorders>
            <w:shd w:val="clear" w:color="auto" w:fill="CCCCCC"/>
          </w:tcPr>
          <w:p>
            <w:pPr>
              <w:spacing w:after="0"/>
              <w:rPr>
                <w:sz w:val="15"/>
                <w:szCs w:val="15"/>
                <w:color w:val="auto"/>
              </w:rPr>
            </w:pPr>
          </w:p>
        </w:tc>
        <w:tc>
          <w:tcPr>
            <w:tcW w:w="1200" w:type="dxa"/>
            <w:vAlign w:val="bottom"/>
            <w:tcBorders>
              <w:bottom w:val="single" w:sz="8" w:color="auto"/>
              <w:right w:val="single" w:sz="8" w:color="auto"/>
            </w:tcBorders>
            <w:shd w:val="clear" w:color="auto" w:fill="CCCCCC"/>
          </w:tcPr>
          <w:p>
            <w:pPr>
              <w:jc w:val="center"/>
              <w:ind w:left="439"/>
              <w:spacing w:after="0"/>
              <w:rPr>
                <w:sz w:val="20"/>
                <w:szCs w:val="20"/>
                <w:color w:val="auto"/>
              </w:rPr>
            </w:pPr>
            <w:r>
              <w:rPr>
                <w:rFonts w:ascii="Arial" w:cs="Arial" w:eastAsia="Arial" w:hAnsi="Arial"/>
                <w:sz w:val="14"/>
                <w:szCs w:val="14"/>
                <w:b w:val="1"/>
                <w:bCs w:val="1"/>
                <w:color w:val="auto"/>
                <w:w w:val="88"/>
              </w:rPr>
              <w:t>Committee</w:t>
            </w:r>
          </w:p>
        </w:tc>
        <w:tc>
          <w:tcPr>
            <w:tcW w:w="1400" w:type="dxa"/>
            <w:vAlign w:val="bottom"/>
            <w:tcBorders>
              <w:bottom w:val="single" w:sz="8" w:color="auto"/>
              <w:right w:val="single" w:sz="8" w:color="auto"/>
            </w:tcBorders>
            <w:shd w:val="clear" w:color="auto" w:fill="CCCCCC"/>
          </w:tcPr>
          <w:p>
            <w:pPr>
              <w:jc w:val="center"/>
              <w:ind w:left="439"/>
              <w:spacing w:after="0"/>
              <w:rPr>
                <w:sz w:val="20"/>
                <w:szCs w:val="20"/>
                <w:color w:val="auto"/>
              </w:rPr>
            </w:pPr>
            <w:r>
              <w:rPr>
                <w:rFonts w:ascii="Arial" w:cs="Arial" w:eastAsia="Arial" w:hAnsi="Arial"/>
                <w:sz w:val="14"/>
                <w:szCs w:val="14"/>
                <w:b w:val="1"/>
                <w:bCs w:val="1"/>
                <w:color w:val="auto"/>
                <w:w w:val="88"/>
              </w:rPr>
              <w:t>Committee</w:t>
            </w:r>
          </w:p>
        </w:tc>
        <w:tc>
          <w:tcPr>
            <w:tcW w:w="1260" w:type="dxa"/>
            <w:vAlign w:val="bottom"/>
            <w:tcBorders>
              <w:bottom w:val="single" w:sz="8" w:color="auto"/>
              <w:right w:val="single" w:sz="8" w:color="auto"/>
            </w:tcBorders>
            <w:shd w:val="clear" w:color="auto" w:fill="CCCCCC"/>
          </w:tcPr>
          <w:p>
            <w:pPr>
              <w:jc w:val="center"/>
              <w:ind w:left="421"/>
              <w:spacing w:after="0"/>
              <w:rPr>
                <w:sz w:val="20"/>
                <w:szCs w:val="20"/>
                <w:color w:val="auto"/>
              </w:rPr>
            </w:pPr>
            <w:r>
              <w:rPr>
                <w:rFonts w:ascii="Arial" w:cs="Arial" w:eastAsia="Arial" w:hAnsi="Arial"/>
                <w:sz w:val="14"/>
                <w:szCs w:val="14"/>
                <w:b w:val="1"/>
                <w:bCs w:val="1"/>
                <w:color w:val="auto"/>
                <w:w w:val="88"/>
              </w:rPr>
              <w:t>Committee</w:t>
            </w:r>
          </w:p>
        </w:tc>
        <w:tc>
          <w:tcPr>
            <w:tcW w:w="1200" w:type="dxa"/>
            <w:vAlign w:val="bottom"/>
            <w:tcBorders>
              <w:bottom w:val="single" w:sz="8" w:color="auto"/>
              <w:right w:val="single" w:sz="8" w:color="auto"/>
            </w:tcBorders>
            <w:shd w:val="clear" w:color="auto" w:fill="CCCCCC"/>
          </w:tcPr>
          <w:p>
            <w:pPr>
              <w:jc w:val="center"/>
              <w:ind w:left="437"/>
              <w:spacing w:after="0"/>
              <w:rPr>
                <w:sz w:val="20"/>
                <w:szCs w:val="20"/>
                <w:color w:val="auto"/>
              </w:rPr>
            </w:pPr>
            <w:r>
              <w:rPr>
                <w:rFonts w:ascii="Arial" w:cs="Arial" w:eastAsia="Arial" w:hAnsi="Arial"/>
                <w:sz w:val="14"/>
                <w:szCs w:val="14"/>
                <w:b w:val="1"/>
                <w:bCs w:val="1"/>
                <w:color w:val="auto"/>
                <w:w w:val="88"/>
              </w:rPr>
              <w:t>Committee</w:t>
            </w:r>
          </w:p>
        </w:tc>
        <w:tc>
          <w:tcPr>
            <w:tcW w:w="1340" w:type="dxa"/>
            <w:vAlign w:val="bottom"/>
            <w:tcBorders>
              <w:bottom w:val="single" w:sz="8" w:color="auto"/>
              <w:right w:val="single" w:sz="8" w:color="auto"/>
            </w:tcBorders>
            <w:shd w:val="clear" w:color="auto" w:fill="CCCCCC"/>
          </w:tcPr>
          <w:p>
            <w:pPr>
              <w:jc w:val="center"/>
              <w:ind w:left="340"/>
              <w:spacing w:after="0"/>
              <w:rPr>
                <w:sz w:val="20"/>
                <w:szCs w:val="20"/>
                <w:color w:val="auto"/>
              </w:rPr>
            </w:pPr>
            <w:r>
              <w:rPr>
                <w:rFonts w:ascii="Arial" w:cs="Arial" w:eastAsia="Arial" w:hAnsi="Arial"/>
                <w:sz w:val="14"/>
                <w:szCs w:val="14"/>
                <w:b w:val="1"/>
                <w:bCs w:val="1"/>
                <w:color w:val="auto"/>
                <w:w w:val="88"/>
              </w:rPr>
              <w:t>Committee</w:t>
            </w:r>
          </w:p>
        </w:tc>
      </w:tr>
      <w:tr>
        <w:trPr>
          <w:trHeight w:val="227"/>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Philippe Camus</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9"/>
                <w:szCs w:val="19"/>
                <w:color w:val="auto"/>
              </w:rPr>
            </w:pPr>
          </w:p>
        </w:tc>
      </w:tr>
      <w:tr>
        <w:trPr>
          <w:trHeight w:val="190"/>
        </w:trPr>
        <w:tc>
          <w:tcPr>
            <w:tcW w:w="5020" w:type="dxa"/>
            <w:vAlign w:val="bottom"/>
            <w:tcBorders>
              <w:left w:val="single" w:sz="8" w:color="auto"/>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Jamie S. Gorelick</w:t>
            </w:r>
          </w:p>
        </w:tc>
        <w:tc>
          <w:tcPr>
            <w:tcW w:w="12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ind w:left="439"/>
              <w:spacing w:after="0" w:line="189" w:lineRule="exact"/>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ind w:left="457"/>
              <w:spacing w:after="0" w:line="189" w:lineRule="exact"/>
              <w:rPr>
                <w:sz w:val="20"/>
                <w:szCs w:val="20"/>
                <w:color w:val="auto"/>
              </w:rPr>
            </w:pPr>
            <w:r>
              <w:rPr>
                <w:rFonts w:ascii="Arial" w:cs="Arial" w:eastAsia="Arial" w:hAnsi="Arial"/>
                <w:sz w:val="18"/>
                <w:szCs w:val="18"/>
                <w:color w:val="auto"/>
                <w:w w:val="88"/>
              </w:rPr>
              <w:t>Chair</w:t>
            </w:r>
          </w:p>
        </w:tc>
        <w:tc>
          <w:tcPr>
            <w:tcW w:w="1340" w:type="dxa"/>
            <w:vAlign w:val="bottom"/>
            <w:tcBorders>
              <w:bottom w:val="single" w:sz="8" w:color="auto"/>
              <w:right w:val="single" w:sz="8" w:color="auto"/>
            </w:tcBorders>
          </w:tcPr>
          <w:p>
            <w:pPr>
              <w:spacing w:after="0"/>
              <w:rPr>
                <w:sz w:val="16"/>
                <w:szCs w:val="16"/>
                <w:color w:val="auto"/>
              </w:rPr>
            </w:pPr>
          </w:p>
        </w:tc>
      </w:tr>
      <w:tr>
        <w:trPr>
          <w:trHeight w:val="213"/>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Andrew Gould</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Isaac</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2"/>
              </w:rPr>
              <w:t>Chair</w:t>
            </w: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2"/>
              </w:rPr>
              <w:t>Chair</w:t>
            </w: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Nikolay Kudryavtsev</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Adrian Lajous</w:t>
            </w:r>
          </w:p>
        </w:tc>
        <w:tc>
          <w:tcPr>
            <w:tcW w:w="12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Marks</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Leo Rafael Reif</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 I. Sandvold</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Henri Seydoux</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left="437"/>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ind w:left="360"/>
              <w:spacing w:after="0"/>
              <w:rPr>
                <w:sz w:val="20"/>
                <w:szCs w:val="20"/>
                <w:color w:val="auto"/>
              </w:rPr>
            </w:pPr>
            <w:r>
              <w:rPr>
                <w:rFonts w:ascii="Arial" w:cs="Arial" w:eastAsia="Arial" w:hAnsi="Arial"/>
                <w:sz w:val="18"/>
                <w:szCs w:val="18"/>
                <w:color w:val="auto"/>
              </w:rPr>
              <w:t>X</w:t>
            </w:r>
          </w:p>
        </w:tc>
      </w:tr>
      <w:tr>
        <w:trPr>
          <w:trHeight w:val="210"/>
        </w:trPr>
        <w:tc>
          <w:tcPr>
            <w:tcW w:w="5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Linda Gillespie Stuntz</w:t>
            </w:r>
          </w:p>
        </w:tc>
        <w:tc>
          <w:tcPr>
            <w:tcW w:w="12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8"/>
                <w:szCs w:val="18"/>
                <w:color w:val="auto"/>
                <w:w w:val="92"/>
              </w:rPr>
              <w:t>Chair</w:t>
            </w:r>
          </w:p>
        </w:tc>
        <w:tc>
          <w:tcPr>
            <w:tcW w:w="1260" w:type="dxa"/>
            <w:vAlign w:val="bottom"/>
            <w:tcBorders>
              <w:bottom w:val="single" w:sz="8" w:color="auto"/>
              <w:right w:val="single" w:sz="8" w:color="auto"/>
            </w:tcBorders>
          </w:tcPr>
          <w:p>
            <w:pPr>
              <w:jc w:val="center"/>
              <w:ind w:left="421"/>
              <w:spacing w:after="0"/>
              <w:rPr>
                <w:sz w:val="20"/>
                <w:szCs w:val="20"/>
                <w:color w:val="auto"/>
              </w:rPr>
            </w:pPr>
            <w:r>
              <w:rPr>
                <w:rFonts w:ascii="Arial" w:cs="Arial" w:eastAsia="Arial" w:hAnsi="Arial"/>
                <w:sz w:val="18"/>
                <w:szCs w:val="18"/>
                <w:color w:val="auto"/>
                <w:w w:val="99"/>
              </w:rPr>
              <w:t>X</w:t>
            </w: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consists of four independent directors who meet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8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left="900" w:right="2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with the Company’s independent registered public accounting firm the scope and results of its audit, and any audit problems or difficulties and management’s response;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4"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5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fees and terms for audit and other services provided by the Company’s independent registered public accounting firm.</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Board of Directors has determined that Messrs. Camus, Isaac and Lajous, who are independent under applicable NYSE listing standards, are “audit committee financial experts” as defined by applicable SEC rules. The Audit Committee operates pursuant to a written charter, which is available on the Company’s website at www.slb.com/content/about/audit_committee.asp?.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Committee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Compensation Committee consists of four independent directors who meet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183" w:lineRule="exact"/>
        <w:rPr>
          <w:sz w:val="20"/>
          <w:szCs w:val="20"/>
          <w:color w:val="auto"/>
        </w:rPr>
      </w:pPr>
    </w:p>
    <w:p>
      <w:pPr>
        <w:ind w:left="900" w:right="4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CEO’s compensation in prior years;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 (sometimes referred to as “LTIs”);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5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submit a Compensation Committee Report recommending to the Board that the CD&amp;A be included in the Company’s annual proxy statement.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NYSE listing standards and Schlumberger’s governing documents.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has retained Towers Watson as an independent consultant with respect to executive compensation matters. Towers Perrin merged with Watson Wyatt effective January 2010 and became Towers Watson. This merger had no material effect on the executive compensation services provided by Towers Perrin to Schlumberger during 2009. The consultant reports to and acts solely at the direction of the Compensation Committee. Schlumberger management does not direct or oversee the activities of Towers Watson with respect to the Company’s executive compensation program. Towers Watson prepares compensation surveys for review by the Compensation Committee each October, in advance of the annual executive officer compensation review the following January. Towers Watson works with the Company’s human resources function to compare compensation paid to the Company’s executive officers with compensation paid for comparable positions at companies included in the compensation surveys conducted by Towers Watson at the direction of the Compensation Committee. Towers Watson and the Company’s human resources function also compile annual compensation data for each executive officer. The Compensation Committee has also instructed Towers Watson to prepare an analysis of each named executive officer’s compensation.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Compensation Committee evaluates all elements of executive officer compensation each January, after a review of financial and personal objectives with respect to the prior year’s results. The purpose is to determine whether any changes in the officer’s compensation are appropriate. The CEO does not participate in the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that year. The Compensation Committee may, however, review and adjust salaries or grant stock options at other times as the result of new appointments or promotions during the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ectPr>
          <w:pgSz w:w="11900" w:h="16838" w:orient="portrait"/>
          <w:cols w:equalWidth="0" w:num="1">
            <w:col w:w="11400"/>
          </w:cols>
          <w:pgMar w:left="240" w:top="280" w:right="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financial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personal objectives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External consultants provide analysis for compensation committee to evaluate executive compensation</w:t>
      </w:r>
    </w:p>
    <w:p>
      <w:pPr>
        <w:spacing w:after="0" w:line="7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Evaluate executive performance (achievement of objectives established in previous fiscal year) and recommend compensation based on those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Early in the first quarter of the fiscal year for current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approved in January of each fiscal year for annual cash incentive with respect to prior year. The incentive earned in prior fiscal year is paid in February of the current fiscal year.</w:t>
      </w:r>
    </w:p>
    <w:p>
      <w:pPr>
        <w:spacing w:after="0" w:line="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132" w:lineRule="exact"/>
        <w:rPr>
          <w:sz w:val="20"/>
          <w:szCs w:val="20"/>
          <w:color w:val="auto"/>
        </w:rPr>
      </w:pPr>
    </w:p>
    <w:p>
      <w:pPr>
        <w:sectPr>
          <w:pgSz w:w="11900" w:h="16838" w:orient="portrait"/>
          <w:cols w:equalWidth="0" w:num="2">
            <w:col w:w="5480" w:space="580"/>
            <w:col w:w="5340"/>
          </w:cols>
          <w:pgMar w:left="240" w:top="280" w:right="259" w:bottom="1440" w:gutter="0" w:footer="0" w:header="0"/>
          <w:type w:val="continuous"/>
        </w:sectPr>
      </w:pPr>
    </w:p>
    <w:p>
      <w:pPr>
        <w:ind w:right="420" w:firstLine="456"/>
        <w:spacing w:after="0" w:line="306" w:lineRule="auto"/>
        <w:rPr>
          <w:sz w:val="20"/>
          <w:szCs w:val="20"/>
          <w:color w:val="auto"/>
        </w:rPr>
      </w:pPr>
      <w:r>
        <w:rPr>
          <w:rFonts w:ascii="Arial" w:cs="Arial" w:eastAsia="Arial" w:hAnsi="Arial"/>
          <w:sz w:val="16"/>
          <w:szCs w:val="16"/>
          <w:color w:val="auto"/>
        </w:rPr>
        <w:t>The Compensation Committee has also retained Towers Watson as an independent consulting firm with respect to director compensation matters. The consultant reports exclusively to and acts solely at the direction of the Compensation Committee. The consultant prepares an analysis of competitive non-employee director compensation levels and market trends using the same peer groups as those used in the executive compensation review.</w:t>
      </w:r>
    </w:p>
    <w:p>
      <w:pPr>
        <w:spacing w:after="0" w:line="107" w:lineRule="exact"/>
        <w:rPr>
          <w:sz w:val="20"/>
          <w:szCs w:val="20"/>
          <w:color w:val="auto"/>
        </w:rPr>
      </w:pPr>
    </w:p>
    <w:p>
      <w:pPr>
        <w:ind w:right="2700" w:firstLine="456"/>
        <w:spacing w:after="0" w:line="268"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www.slb.com/content/about/compensation_committee.asp?.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Nominating and Governance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Nominating and Governance Committee is comprised of five independent directors who meet the independence requirements of the NYSE’s listing standards. The authority and responsibilities of the Nominating and Governance Committee include the following:</w:t>
      </w:r>
    </w:p>
    <w:p>
      <w:pPr>
        <w:spacing w:after="0" w:line="17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type w:val="continuous"/>
        </w:sectPr>
      </w:pPr>
    </w:p>
    <w:bookmarkStart w:id="17" w:name="page18"/>
    <w:bookmarkEnd w:id="17"/>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the direct and indirect relationships of members of the Board with the Company or its management and assist the Board with its determination of the independence of its members;</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171" w:lineRule="exact"/>
        <w:rPr>
          <w:sz w:val="20"/>
          <w:szCs w:val="20"/>
          <w:color w:val="auto"/>
        </w:rPr>
      </w:pPr>
    </w:p>
    <w:p>
      <w:pPr>
        <w:ind w:right="1720" w:firstLine="456"/>
        <w:spacing w:after="0" w:line="268"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Finance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17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0" w:lineRule="exact"/>
        <w:rPr>
          <w:rFonts w:ascii="Arial" w:cs="Arial" w:eastAsia="Arial" w:hAnsi="Arial"/>
          <w:sz w:val="18"/>
          <w:szCs w:val="18"/>
          <w:color w:val="auto"/>
        </w:rPr>
      </w:pPr>
    </w:p>
    <w:p>
      <w:pPr>
        <w:ind w:left="1480" w:right="840" w:hanging="446"/>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to review and approve any acquisitions covered by such delegation;</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171" w:lineRule="exact"/>
        <w:rPr>
          <w:sz w:val="20"/>
          <w:szCs w:val="20"/>
          <w:color w:val="auto"/>
        </w:rPr>
      </w:pPr>
    </w:p>
    <w:p>
      <w:pPr>
        <w:ind w:right="3180" w:firstLine="456"/>
        <w:spacing w:after="0" w:line="268" w:lineRule="auto"/>
        <w:rPr>
          <w:sz w:val="20"/>
          <w:szCs w:val="20"/>
          <w:color w:val="auto"/>
        </w:rPr>
      </w:pPr>
      <w:r>
        <w:rPr>
          <w:rFonts w:ascii="Arial" w:cs="Arial" w:eastAsia="Arial" w:hAnsi="Arial"/>
          <w:sz w:val="18"/>
          <w:szCs w:val="18"/>
          <w:color w:val="auto"/>
        </w:rPr>
        <w:t>The Finance Committee operates pursuant to a written charter, which is available on the Company’s website at www.slb.com/content/about/finance_committee.asp?.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21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spacing w:after="0" w:line="132" w:lineRule="exact"/>
        <w:rPr>
          <w:sz w:val="20"/>
          <w:szCs w:val="20"/>
          <w:color w:val="auto"/>
        </w:rPr>
      </w:pPr>
    </w:p>
    <w:p>
      <w:pPr>
        <w:ind w:right="2820" w:firstLine="456"/>
        <w:spacing w:after="0" w:line="268" w:lineRule="auto"/>
        <w:rPr>
          <w:sz w:val="20"/>
          <w:szCs w:val="20"/>
          <w:color w:val="auto"/>
        </w:rPr>
      </w:pPr>
      <w:r>
        <w:rPr>
          <w:rFonts w:ascii="Arial" w:cs="Arial" w:eastAsia="Arial" w:hAnsi="Arial"/>
          <w:sz w:val="18"/>
          <w:szCs w:val="18"/>
          <w:color w:val="auto"/>
        </w:rPr>
        <w:t>The Technology Committee operates pursuant to a written charter, which is available on the Company’s website at www.slb.com/content/about/tech_committee.asp?.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Communication with the Board</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Interested parties may contact the Board or any Schlumberger director (including the lead director) by writing to them at the following address: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Board’s policy regarding director attendance at the annual general meeting of stockholders is that directors are welcome to attend, and that the Company will make all appropriate arrangements for directors that choose to attend. One director attended the annual general meeting of stockholders in 2009.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Policies and Procedures for Approval of Related Person Transactions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spacing w:after="0" w:line="17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19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Nominating and Governance Committee, with assistance from the Company’s General Counsel, is responsible for reviewing and, where appropriate, approving or ratifying any related party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www.slb.com/content/about/corpgovernance.asp?.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2009,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the Public Company Oversight Board Rule 3526 (Communication with Audit Committees Concerning Independence), and the Committee discussed PricewaterhouseCoopers LLP’s independence with them.</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Based on the foregoing review and discussion, and relying on the representation of Company management and the independent registered public accounting firm’s report to the Audit Committee, the Audit Committee recommended that the Board include the financial statements in the Company’s Annual Report on Form 10-K for the year ended December 31, 2009 filed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5460" w:space="720"/>
            <w:col w:w="52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following Compensation Discussion and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selects these elements; and how the Compensation Committee determines the relative size of each element of compensation. Included in this CD&amp;A are decisions made in 2009 affecting 2009 base salaries and long term incentives, as well as annual cash incentive awards earned in 2009 but paid in February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Schlumberger prides itself on having a strong pay-for-performance culture that runs through the whole Company but starts at the top with the named executive officers. Schlumberger has no employment agreements for its executive officers, no severance or change-in-control agreements, only minimum perquisites and no executive pension or insurance plans, other than those providing supplemental benefits (available to all eligible employees) to cover income that exceeds plan limits.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Schlumberger’s longstanding compensation philosophy is to pay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the Company is a key principle at Schlumberger, and all executive officers, including the named executive officers, have reached their current positions through career development with the Company. A diverse workforce is a very important part of Schlumberger’s cultural philosophy. Schlumberger believes its use of a consistent approach to compensation at all levels is a strong factor in achieving a diverse workforce comprised of top global talent.</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the amount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Schlumberger’s compensation programs have been designed so that the higher an executive’s position in the Company, the larger the proportion of compensation at risk or subject to performance criteria that are aligned with creating return for stockholders. Named executive officers receive a greater percentage of their compensation through at-risk pay tied to Company performance than other executives.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Employees globally (including named executive officers) are subject to an annual objectives-setting process and review, and their performance against these objectives affects the compensation they receive. Other factors affecting compensation include:</w:t>
      </w:r>
    </w:p>
    <w:p>
      <w:pPr>
        <w:spacing w:after="0" w:line="17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oilfield services, exploration and production, refining and pipeline industries and with other selected companies of comparable size and scope, known as the “comparator” or “peer” groups; and</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the event of a change in control, the only compensation and benefits changes for all employees are full vesting of any unexercised stock options and restricted stock units and full vesting in any account balance under the supplemental retirement savings plan. Change in control with regard to stock options is described more fully in the section “Change in Control” in the narrative following the Nonqualified Deferred Compensation table.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Goals of Executive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212" w:lineRule="exact"/>
        <w:rPr>
          <w:sz w:val="20"/>
          <w:szCs w:val="20"/>
          <w:color w:val="auto"/>
        </w:rPr>
      </w:pPr>
    </w:p>
    <w:p>
      <w:pPr>
        <w:ind w:left="900" w:right="5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may compete with the Company for business opportunities and/or executive talent;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other stockholders; and</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overall executive compensation package should enable Schlumberger to attract, motivate and retain talented executive officers, while being linked to performance and keeping in mind shareholder return.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the compensation of executive officer jobs at or around the median of the market for a comparable position. This means that the package remains competitive enough to attract and retain top talent but does not over-reward average performance. Compensation is targeted to be between the 50th and 75th percentiles or higher for strong business performance, for key skills in critical demand, and for positions that are of high internal value. In exceptional circumstances, the Company pays above the 75th percentile for performance that significantly exceeds the Company’s and the individual’s goals, or for purposes of motivation, reward and retention.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2009 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Overview</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the executive officers performed well against their business objectives despite a challenging year for most of the industry, including Schlumberger. As more fully described in the “Management’s Discussion and Analysis of Financial Condition and Results of Operations” section of Schlumberger’s 2009 Annual Report on Form 10-K, the global recession and difficult business environment resulted in reduced exploration and production budgets and lower spending by Schlumberger’s customers.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Despite the economic challenges the Company faced in 2009, the Company returned approximately $1.5 billion to its stockholders through dividends and share repurchases. Furthermore, the Company made several key operational, strategic and economic investments in 2009 to position it for the long-term. As described below, many of these investments were also aligned with the personal objectives of the executive officers:</w:t>
      </w:r>
    </w:p>
    <w:p>
      <w:pPr>
        <w:spacing w:after="0" w:line="14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investment levels in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investing in the development of the Quality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execution through the refinement of the Company’s Engineering, Manufacturing and Sustaining organization;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investing in the Company’s IT infrastructure to improve the Company’s business processes.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Decisions in 2009</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main elements and goals of Schlumberger’s executive compensation program did not change from fiscal year 2008 to fiscal year 2009. However, the Compensation Committee faced the challenge of achieving the right mix and level of compensation to retain and motivate top executives through the difficult business conditions likely to prevail throughout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took the following actions for 2009:</w:t>
      </w:r>
    </w:p>
    <w:p>
      <w:pPr>
        <w:spacing w:after="0" w:line="21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discussed in the Company’s 2009 proxy statement to stockholders,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annual base salary increases were not awarded to any of the named executive officers at the regular review in January 2009;</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value of the January 2009 stock option grants was reduced by approximately 20% in comparison to the 2008 grants;</w:t>
      </w:r>
    </w:p>
    <w:p>
      <w:pPr>
        <w:spacing w:after="0" w:line="90" w:lineRule="exact"/>
        <w:rPr>
          <w:rFonts w:ascii="Arial" w:cs="Arial" w:eastAsia="Arial" w:hAnsi="Arial"/>
          <w:sz w:val="18"/>
          <w:szCs w:val="18"/>
          <w:color w:val="auto"/>
        </w:rPr>
      </w:pPr>
    </w:p>
    <w:p>
      <w:pPr>
        <w:ind w:left="1480" w:right="36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payout on the financial half of the incentive paid in February 2010 for 2009 performance was only 53% of the 100% target, and well short of the 200% maximum potential payout.</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the result of a management reorganization effective May 1, 2009, Messrs. Sbiti, Pai and Kibsgaard were given increased levels of responsibility within the Company. As a consequence, Mr. Sbiti’s salary was increased from 700,000 Euros to 925,000 Euros; Mr. Kibsgaard’s salary was increased from $575,000 to 600,000 Euros; and Mr. Pai’s salary was increased from 500,000 Euros to 600,000 Euros. Additionally, Messrs. Sbiti, Kibsgaard and Pai received stock option grants of 125,000, 100,000 and 60,000 options,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177"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The Schlumberger executive compensation program is overseen by the Compensation Committee. The specific duties and responsibilities of the Compensation Committee are described in this proxy statement under “Corporate Governance—Board Committees—Compensation Committee”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has engaged the independent consulting firm of Towers Watson with respect to executive compensation matters. For more information on this engagement, see “Corporate Governance—Board Committees—Compensation Committee”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Schlumberger’s executive compensation program consists of three primary elements:</w:t>
      </w:r>
    </w:p>
    <w:p>
      <w:pPr>
        <w:spacing w:after="0" w:line="21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elements allow the Company to remain competitive in attracting and retaining executive talent, and to motivate executives with current and potential future financial rewards. At the same time, this relatively simple compensation plan can be applied and communicated consistently to exempt employees of more than 140 nationalities working in approximately 80 countries globally. Schlumberger sees diversity of its work force as a business imperative enabling the Company to service clients anywhere in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Relative Size of Direct Compensation Elements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each element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pie charts below show the average percentage of 2009 base salary, target cash incentive and 2009 long-term equity incentive (LTI) award for the named executive officer positions in comparison to the two external peer groups identified by Towers Perrin in September 2009, and indicate that Schlumberger’s current pay mix is close to that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both peer groups, although somewhat more weighted towards at-risk LTI compensation. This table is based on compensation data as it appears in Towers Perrin’s September 2009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88900</wp:posOffset>
            </wp:positionV>
            <wp:extent cx="5137150" cy="1003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relies on its own judgment in making compensation decisions for the named executive officers after reviewing the size and mix of the compensation elements for executive officers against those of companies in the comparator groups. The size and mix of each element in total direct compensation is based on:</w:t>
      </w:r>
    </w:p>
    <w:p>
      <w:pPr>
        <w:spacing w:after="0" w:line="18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external market practice of companies in the two comparator groups;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level of incentive compensation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spacing w:after="0" w:line="14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6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otherwise adjust the total compensation to best fit an executive officer’s specific circumstances. The Committee may also increase the size of stock option grants to an executive officer if the total number of career stock option grants does not adequately reflect the executive’s current position with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Selection of Comparator Companies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the Compensation Committee’s independent executive compensation consultant. The surveys are based on criteria established and provided by the Committee, which include:</w:t>
      </w:r>
    </w:p>
    <w:p>
      <w:pPr>
        <w:spacing w:after="0" w:line="18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To prepare for the compensation analysis, the Company’s executive compensation department works with the executive compensation consultants to match Company positions and responsibilities against survey positions and responsibilities and to compile the annual compensation data for each executive officer.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ind w:right="3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comparator market data provide guidance in making decisions on executive compensation, the Compensation Committee does not set compensation based on market data alone. The Committee also considers the value of an executive officer’s position to the Company, the market demand for those skills and the other factors described in this CD&amp;A.</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Two peer groups are used for the compensation analysis. The two peer groups were first reviewed in July 2008 and were then further reviewed in October 2008 in preparation for the January 2009 compensation review.</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first peer group comprised 30 companies in the oil services, exploration and production, refining and pipeline industries, including 10 direct competitors in the oilfield services industry, all of which were part of Value Line’s Oilfield Services Industry Group. Nine international energy and energy-related companies that also met the established criteria were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the oilfield services industry, the addition of the exploration and production companies provides a more complete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986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230"/>
        </w:trPr>
        <w:tc>
          <w:tcPr>
            <w:tcW w:w="3220" w:type="dxa"/>
            <w:vAlign w:val="bottom"/>
            <w:tcBorders>
              <w:top w:val="single" w:sz="8" w:color="auto"/>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Anadarko Petroleum</w:t>
            </w:r>
          </w:p>
        </w:tc>
        <w:tc>
          <w:tcPr>
            <w:tcW w:w="1960" w:type="dxa"/>
            <w:vAlign w:val="bottom"/>
            <w:tcBorders>
              <w:top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Baker Hughes</w:t>
            </w:r>
          </w:p>
        </w:tc>
        <w:tc>
          <w:tcPr>
            <w:tcW w:w="248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BG Group</w:t>
            </w:r>
          </w:p>
        </w:tc>
        <w:tc>
          <w:tcPr>
            <w:tcW w:w="172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BHP Billiton</w:t>
            </w:r>
          </w:p>
        </w:tc>
        <w:tc>
          <w:tcPr>
            <w:tcW w:w="20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BJ Services</w:t>
            </w:r>
          </w:p>
        </w:tc>
      </w:tr>
      <w:tr>
        <w:trPr>
          <w:trHeight w:val="193"/>
        </w:trPr>
        <w:tc>
          <w:tcPr>
            <w:tcW w:w="322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BP</w:t>
            </w:r>
          </w:p>
        </w:tc>
        <w:tc>
          <w:tcPr>
            <w:tcW w:w="1960" w:type="dxa"/>
            <w:vAlign w:val="bottom"/>
            <w:tcBorders>
              <w:bottom w:val="single" w:sz="8" w:color="auto"/>
              <w:right w:val="single" w:sz="8" w:color="auto"/>
            </w:tcBorders>
          </w:tcPr>
          <w:p>
            <w:pPr>
              <w:ind w:left="80"/>
              <w:spacing w:after="0" w:line="193" w:lineRule="exact"/>
              <w:rPr>
                <w:sz w:val="20"/>
                <w:szCs w:val="20"/>
                <w:color w:val="auto"/>
              </w:rPr>
            </w:pPr>
            <w:r>
              <w:rPr>
                <w:rFonts w:ascii="Arial" w:cs="Arial" w:eastAsia="Arial" w:hAnsi="Arial"/>
                <w:sz w:val="18"/>
                <w:szCs w:val="18"/>
                <w:color w:val="auto"/>
              </w:rPr>
              <w:t>Cameron International</w:t>
            </w:r>
          </w:p>
        </w:tc>
        <w:tc>
          <w:tcPr>
            <w:tcW w:w="2480" w:type="dxa"/>
            <w:vAlign w:val="bottom"/>
            <w:tcBorders>
              <w:bottom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rPr>
              <w:t>Canadian Natural Resources</w:t>
            </w:r>
          </w:p>
        </w:tc>
        <w:tc>
          <w:tcPr>
            <w:tcW w:w="1720" w:type="dxa"/>
            <w:vAlign w:val="bottom"/>
            <w:tcBorders>
              <w:bottom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rPr>
              <w:t>Chevron</w:t>
            </w:r>
          </w:p>
        </w:tc>
        <w:tc>
          <w:tcPr>
            <w:tcW w:w="204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8"/>
                <w:szCs w:val="18"/>
                <w:color w:val="auto"/>
              </w:rPr>
              <w:t>CITGO</w:t>
            </w:r>
          </w:p>
        </w:tc>
      </w:tr>
      <w:tr>
        <w:trPr>
          <w:trHeight w:val="210"/>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ConocoPhillips</w:t>
            </w:r>
          </w:p>
        </w:tc>
        <w:tc>
          <w:tcPr>
            <w:tcW w:w="1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ENI</w:t>
            </w:r>
          </w:p>
        </w:tc>
        <w:tc>
          <w:tcPr>
            <w:tcW w:w="24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Exxon Mobil</w:t>
            </w:r>
          </w:p>
        </w:tc>
        <w:tc>
          <w:tcPr>
            <w:tcW w:w="1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Halliburton</w:t>
            </w: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Hess</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Marathon Oil</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Murphy Oil</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Nabors Industries</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Noble</w:t>
            </w: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Occidental Petroleum</w:t>
            </w:r>
          </w:p>
        </w:tc>
      </w:tr>
      <w:tr>
        <w:trPr>
          <w:trHeight w:val="210"/>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Parker Drilling</w:t>
            </w:r>
          </w:p>
        </w:tc>
        <w:tc>
          <w:tcPr>
            <w:tcW w:w="19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Repsol</w:t>
            </w:r>
          </w:p>
        </w:tc>
        <w:tc>
          <w:tcPr>
            <w:tcW w:w="24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Royal Dutch Shell</w:t>
            </w:r>
          </w:p>
        </w:tc>
        <w:tc>
          <w:tcPr>
            <w:tcW w:w="1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Smith International</w:t>
            </w: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Sunoco</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Statoil Hydro</w:t>
            </w: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Transocean</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Valero</w:t>
            </w: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Weatherford</w:t>
            </w: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 The second group is also particularly relevant for staff positions.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2007, the general industry peer group included 50 companies with revenues from $10 billion to $30 billion and median revenue of $17.7 billion. As Schlumberger’s total revenue for 2007 grew to $23.3 billion, the Compensation Committee decided that it was appropriate in 2008 to alter the revenue range to include companies with revenues from $15 billion to $40 billion, of which there were 38. The median revenue of this revised group was $23.3 billion. Prior to the change, Schlumberger’s 2008 revenue ranked at approximately the 79th percentile of the group, which was considered high in the range. After the change, Schlumberger’s 2008 revenue ranked at approximately the 62nd percentile, which was considered to be a better position in the range.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115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$15B to $40B sales with technical and global focus</w:t>
      </w:r>
    </w:p>
    <w:tbl>
      <w:tblPr>
        <w:tblLayout w:type="fixed"/>
        <w:tblInd w:w="10" w:type="dxa"/>
        <w:tblCellMar>
          <w:top w:w="0" w:type="dxa"/>
          <w:left w:w="0" w:type="dxa"/>
          <w:bottom w:w="0" w:type="dxa"/>
          <w:right w:w="0" w:type="dxa"/>
        </w:tblCellMar>
      </w:tblPr>
      <w:tr>
        <w:trPr>
          <w:trHeight w:val="213"/>
        </w:trPr>
        <w:tc>
          <w:tcPr>
            <w:tcW w:w="3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3M</w:t>
            </w:r>
          </w:p>
        </w:tc>
        <w:tc>
          <w:tcPr>
            <w:tcW w:w="23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Abbot Laboratories</w:t>
            </w:r>
          </w:p>
        </w:tc>
        <w:tc>
          <w:tcPr>
            <w:tcW w:w="18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Accenture</w:t>
            </w:r>
          </w:p>
        </w:tc>
        <w:tc>
          <w:tcPr>
            <w:tcW w:w="192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Alcatel-Lucent</w:t>
            </w:r>
          </w:p>
        </w:tc>
        <w:tc>
          <w:tcPr>
            <w:tcW w:w="158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Alcoa</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Apple</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BAE Systems</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Bayer</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9"/>
              </w:rPr>
              <w:t>Bristol-Myers Squibb</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Canon</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Cisco Systems</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DuPont</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EDS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Eli Lilly</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7"/>
              </w:rPr>
              <w:t>Emerson Electric</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Freeport-McMoran Copper &amp; Gold</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Goodyear Tire &amp; Rubber</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Henkel</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Honeywell</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Intel</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International Paper</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Kimberly-Clark</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Phillips Electronics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Lenovo</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Merck</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Motorola</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NIKE</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Novartis</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Oracle</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Rio Tinto</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SCA</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Schneider Electric</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Tech Data</w:t>
            </w:r>
          </w:p>
        </w:tc>
        <w:tc>
          <w:tcPr>
            <w:tcW w:w="19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Unilever</w:t>
            </w:r>
          </w:p>
        </w:tc>
        <w:tc>
          <w:tcPr>
            <w:tcW w:w="1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US Steel</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Whirlpool</w:t>
            </w:r>
          </w:p>
        </w:tc>
        <w:tc>
          <w:tcPr>
            <w:tcW w:w="23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Wyeth</w:t>
            </w:r>
          </w:p>
        </w:tc>
        <w:tc>
          <w:tcPr>
            <w:tcW w:w="1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Xerox</w:t>
            </w:r>
          </w:p>
        </w:tc>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56"/>
        </w:trPr>
        <w:tc>
          <w:tcPr>
            <w:tcW w:w="3780" w:type="dxa"/>
            <w:vAlign w:val="bottom"/>
          </w:tcPr>
          <w:p>
            <w:pPr>
              <w:spacing w:after="0"/>
              <w:rPr>
                <w:sz w:val="24"/>
                <w:szCs w:val="24"/>
                <w:color w:val="auto"/>
              </w:rPr>
            </w:pPr>
          </w:p>
        </w:tc>
        <w:tc>
          <w:tcPr>
            <w:tcW w:w="2300" w:type="dxa"/>
            <w:vAlign w:val="bottom"/>
          </w:tcPr>
          <w:p>
            <w:pPr>
              <w:ind w:left="1840"/>
              <w:spacing w:after="0"/>
              <w:rPr>
                <w:sz w:val="20"/>
                <w:szCs w:val="20"/>
                <w:color w:val="auto"/>
              </w:rPr>
            </w:pPr>
            <w:r>
              <w:rPr>
                <w:rFonts w:ascii="Arial" w:cs="Arial" w:eastAsia="Arial" w:hAnsi="Arial"/>
                <w:sz w:val="18"/>
                <w:szCs w:val="18"/>
                <w:color w:val="auto"/>
              </w:rPr>
              <w:t>22</w:t>
            </w: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Apart from the change to the general industry revenue range, the Compensation Committee decided to retain the same peer group criteria for 2008 as in 2007 in order to provide a stable basis for comparison for the January 2009 analysis.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 Mix and Internal Pay Equity</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review of pay mix and internal pay equity was carried out by Towers Perrin and was discussed by the Compensation Committee at its October 2009 meeting. Regarding pay mix, the Committee reviewed the elements of pay for the executive officers, including the named executive officers, in relation to each other and in comparison with the average pay mix of the Company’s other executive officers. The Committee noted that the LTI portion for Messrs. Sbiti, Pai and Kibsgaard was larger in 2009 than in 2008 because each of them received a stock option grant in January 2009 (although reduced from 2008), and an additional stock option grant in April 2009 as the result of a new job assignment and increased responsibilities arising from the management reorganization described above in “2009 Executive Summary.” For all other executive officers, the 2009 pay mix was more weighted toward base and incentive pay in comparison with 2008, due to the reduced LTI award in January 2009. Having noted these observations, the Committee considered that the pay mix was appropriate.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Regarding internal pay equity, the Committee reviewed the CEO position in relation to the other named executive officers positions, and the named executive officer positions both in relation to each other and in comparison with the average of the other executive officer positions. The Committee noted that the ratio between the CEO and the second highest paid officer (Mr. Sbiti) had declined in comparison with the 2008 ratio due to the additional LTI grant awarded to Mr. Sbiti in April 2009. The positioning of the third and fourth highest paid named executive officers was also higher due to their April 2009 LTI grants. The Committee concluded that internal pay equity was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Pay-for-Performance</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In order to specifically focus on pay-for-performance, the Compensation Committee in July 2009 reviewed a pay-for-performance assessment of the cash incentives paid to the named executive officers in 2009. The assessment was against the oil industry peer group as furnished by Towers Perrin, and provided data on the actual 2008 annual cash incentive paid in 2009 to named executive officers in the oil industry peer group as a percentage of their target annual incentive.</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This was compared with both achieved earnings per share and total shareholder return of their respective companies. In making this comparison, the Compensation Committee reviewed the position of Schlumberger’s CEO against other CEOs in the oil industry peer group. It then separately reviewed the other named executive officers against other named executive officers in the oil industry peer group. As a result of this review, the Compensation Committee concluded that Schlumberger’s cash incentive pay practices were aligned with its pay-for-performance philosophy.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Cash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Base salary is the fixed portion of an executive’s annual cash compensation. The fact that base salary is fixed means that an executive officer has some stability of income when the other compensation elements are variable and not guaranteed. On appointment to an executive officer position, the base salary is set at a level competitive with base salaries in the two peer groups and takes into account factors such as the performance, experience and long-term potential of the individual, as well as internal pay equity and Company performance. This means typically that base salary for executive officers is targeted to be between the median and the 75th percentile of both peer groups.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both peer groups. A base salary change for an executive officer, except the CEO, is both recommended by the CEO and approved by the Compensation Committee according to:</w:t>
      </w:r>
    </w:p>
    <w:p>
      <w:pPr>
        <w:spacing w:after="0" w:line="12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performance during the year relative to the previous year and to its market peers;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individual performance against objectives.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base salary of the CEO is reviewed by the Compensation Committee in executive session and recommended for approval to the independent members of the Board of Directors, based on the same criteria as above.</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base salary for an executive officer position is generally fixed for several years, which means that increases are usually more significant when they occur. If business or individual performance is below target, the Compensation Committee has the discretion to award no base salary increase as is described further below. The Compensation Committee may, on occasion,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new responsibilities, external pay practices, retention considerations and internal pay equity, as well as past performance and experience. There are also occasions when a base salary may be reduced such as when an executive officer moves to a position of lesser responsibility in the organization. Alternatively, the base salary can be frozen for a number of years until it falls in line with comparable positions in the peer groups. This depends on individual situations.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Base Salary Decisions in 2009</w:t>
      </w:r>
    </w:p>
    <w:p>
      <w:pPr>
        <w:spacing w:after="0" w:line="171"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As discussed above, the Compensation Committee decided not to award any annual base salary increases to its executive officers at the regular review in January 2009, in light of the difficult global business environment and Company-specific operating conditions. Mr. Gould’s base salary, which has not changed since January 2006, remained at $2,500,000, and placed him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both peer groups. Mr. Ayat’s base salary remained at $750,000, which placed him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and just above the median of the general industry peer group.</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the result of the April 2009 management reorganization described above, Mr. Sbiti was appointed Executive Vice President, Schlumberger Limited; Mr. Kibsgaard was appointed President Reservoir Characterization Group based in Paris; and Mr. Pai was appointed Vice President Operations. In light of these changes, the Compensation Committee considered these individuals’ increased levels of responsibility in their new positions, as well as their performance in past positions, their potential for growth in future positions with the Company, and retention in the current environment. As a consequence, Mr. Sbiti’s base salary was increased from 700,000 Euros to 925,000 Euros. This placed him above the 75th percentile of the general industry peer group and significantly above the 50th percentile of the oil industry peer group. There was insufficient data at the 75th percentile of the oil industry peer group to determine where Mr. Sbiti was placed relative to this percentile. Mr. Kibsgaard’s base salary was increased from $575,000 to 600,000 Euros and Mr. Pai’s base salary was increased from 500,000 Euros to 600,000 Euros. These increases placed both Mr. Kibsgaard and Mr. Pai above the 75th percentile of both industry peer groups.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pays annual performance-based cash incentives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to drive profitable long-term Company growth and value for the stockholders.</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annual cash incentive for the named executive officers ranges from 0% to 75% to 0% to 100% of base salary, depending on the position. Half of the potential range is based on the satisfactory completion of personal objectives and the other half of the potential range is based on the achievement of Company financial objectives, which is described in the section entitled “2009 Annual Cash Incentive.” The incentive is performance-based and is paid out in February according to the achievement of both personal and financial objectives during the previous fiscal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half of the incentive has an incremental financial element, which can double the payout on achievement of superior financial results. This enhanced incentive is only applied to the CEO, operations and staff positions reporting to the CEO, to positions reporting to executive officers and to certain categories of operations and staff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actual level of the annual cash incentive award, which is subject to final approval by the Board. The CEO approves the personal objectives for the other executive officers, including the other named executive officers, and the Committee reviews and approves the results. The half of the incentive based on personal objectives has no incremental element.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2009 Annual Cash Incentive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2009 was based on earnings per share from continuing operations (“EPS”).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selected EPS as the most appropriate measure upon which to base the financial portion of the annual cash incentive because it believes that consistent EPS growth leads to long-term shareholder value and that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looks at factors including:</w:t>
      </w:r>
    </w:p>
    <w:p>
      <w:pPr>
        <w:spacing w:after="0" w:line="17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activity growth potential as measured by the number of rigs;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2006, 2007 and 2008, the EPS objectives had provided the opportunity to increase the financial half of the annual cash incentive from 100% to 300% of the incentive potential for those eligible, due to the significant potential for growth. However, due to the difficult business outlook at the beginning of 2009, the Compensation Committee decided that the maximum incentive opportunity for the financial-based portion of the annual incentive would be 200% instead of the 300% available in previous years. The Committee believed it was important to set EPS targets that, while very difficult to achieve in the context of the global recession, were realistic; however, the Committee decided not to retain the incentive potential of 300% in a year in which EPS was likely to be significantly less than the previous year. As in prior years, no cash incentive would be paid if the minimum 2009 EPS target was not met.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shows the formula for the financial half of the 2009 annual cash incentive:</w:t>
      </w:r>
    </w:p>
    <w:p>
      <w:pPr>
        <w:spacing w:after="0" w:line="212" w:lineRule="exact"/>
        <w:rPr>
          <w:sz w:val="20"/>
          <w:szCs w:val="20"/>
          <w:color w:val="auto"/>
        </w:rPr>
      </w:pPr>
    </w:p>
    <w:p>
      <w:pPr>
        <w:ind w:left="900" w:right="10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EPS of at least $2.50 was needed to trigger a payment of 25% of the financial half of the incentive payment, below which no financial incentive would be paid. The EPS target of $2.50 represented a 43% reduction against EPS of $4.42 actually earned for 2008.</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2009 EPS achieved had to be at least $3.25. This goal represented a 26% reduction against EPS actually earned for 2008.</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EPS of at least $3.75 was needed to achieve 200% of the financial half of the incentive, which represented a 15% reduction against EPS actually earned for 2008.</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EPS result achieved was between two targets, then the financial incentive payment would be pro-rated.</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2009, reported EPS was $2.61. In reviewing the Company’s performance against the target, as well as global economic conditions, the Committee excluded the charges of $0.17 per share taken in the second quarter of 2009 from the EPS calculation in determining whether executives were eligible for the financial half of the annual incentive. These charges related primarily to non-cash pension and other postretirement benefit curtailment charges following the reduction in the Company’s global workforce as a result of the difficult business environment. Consequently, the Compensation Committee decided that for the purposes of calculating the financial half of the cash incentive payment, it would use an EPS of $2.78. This resulted in a payout of 53% of the 100% target. The Compensation Committee adjusted for these charges because it believed that the decision to reduce the Company’s global workforce was in the Company’s best interest and that it was not appropriate to reduce the financial half of the cash incentive payment because of the adverse effects of these charges on the Company’s 2009 earnings.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cash incentive is related to personal objectives that are specific to each executive officer position and may relate to:</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award for the personal half of the cash incentive was based on the specific results each named executive officer achieved, as determined by the Compensation Committee.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of the named executive officers had objectives related to people, which included reducing headcount to match activity levels while at the same time retaining key talent, as well as targets related to diversity. These were mostly achieved.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named executive officers had objectives related to mergers and acquisitions, which were partly achieved.</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Messrs. Gould, Sbiti and Pai had objectives related to safety, which included launching a campaign on driving safety with a specific focus on fatigue management. These were to a large extent achieved. They also had objectives involving client relationships and collaborative projects, which were mainly achieved.</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Messrs. Sbiti, Pai and Kibsgaard had objectives on the “Excellence in Execution” quality initiative, which included improved service delivery and removing overlap in the field decision-making process. These were mostly achieved.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Ayat, Sbiti and Pai had objectives related to cost and cash management, which were partly achieved.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technology and new business development, which were mostly achieved.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Mr. Gould had additional objectives on research, development and manufacturing, including the rationalization of the product centers, and these were achieved.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Ayat had additional objectives on debt restructuring and currency management, which were mainly achieved.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2009 Annual Incentive as a Percentage of Base Salary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Total 2009</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Total Incentive</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8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Personal Half</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Personal Half</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Incentive Paid</w:t>
            </w: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Range</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Incentive</w:t>
            </w:r>
          </w:p>
        </w:tc>
        <w:tc>
          <w:tcPr>
            <w:tcW w:w="8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Incentive</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 a % of</w:t>
            </w:r>
          </w:p>
        </w:tc>
        <w:tc>
          <w:tcPr>
            <w:tcW w:w="0" w:type="dxa"/>
            <w:vAlign w:val="bottom"/>
          </w:tcPr>
          <w:p>
            <w:pPr>
              <w:spacing w:after="0"/>
              <w:rPr>
                <w:sz w:val="1"/>
                <w:szCs w:val="1"/>
                <w:color w:val="auto"/>
              </w:rPr>
            </w:pPr>
          </w:p>
        </w:tc>
      </w:tr>
      <w:tr>
        <w:trPr>
          <w:trHeight w:val="161"/>
        </w:trPr>
        <w:tc>
          <w:tcPr>
            <w:tcW w:w="3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Eligibility</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Eligibility</w:t>
            </w: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Achieved</w:t>
            </w:r>
          </w:p>
        </w:tc>
        <w:tc>
          <w:tcPr>
            <w:tcW w:w="8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Eligibility</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Achieved</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Base Salary</w:t>
            </w:r>
          </w:p>
        </w:tc>
        <w:tc>
          <w:tcPr>
            <w:tcW w:w="0" w:type="dxa"/>
            <w:vAlign w:val="bottom"/>
          </w:tcPr>
          <w:p>
            <w:pPr>
              <w:spacing w:after="0"/>
              <w:rPr>
                <w:sz w:val="1"/>
                <w:szCs w:val="1"/>
                <w:color w:val="auto"/>
              </w:rPr>
            </w:pPr>
          </w:p>
        </w:tc>
      </w:tr>
      <w:tr>
        <w:trPr>
          <w:trHeight w:val="201"/>
        </w:trPr>
        <w:tc>
          <w:tcPr>
            <w:tcW w:w="3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 Gould</w:t>
            </w: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0-100</w:t>
            </w:r>
          </w:p>
        </w:tc>
        <w:tc>
          <w:tcPr>
            <w:tcW w:w="8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w:t>
            </w:r>
          </w:p>
        </w:tc>
        <w:tc>
          <w:tcPr>
            <w:tcW w:w="82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 Ayat</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0-100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 Sbiti</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0-100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 Kibsgaard</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0-75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37.5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 Pai</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0-75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right"/>
              <w:ind w:right="400"/>
              <w:spacing w:after="0"/>
              <w:rPr>
                <w:sz w:val="20"/>
                <w:szCs w:val="20"/>
                <w:color w:val="auto"/>
              </w:rPr>
            </w:pPr>
            <w:r>
              <w:rPr>
                <w:rFonts w:ascii="Arial" w:cs="Arial" w:eastAsia="Arial" w:hAnsi="Arial"/>
                <w:sz w:val="18"/>
                <w:szCs w:val="18"/>
                <w:color w:val="auto"/>
              </w:rPr>
              <w:t>37.5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Long-Term Incentives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sole long-term incentive for executive officers as it believes that they align employee incentives with stockholders interests. Since a financial gain from stock options is possible only after the price of the common stock has increased, the Company believes that grants of stock options motivate executives and other employees toward behavior and activities that benefit all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in 2009</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makes grants of stock options to reward prior performance but also to retain executive officers and to provide incentives for future exceptional performance. The value of a stock option grant increases with the level of position, and for the CEO is typically the largest element of the total compensation package. In determining the value of grants of stock options to be made to executive officers, the Compensation Committee considers numerous factors, including:</w:t>
      </w:r>
    </w:p>
    <w:p>
      <w:pPr>
        <w:spacing w:after="0" w:line="18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review of compensation for comparable positions in the comparator groups;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Once the dollar value of the stock option grant for a named executive officer has been determined based on the above factors, it is converted into a number of stock options on a fair value basis using the Black-Scholes formula.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0" w:name="page31"/>
    <w:bookmarkEnd w:id="30"/>
    <w:p>
      <w:pPr>
        <w:ind w:right="8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2009 Stock Option Grants</w:t>
      </w:r>
      <w:r>
        <w:rPr>
          <w:rFonts w:ascii="Arial" w:cs="Arial" w:eastAsia="Arial" w:hAnsi="Arial"/>
          <w:sz w:val="18"/>
          <w:szCs w:val="18"/>
          <w:color w:val="auto"/>
        </w:rPr>
        <w:t>. The table below details the value and number of stock options granted in January 2009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fair value of each grant was estimated on the date of grant using the Black-Scholes option-pricing model with the weighted-average assumptions set forth in footnote 4 to the Summary Compensation Table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January 2009 Stock Option Grants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5"/>
                <w:szCs w:val="15"/>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9"/>
              </w:rPr>
              <w:t>Fair Value of Grant</w:t>
            </w: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w w:val="87"/>
              </w:rPr>
              <w:t>Number of Options 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8,800,000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Ayat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1,600,000</w:t>
            </w:r>
          </w:p>
        </w:tc>
        <w:tc>
          <w:tcPr>
            <w:tcW w:w="1660" w:type="dxa"/>
            <w:vAlign w:val="bottom"/>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3,200,000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 Kibsgaard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1,280,000</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1,088,000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determining the values for the 2009 stock option grants to the named executive officers, the Compensation Committee first took into consideration the factors listed immediately above, giving particular weight to the overall strong performance of the Company and of each named executive officer in 2008. In particular, the Compensation Committee considered that despite the very difficult operating environment in late 2008, Schlumberger was able to deliver more than $27 billion in revenue during the year, an increase over 2007 revenue, and EPS of $4.42, another increase over 2007. As a result, the Compensation Committee determined that it was appropriate to use the stock option grant values for options granted in January 2008 as guidance for setting the values of the 2009 LTI awards.</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light of the rapidly deteriorating economic conditions, the Compensation Committee in December 2008 requested Towers Perrin to provide market information about the likely compensation decisions to be made by companies in the difficult economic environment. Towers Perrin provided the results of its polls of companies in both the general industry and oil industry peer groups, conducted in December 2008 and early January 2009. The polls revealed that many of the companies were considering lowering their LTI value for awards in 2009, with an average reduction to targets of approximately 20%. The Compensation Committee also considered Schlumberger’s lower-than-expected growth and profitability in the fourth quarter of 2008, the significant fall in Schlumberger’s share price and an uncertain business outlook for 2009 due to extraordinarily difficult business conditions. Based on these considerations, and in spite of the Company’s overall strong operational performance in 2008, the Compensation Committee decided to reduce by 20% the stock option grant values in January 2009 relative to the target stock option award values established in January 2008. Mr. Boutte was the only exception to this, as the reduction in his LTI value was more than 20%.</w:t>
      </w:r>
    </w:p>
    <w:p>
      <w:pPr>
        <w:spacing w:after="0" w:line="10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April 2009 Stock Option Grants</w:t>
      </w:r>
      <w:r>
        <w:rPr>
          <w:rFonts w:ascii="Arial" w:cs="Arial" w:eastAsia="Arial" w:hAnsi="Arial"/>
          <w:sz w:val="18"/>
          <w:szCs w:val="18"/>
          <w:color w:val="auto"/>
        </w:rPr>
        <w:t>. Stock option grants were made to Messrs. Sbiti, Kibsgaard and Pai in April 2009 as a result of new appointments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responsibilities in connection with the management reorganization discussed above. The Compensation Committee decided that stock options awards of significant size should be granted to these three named executive officers also to recognize their valuable contributions to the Company, as well as for retention purposes. The value of stock options granted to Mr. Kibsgaard was designed to increase the number of his career stock options portfolio in light of his promotion and increased responsibilities.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table below sets forth the fair value and number of stock options granted to Messrs. Sbiti, Kibsgaard and Pai in April 2009. The fair value of each grant was estimated on the date of grant using the Black-Scholes option-pricing model with the weighted-average assumptions set forth in footnote 4 to the Summary Compensation Table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April 2009 Stock Option Grants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7"/>
              </w:rPr>
              <w:t>Fair Value of Grant</w:t>
            </w: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8"/>
              </w:rPr>
              <w:t>Number of Options 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1,940,000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 Kibsgaard</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1,600,000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3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970,000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80" w:type="dxa"/>
            <w:vAlign w:val="bottom"/>
          </w:tcPr>
          <w:p>
            <w:pPr>
              <w:jc w:val="right"/>
              <w:ind w:right="392"/>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Granting Process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Compensation Committee is responsible for option grants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12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NYSE on the date of grant, which has been the practice for many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 options generally have five-year ratable vesting, except for those granted to employees in France, which have four-year cliff vesting (meaning that all options vest at a single point in time). The Board and the Compensation Committee have the discretion to grant stock options with different vesting schedules as they deem necessary. 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financial and personal objectives and the desire to retain key employees while motivating future exceptional performance. The list of recommendations to the Compensation Committee is reviewed through the Executive Vice President of Schlumberger Limited and is approved by the Vice President of Personnel and the CEO.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Important Factors in Understanding Schlumberger’s Use of 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21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Stock Ownership Guidelines</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12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5"/>
                <w:szCs w:val="15"/>
                <w:color w:val="auto"/>
              </w:rPr>
            </w:pPr>
          </w:p>
        </w:tc>
        <w:tc>
          <w:tcPr>
            <w:tcW w:w="29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Stock Ownership Guidelines</w:t>
            </w:r>
          </w:p>
        </w:tc>
      </w:tr>
      <w:tr>
        <w:trPr>
          <w:trHeight w:val="201"/>
        </w:trPr>
        <w:tc>
          <w:tcPr>
            <w:tcW w:w="538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26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5 times base salary</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Officers</w:t>
            </w:r>
          </w:p>
        </w:tc>
        <w:tc>
          <w:tcPr>
            <w:tcW w:w="2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Key Staff Positions</w:t>
            </w:r>
          </w:p>
        </w:tc>
        <w:tc>
          <w:tcPr>
            <w:tcW w:w="2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5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Each executive covered by the guidelines must hold in shares at least 30% of their entire gain on every stock option exercise for a period of six months. Those who do not meet the guidelines after the six-month holding period must continue to hold the shares until the guidelines are met. There is no specified timeline to achieve the guidelines, as many of the executives do not exercise their stock options until the later part of their option term.</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Recoupment of Performance-based Cash Awards</w:t>
      </w:r>
    </w:p>
    <w:p>
      <w:pPr>
        <w:spacing w:after="0" w:line="17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line with Schlumberger’s aim to provide careers and to promote retention, retirement plans are provided, where possible, for all employees, including named executive officers, according to local market practice.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be a substitute for local government plans, which may vary considerably in terms of the replacement income they provide,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w:t>
      </w:r>
    </w:p>
    <w:p>
      <w:pPr>
        <w:spacing w:after="0" w:line="17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compensation that can be taken into account under qualified plans,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benefits that can be provided under qualified plans.</w:t>
      </w:r>
    </w:p>
    <w:p>
      <w:pPr>
        <w:spacing w:after="0" w:line="171"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Employment Agreements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of Accounting and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17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five named executive officers will not result in any material loss of tax deduction relative to the flexibility gained.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35" w:name="page36"/>
    <w:bookmarkEnd w:id="35"/>
    <w:p>
      <w:pPr>
        <w:jc w:val="center"/>
        <w:ind w:right="-2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right="49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20"/>
          </w:cols>
          <w:pgMar w:left="240" w:top="274" w:right="439" w:bottom="1440" w:gutter="0" w:footer="0" w:header="0"/>
        </w:sectPr>
      </w:pP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Michael E. Marks</w:t>
      </w:r>
    </w:p>
    <w:p>
      <w:pPr>
        <w:spacing w:after="0" w:line="174" w:lineRule="exact"/>
        <w:rPr>
          <w:sz w:val="20"/>
          <w:szCs w:val="20"/>
          <w:color w:val="auto"/>
        </w:rPr>
      </w:pPr>
    </w:p>
    <w:p>
      <w:pPr>
        <w:sectPr>
          <w:pgSz w:w="11900" w:h="16838" w:orient="portrait"/>
          <w:cols w:equalWidth="0" w:num="2">
            <w:col w:w="5340" w:space="720"/>
            <w:col w:w="5160"/>
          </w:cols>
          <w:pgMar w:left="240" w:top="274"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240" w:top="274" w:right="4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2009 to the Chief Executive Officer, the Chief Financial Officer and the next three most highly compensated executive officers as of December 31, 2009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Salary ($)</w:t>
            </w:r>
          </w:p>
        </w:tc>
        <w:tc>
          <w:tcPr>
            <w:tcW w:w="580" w:type="dxa"/>
            <w:vAlign w:val="bottom"/>
            <w:gridSpan w:val="2"/>
          </w:tcPr>
          <w:p>
            <w:pPr>
              <w:jc w:val="center"/>
              <w:ind w:left="157"/>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center"/>
              <w:ind w:left="134"/>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(7)</w:t>
            </w:r>
          </w:p>
        </w:tc>
        <w:tc>
          <w:tcPr>
            <w:tcW w:w="1060" w:type="dxa"/>
            <w:vAlign w:val="bottom"/>
            <w:gridSpan w:val="2"/>
          </w:tcPr>
          <w:p>
            <w:pPr>
              <w:jc w:val="center"/>
              <w:ind w:left="134"/>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22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Earnings ($)</w:t>
            </w:r>
            <w:r>
              <w:rPr>
                <w:rFonts w:ascii="Arial" w:cs="Arial" w:eastAsia="Arial" w:hAnsi="Arial"/>
                <w:sz w:val="20"/>
                <w:szCs w:val="20"/>
                <w:b w:val="1"/>
                <w:bCs w:val="1"/>
                <w:color w:val="auto"/>
                <w:w w:val="91"/>
                <w:vertAlign w:val="superscript"/>
              </w:rPr>
              <w:t>(8)</w:t>
            </w: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(9)</w:t>
            </w:r>
          </w:p>
        </w:tc>
        <w:tc>
          <w:tcPr>
            <w:tcW w:w="4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 Gould</w:t>
            </w:r>
          </w:p>
        </w:tc>
        <w:tc>
          <w:tcPr>
            <w:tcW w:w="560" w:type="dxa"/>
            <w:vAlign w:val="bottom"/>
            <w:gridSpan w:val="2"/>
            <w:shd w:val="clear" w:color="auto" w:fill="CCEEFF"/>
          </w:tcPr>
          <w:p>
            <w:pPr>
              <w:jc w:val="center"/>
              <w:ind w:left="132"/>
              <w:spacing w:after="0" w:line="201" w:lineRule="exact"/>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line="201" w:lineRule="exact"/>
              <w:rPr>
                <w:sz w:val="20"/>
                <w:szCs w:val="20"/>
                <w:color w:val="auto"/>
              </w:rPr>
            </w:pPr>
            <w:r>
              <w:rPr>
                <w:rFonts w:ascii="Arial" w:cs="Arial" w:eastAsia="Arial" w:hAnsi="Arial"/>
                <w:sz w:val="18"/>
                <w:szCs w:val="18"/>
                <w:color w:val="auto"/>
                <w:w w:val="87"/>
              </w:rPr>
              <w:t>8,650,280</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1,787,500</w:t>
            </w:r>
          </w:p>
        </w:tc>
        <w:tc>
          <w:tcPr>
            <w:tcW w:w="14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944,323</w:t>
            </w:r>
          </w:p>
        </w:tc>
        <w:tc>
          <w:tcPr>
            <w:tcW w:w="13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181,250</w:t>
            </w:r>
            <w:r>
              <w:rPr>
                <w:rFonts w:ascii="Arial" w:cs="Arial" w:eastAsia="Arial" w:hAnsi="Arial"/>
                <w:sz w:val="11"/>
                <w:szCs w:val="11"/>
                <w:color w:val="auto"/>
              </w:rPr>
              <w:t>(10)</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14,063,353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Chairman and Chief Executive Officer</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9,636,575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1,168,399</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14,867,474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9,128,400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1,360,865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17,330,572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00" w:type="dxa"/>
            <w:vAlign w:val="bottom"/>
            <w:gridSpan w:val="3"/>
          </w:tcPr>
          <w:p>
            <w:pPr>
              <w:spacing w:after="0"/>
              <w:rPr>
                <w:sz w:val="20"/>
                <w:szCs w:val="20"/>
                <w:color w:val="auto"/>
              </w:rPr>
            </w:pPr>
            <w:r>
              <w:rPr>
                <w:rFonts w:ascii="Arial" w:cs="Arial" w:eastAsia="Arial" w:hAnsi="Arial"/>
                <w:sz w:val="18"/>
                <w:szCs w:val="18"/>
                <w:color w:val="auto"/>
              </w:rPr>
              <w:t>S. Ayat</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1,590,125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536,250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400,685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116,559</w:t>
            </w:r>
            <w:r>
              <w:rPr>
                <w:rFonts w:ascii="Arial" w:cs="Arial" w:eastAsia="Arial" w:hAnsi="Arial"/>
                <w:sz w:val="11"/>
                <w:szCs w:val="11"/>
                <w:color w:val="auto"/>
              </w:rPr>
              <w:t>(11)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3,393,619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1,779,060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374,420</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161,064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3,379,544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Financial Officer</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2,282,100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845,300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213,223</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147,483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4,063,106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r>
              <w:rPr>
                <w:rFonts w:ascii="Arial" w:cs="Arial" w:eastAsia="Arial" w:hAnsi="Arial"/>
                <w:sz w:val="11"/>
                <w:szCs w:val="11"/>
                <w:color w:val="auto"/>
              </w:rPr>
              <w:t>(1), (2)</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1,178,927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5,025,000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783,981</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275,832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82,569</w:t>
            </w:r>
            <w:r>
              <w:rPr>
                <w:rFonts w:ascii="Arial" w:cs="Arial" w:eastAsia="Arial" w:hAnsi="Arial"/>
                <w:sz w:val="11"/>
                <w:szCs w:val="11"/>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7,346,309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1,032,478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3,263,400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443,953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547,786</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173,436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5,461,053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964,516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2,821,130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1,401,907</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851,533</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214,404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6,253,490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00" w:type="dxa"/>
            <w:vAlign w:val="bottom"/>
            <w:gridSpan w:val="3"/>
          </w:tcPr>
          <w:p>
            <w:pPr>
              <w:spacing w:after="0"/>
              <w:rPr>
                <w:sz w:val="20"/>
                <w:szCs w:val="20"/>
                <w:color w:val="auto"/>
              </w:rPr>
            </w:pPr>
            <w:r>
              <w:rPr>
                <w:rFonts w:ascii="Arial" w:cs="Arial" w:eastAsia="Arial" w:hAnsi="Arial"/>
                <w:sz w:val="18"/>
                <w:szCs w:val="18"/>
                <w:color w:val="auto"/>
              </w:rPr>
              <w:t>P. Kibsgaard</w:t>
            </w:r>
            <w:r>
              <w:rPr>
                <w:rFonts w:ascii="Arial" w:cs="Arial" w:eastAsia="Arial" w:hAnsi="Arial"/>
                <w:sz w:val="11"/>
                <w:szCs w:val="11"/>
                <w:color w:val="auto"/>
              </w:rPr>
              <w:t>(3), (4)</w:t>
            </w: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746,451</w:t>
            </w: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2,889,100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362,136</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128,129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202,964</w:t>
            </w:r>
            <w:r>
              <w:rPr>
                <w:rFonts w:ascii="Arial" w:cs="Arial" w:eastAsia="Arial" w:hAnsi="Arial"/>
                <w:sz w:val="11"/>
                <w:szCs w:val="11"/>
                <w:color w:val="auto"/>
              </w:rPr>
              <w:t>(13)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4,328,780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President Reservoir Characterization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Group</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r>
              <w:rPr>
                <w:rFonts w:ascii="Arial" w:cs="Arial" w:eastAsia="Arial" w:hAnsi="Arial"/>
                <w:sz w:val="11"/>
                <w:szCs w:val="11"/>
                <w:color w:val="auto"/>
              </w:rPr>
              <w:t>(5)</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785,945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2,051,485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403,814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363,433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126,423</w:t>
            </w:r>
            <w:r>
              <w:rPr>
                <w:rFonts w:ascii="Arial" w:cs="Arial" w:eastAsia="Arial" w:hAnsi="Arial"/>
                <w:sz w:val="11"/>
                <w:szCs w:val="11"/>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3,731,100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Operations</w:t>
            </w:r>
          </w:p>
        </w:tc>
        <w:tc>
          <w:tcPr>
            <w:tcW w:w="5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717,844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1,186,040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229,794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275,071</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207,566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2,616,315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Sbiti is paid in Euros. For purposes of this table, compensation has been determined using the 2009, 2008 and 2007 average exchange rates of 1 U.S. Dollar = 0.721 Euros, 1 U.S. Dollar = 0.678 Euros and 1 U.S. Dollar = 0.734 Euros,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Effective February 8, 2010, Mr. Sbiti changed roles and assumed the position of Senior Executive Advisor to the Chairman and Chief Executive Officer.</w:t>
      </w:r>
    </w:p>
    <w:p>
      <w:pPr>
        <w:spacing w:after="0" w:line="113"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Kibsgaard was paid for part of 2009 in Euros. For purposes of this Summary Compensation Table, compensation has been determined using the exchange rate of 1 U.S. Dollar = 0.721 Euros.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February 8, 2010, Mr. Kibsgaard was appointed Chief Operating Officer of Schlumberger Limited.</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Pai is paid in Euros. For purposes of this table, compensation has been determined using the 2009 and 2008 exchange rate of 1 U.S. Dollar = 0.721 and 1 U.S. Dollar = 0.678 Euros,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annual cash incentive paid to Schlumberger’s named executive officers is included in the column “Non-Equity Incentive Plan Compensation.”</w:t>
      </w:r>
    </w:p>
    <w:p>
      <w:pPr>
        <w:spacing w:after="0" w:line="113" w:lineRule="exact"/>
        <w:rPr>
          <w:rFonts w:ascii="Arial" w:cs="Arial" w:eastAsia="Arial" w:hAnsi="Arial"/>
          <w:sz w:val="16"/>
          <w:szCs w:val="16"/>
          <w:color w:val="auto"/>
        </w:rPr>
      </w:pPr>
    </w:p>
    <w:p>
      <w:pPr>
        <w:ind w:left="460" w:right="36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grants during the fiscal year ended December 31, 2009, computed in accordance with applicable accounting guidelines. The fair value of each grant is estimated on the date of grant using the Black-Scholes option-pricing model with the following weighted-average assumptions for the years indicated:</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Expected option life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6.9 years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 years</w:t>
            </w:r>
          </w:p>
        </w:tc>
      </w:tr>
      <w:tr>
        <w:trPr>
          <w:trHeight w:val="208"/>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value per share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0" w:type="dxa"/>
            <w:vAlign w:val="bottom"/>
            <w:shd w:val="clear" w:color="auto" w:fill="CCEEFF"/>
          </w:tcPr>
          <w:p>
            <w:pPr>
              <w:spacing w:after="0"/>
              <w:rPr>
                <w:sz w:val="19"/>
                <w:szCs w:val="19"/>
                <w:color w:val="auto"/>
              </w:rPr>
            </w:pPr>
          </w:p>
        </w:tc>
      </w:tr>
      <w:tr>
        <w:trPr>
          <w:trHeight w:val="363"/>
        </w:trPr>
        <w:tc>
          <w:tcPr>
            <w:tcW w:w="2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535"/>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ind w:left="4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2007, 2008 or 2009.</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are generally available to all of the Company’s exempt employees. Relocation assistance is provided to all employees on a Company-wide basis.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disclosed for Mr. Gould includes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22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101,400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180,600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181,250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591,307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7680" w:type="dxa"/>
            <w:vAlign w:val="bottom"/>
            <w:gridSpan w:val="2"/>
          </w:tcPr>
          <w:p>
            <w:pPr>
              <w:spacing w:after="0"/>
              <w:rPr>
                <w:sz w:val="20"/>
                <w:szCs w:val="20"/>
                <w:color w:val="auto"/>
              </w:rPr>
            </w:pPr>
            <w:r>
              <w:rPr>
                <w:rFonts w:ascii="Arial" w:cs="Arial" w:eastAsia="Arial" w:hAnsi="Arial"/>
                <w:sz w:val="18"/>
                <w:szCs w:val="18"/>
                <w:color w:val="auto"/>
              </w:rPr>
              <w:t>(11)  The amount disclosed for Mr. Ayat includes the following:</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vMerge w:val="restart"/>
          </w:tcPr>
          <w:p>
            <w:pPr>
              <w:spacing w:after="0"/>
              <w:rPr>
                <w:sz w:val="24"/>
                <w:szCs w:val="24"/>
                <w:color w:val="auto"/>
              </w:rPr>
            </w:pPr>
          </w:p>
        </w:tc>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2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24,600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in lieu of hotel expenses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Child education expenses and cost of annual trip home</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payout due to change in Company’s U.S. vacation accrual policy</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116,559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161,064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147,483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disclosed for Mr. Sbiti reflects contributions to the Schlumberger Non-U.S. Profit Sharing Plans.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disclosed for Mr. Kibsgaard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9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Relocation—mobility payment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Relocation expenses—miscellaneous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Tax preparation expenses in connection with international assignment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annual trip home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Allowance in lieu of hotel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Vacation payout due to overseas transfer</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202,964</w:t>
            </w:r>
          </w:p>
        </w:tc>
        <w:tc>
          <w:tcPr>
            <w:tcW w:w="0" w:type="dxa"/>
            <w:vAlign w:val="bottom"/>
          </w:tcPr>
          <w:p>
            <w:pPr>
              <w:spacing w:after="0"/>
              <w:rPr>
                <w:sz w:val="1"/>
                <w:szCs w:val="1"/>
                <w:color w:val="auto"/>
              </w:rPr>
            </w:pPr>
          </w:p>
        </w:tc>
      </w:tr>
      <w:tr>
        <w:trPr>
          <w:trHeight w:val="365"/>
        </w:trPr>
        <w:tc>
          <w:tcPr>
            <w:tcW w:w="9400" w:type="dxa"/>
            <w:vAlign w:val="bottom"/>
            <w:gridSpan w:val="2"/>
          </w:tcPr>
          <w:p>
            <w:pPr>
              <w:jc w:val="right"/>
              <w:ind w:right="3972"/>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38" w:name="page39"/>
    <w:bookmarkEnd w:id="3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The amount disclosed for Mr. Pai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401(k) Plan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Perquisites: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preparation expenses in connection with international assignment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Cost of annual trip home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207,566</w:t>
            </w:r>
          </w:p>
        </w:tc>
        <w:tc>
          <w:tcPr>
            <w:tcW w:w="0" w:type="dxa"/>
            <w:vAlign w:val="bottom"/>
          </w:tcPr>
          <w:p>
            <w:pPr>
              <w:spacing w:after="0"/>
              <w:rPr>
                <w:sz w:val="1"/>
                <w:szCs w:val="1"/>
                <w:color w:val="auto"/>
              </w:rPr>
            </w:pPr>
          </w:p>
        </w:tc>
      </w:tr>
      <w:tr>
        <w:trPr>
          <w:trHeight w:val="365"/>
        </w:trPr>
        <w:tc>
          <w:tcPr>
            <w:tcW w:w="8320" w:type="dxa"/>
            <w:vAlign w:val="bottom"/>
            <w:gridSpan w:val="2"/>
          </w:tcPr>
          <w:p>
            <w:pPr>
              <w:jc w:val="right"/>
              <w:ind w:right="2892"/>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for Fiscal Year 2009</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Closing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Estimated Possible Payouts Under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Market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6"/>
          </w:tcPr>
          <w:p>
            <w:pPr>
              <w:jc w:val="center"/>
              <w:ind w:right="220"/>
              <w:spacing w:after="0" w:line="149"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Price 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vMerge w:val="restart"/>
          </w:tcPr>
          <w:p>
            <w:pPr>
              <w:spacing w:after="0"/>
              <w:rPr>
                <w:sz w:val="2"/>
                <w:szCs w:val="2"/>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vMerge w:val="restart"/>
          </w:tcPr>
          <w:p>
            <w:pPr>
              <w:spacing w:after="0"/>
              <w:rPr>
                <w:sz w:val="2"/>
                <w:szCs w:val="2"/>
                <w:color w:val="auto"/>
              </w:rPr>
            </w:pPr>
          </w:p>
        </w:tc>
        <w:tc>
          <w:tcPr>
            <w:tcW w:w="80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6"/>
              </w:rPr>
              <w:t>Grant</w:t>
            </w:r>
          </w:p>
        </w:tc>
        <w:tc>
          <w:tcPr>
            <w:tcW w:w="840" w:type="dxa"/>
            <w:vAlign w:val="bottom"/>
            <w:gridSpan w:val="2"/>
            <w:vMerge w:val="restart"/>
          </w:tcPr>
          <w:p>
            <w:pPr>
              <w:jc w:val="center"/>
              <w:ind w:right="20"/>
              <w:spacing w:after="0" w:line="136"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Grant</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6"/>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Threshold ($)</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Target ($)</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 ($)</w:t>
            </w: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2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(3)</w:t>
            </w: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01/22/09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2,312,500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 Ayat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97,500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693,750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1,125,000</w:t>
            </w: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1,090,499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1,768,377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 Sbiti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15.490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517,851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839,759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 Kibsgaard</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01/22/09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76,630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545,250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884,189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 Pai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04/23/09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46.61</w:t>
            </w:r>
          </w:p>
        </w:tc>
        <w:tc>
          <w:tcPr>
            <w:tcW w:w="820" w:type="dxa"/>
            <w:vAlign w:val="bottom"/>
          </w:tcPr>
          <w:p>
            <w:pPr>
              <w:jc w:val="right"/>
              <w:spacing w:after="0"/>
              <w:rPr>
                <w:sz w:val="20"/>
                <w:szCs w:val="20"/>
                <w:color w:val="auto"/>
              </w:rPr>
            </w:pPr>
            <w:r>
              <w:rPr>
                <w:rFonts w:ascii="Arial" w:cs="Arial" w:eastAsia="Arial" w:hAnsi="Arial"/>
                <w:sz w:val="18"/>
                <w:szCs w:val="18"/>
                <w:color w:val="auto"/>
              </w:rPr>
              <w:t>16.170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columns show the possible payouts for each named executive officer for fiscal year 2009 based on goals set in January 2009. The possible payouts are performance-driven and completely at risk. The cash incentive amounts earned in 2009 and payable in 2010 are reflected in the “Non-Equity Incentive Plan” column of the Summary Compensation Table. For information regarding the annual cash incentive paid to Schlumberger’s named executive officers with respect to 2009 performance, please read “Compensation Discussion and Analysis—Cash Compensation—2009 Annual Incentive—Total Cash Compensation.”</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disclosed in this column include option grants made pursuant to the following stock option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Schlumberger 2008</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Schlumberger 2005</w:t>
            </w:r>
          </w:p>
        </w:tc>
      </w:tr>
      <w:tr>
        <w:trPr>
          <w:trHeight w:val="161"/>
        </w:trPr>
        <w:tc>
          <w:tcPr>
            <w:tcW w:w="70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Stock Option Plan</w:t>
            </w:r>
          </w:p>
        </w:tc>
        <w:tc>
          <w:tcPr>
            <w:tcW w:w="11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Stock Incentive Plan</w:t>
            </w:r>
          </w:p>
        </w:tc>
        <w:tc>
          <w:tcPr>
            <w:tcW w:w="2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 Ayat</w:t>
            </w:r>
          </w:p>
        </w:tc>
        <w:tc>
          <w:tcPr>
            <w:tcW w:w="2240" w:type="dxa"/>
            <w:vAlign w:val="bottom"/>
            <w:gridSpan w:val="2"/>
          </w:tcPr>
          <w:p>
            <w:pPr>
              <w:jc w:val="right"/>
              <w:ind w:right="112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 Kibsgaard</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60" w:right="20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stock options granted in January 2009 vest in five equal annual installments, except those granted in France, which are subject to four-year cliff vesting and are not subject to a profit cap.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2009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unexercised stock options outstanding for each of our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2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Number of Securities</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90"/>
              </w:rPr>
              <w:t>Option Grant</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520" w:type="dxa"/>
            <w:vAlign w:val="bottom"/>
          </w:tcPr>
          <w:p>
            <w:pPr>
              <w:spacing w:after="0"/>
              <w:rPr>
                <w:sz w:val="11"/>
                <w:szCs w:val="11"/>
                <w:color w:val="auto"/>
              </w:rPr>
            </w:pPr>
          </w:p>
        </w:tc>
        <w:tc>
          <w:tcPr>
            <w:tcW w:w="17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10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Date</w:t>
            </w:r>
          </w:p>
        </w:tc>
        <w:tc>
          <w:tcPr>
            <w:tcW w:w="12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 Exercisable</w:t>
            </w:r>
            <w:r>
              <w:rPr>
                <w:rFonts w:ascii="Arial" w:cs="Arial" w:eastAsia="Arial" w:hAnsi="Arial"/>
                <w:sz w:val="20"/>
                <w:szCs w:val="20"/>
                <w:b w:val="1"/>
                <w:bCs w:val="1"/>
                <w:color w:val="auto"/>
                <w:w w:val="90"/>
                <w:vertAlign w:val="superscript"/>
              </w:rPr>
              <w:t>(1)</w:t>
            </w:r>
          </w:p>
        </w:tc>
        <w:tc>
          <w:tcPr>
            <w:tcW w:w="520" w:type="dxa"/>
            <w:vAlign w:val="bottom"/>
          </w:tcPr>
          <w:p>
            <w:pPr>
              <w:spacing w:after="0"/>
              <w:rPr>
                <w:sz w:val="15"/>
                <w:szCs w:val="15"/>
                <w:color w:val="auto"/>
              </w:rPr>
            </w:pPr>
          </w:p>
        </w:tc>
        <w:tc>
          <w:tcPr>
            <w:tcW w:w="1760" w:type="dxa"/>
            <w:vAlign w:val="bottom"/>
            <w:gridSpan w:val="2"/>
          </w:tcPr>
          <w:p>
            <w:pPr>
              <w:jc w:val="center"/>
              <w:ind w:right="520"/>
              <w:spacing w:after="0" w:line="176" w:lineRule="exact"/>
              <w:rPr>
                <w:sz w:val="20"/>
                <w:szCs w:val="20"/>
                <w:color w:val="auto"/>
              </w:rPr>
            </w:pPr>
            <w:r>
              <w:rPr>
                <w:rFonts w:ascii="Arial" w:cs="Arial" w:eastAsia="Arial" w:hAnsi="Arial"/>
                <w:sz w:val="13"/>
                <w:szCs w:val="13"/>
                <w:b w:val="1"/>
                <w:bCs w:val="1"/>
                <w:color w:val="auto"/>
                <w:w w:val="90"/>
              </w:rPr>
              <w:t>(#) Unexercisable</w:t>
            </w:r>
            <w:r>
              <w:rPr>
                <w:rFonts w:ascii="Arial" w:cs="Arial" w:eastAsia="Arial" w:hAnsi="Arial"/>
                <w:sz w:val="20"/>
                <w:szCs w:val="20"/>
                <w:b w:val="1"/>
                <w:bCs w:val="1"/>
                <w:color w:val="auto"/>
                <w:w w:val="90"/>
                <w:vertAlign w:val="superscript"/>
              </w:rPr>
              <w:t>(1)</w:t>
            </w: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1/19/2005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58.455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680,000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37.845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10/19/2000</w:t>
            </w: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41.141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4/17/2002</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27.873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1/15/2003</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20.648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7/21/2004</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32.618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1/19/2005</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1/18/2006</w:t>
            </w:r>
          </w:p>
        </w:tc>
        <w:tc>
          <w:tcPr>
            <w:tcW w:w="1220" w:type="dxa"/>
            <w:vAlign w:val="bottom"/>
          </w:tcPr>
          <w:p>
            <w:pPr>
              <w:jc w:val="right"/>
              <w:spacing w:after="0"/>
              <w:rPr>
                <w:sz w:val="20"/>
                <w:szCs w:val="20"/>
                <w:color w:val="auto"/>
              </w:rPr>
            </w:pPr>
            <w:r>
              <w:rPr>
                <w:rFonts w:ascii="Arial" w:cs="Arial" w:eastAsia="Arial" w:hAnsi="Arial"/>
                <w:sz w:val="18"/>
                <w:szCs w:val="18"/>
                <w:color w:val="auto"/>
              </w:rPr>
              <w:t>45,000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15,000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54.235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1/17/2007</w:t>
            </w: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60,000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58.455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1/17/2008</w:t>
            </w:r>
          </w:p>
        </w:tc>
        <w:tc>
          <w:tcPr>
            <w:tcW w:w="1220" w:type="dxa"/>
            <w:vAlign w:val="bottom"/>
          </w:tcPr>
          <w:p>
            <w:pPr>
              <w:jc w:val="right"/>
              <w:spacing w:after="0"/>
              <w:rPr>
                <w:sz w:val="20"/>
                <w:szCs w:val="20"/>
                <w:color w:val="auto"/>
              </w:rPr>
            </w:pPr>
            <w:r>
              <w:rPr>
                <w:rFonts w:ascii="Arial" w:cs="Arial" w:eastAsia="Arial" w:hAnsi="Arial"/>
                <w:sz w:val="18"/>
                <w:szCs w:val="18"/>
                <w:color w:val="auto"/>
              </w:rPr>
              <w:t>12,000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48,000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84.930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1/22/2009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125,000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37.845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880" w:type="dxa"/>
            <w:vAlign w:val="bottom"/>
            <w:gridSpan w:val="3"/>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4/17/2002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27.873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1/15/2003</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20.648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32.618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58.455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37.845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45.880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1/19/2005</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32.455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1/18/2006</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20,000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54.235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7/19/2006</w:t>
            </w:r>
          </w:p>
        </w:tc>
        <w:tc>
          <w:tcPr>
            <w:tcW w:w="1220" w:type="dxa"/>
            <w:vAlign w:val="bottom"/>
          </w:tcPr>
          <w:p>
            <w:pPr>
              <w:jc w:val="right"/>
              <w:spacing w:after="0"/>
              <w:rPr>
                <w:sz w:val="20"/>
                <w:szCs w:val="20"/>
                <w:color w:val="auto"/>
              </w:rPr>
            </w:pPr>
            <w:r>
              <w:rPr>
                <w:rFonts w:ascii="Arial" w:cs="Arial" w:eastAsia="Arial" w:hAnsi="Arial"/>
                <w:sz w:val="18"/>
                <w:szCs w:val="18"/>
                <w:color w:val="auto"/>
              </w:rPr>
              <w:t>18,000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12,000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63.545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7/19/2016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1/17/2008</w:t>
            </w:r>
          </w:p>
        </w:tc>
        <w:tc>
          <w:tcPr>
            <w:tcW w:w="1220" w:type="dxa"/>
            <w:vAlign w:val="bottom"/>
          </w:tcPr>
          <w:p>
            <w:pPr>
              <w:jc w:val="right"/>
              <w:spacing w:after="0"/>
              <w:rPr>
                <w:sz w:val="20"/>
                <w:szCs w:val="20"/>
                <w:color w:val="auto"/>
              </w:rPr>
            </w:pPr>
            <w:r>
              <w:rPr>
                <w:rFonts w:ascii="Arial" w:cs="Arial" w:eastAsia="Arial" w:hAnsi="Arial"/>
                <w:sz w:val="18"/>
                <w:szCs w:val="18"/>
                <w:color w:val="auto"/>
              </w:rPr>
              <w:t>9,400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37,600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84.930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1/22/2009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37.845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4/23/2009</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45.880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4/23/2019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880" w:type="dxa"/>
            <w:vAlign w:val="bottom"/>
            <w:gridSpan w:val="3"/>
          </w:tcPr>
          <w:p>
            <w:pPr>
              <w:spacing w:after="0"/>
              <w:rPr>
                <w:sz w:val="9"/>
                <w:szCs w:val="9"/>
                <w:color w:val="auto"/>
              </w:rPr>
            </w:pPr>
          </w:p>
        </w:tc>
        <w:tc>
          <w:tcPr>
            <w:tcW w:w="1220" w:type="dxa"/>
            <w:vAlign w:val="bottom"/>
          </w:tcPr>
          <w:p>
            <w:pPr>
              <w:spacing w:after="0"/>
              <w:rPr>
                <w:sz w:val="9"/>
                <w:szCs w:val="9"/>
                <w:color w:val="auto"/>
              </w:rPr>
            </w:pPr>
          </w:p>
        </w:tc>
        <w:tc>
          <w:tcPr>
            <w:tcW w:w="2280" w:type="dxa"/>
            <w:vAlign w:val="bottom"/>
            <w:gridSpan w:val="3"/>
          </w:tcPr>
          <w:p>
            <w:pPr>
              <w:spacing w:after="0"/>
              <w:rPr>
                <w:sz w:val="9"/>
                <w:szCs w:val="9"/>
                <w:color w:val="auto"/>
              </w:rPr>
            </w:pPr>
          </w:p>
        </w:tc>
        <w:tc>
          <w:tcPr>
            <w:tcW w:w="102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4/17/2002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27.873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32.618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32.455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58,619</w:t>
            </w: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21,381</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54.235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7/19/2006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12,000</w:t>
            </w: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63.545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84.930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37.845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4/23/2009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45.880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those granted to employees in France, which have four-year cliff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for Fiscal Year 2009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1"/>
                <w:szCs w:val="11"/>
                <w:color w:val="auto"/>
              </w:rPr>
            </w:pPr>
          </w:p>
        </w:tc>
        <w:tc>
          <w:tcPr>
            <w:tcW w:w="22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Acquired on Exercise(#)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on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8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45,557,400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 Ayat</w:t>
            </w:r>
          </w:p>
        </w:tc>
        <w:tc>
          <w:tcPr>
            <w:tcW w:w="86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 Kibsgaard</w:t>
            </w:r>
          </w:p>
        </w:tc>
        <w:tc>
          <w:tcPr>
            <w:tcW w:w="86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Pension Benefits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17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Number</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Years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Present Value</w:t>
            </w: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34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Plan Name</w:t>
            </w: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Credited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Accumulated</w:t>
            </w:r>
          </w:p>
        </w:tc>
        <w:tc>
          <w:tcPr>
            <w:tcW w:w="5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61"/>
        </w:trPr>
        <w:tc>
          <w:tcPr>
            <w:tcW w:w="11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Service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 xml:space="preserve">Benefits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5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Last Fiscal Year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48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603,277</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6,889,027</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1,657,442</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3.25</w:t>
            </w:r>
          </w:p>
        </w:tc>
        <w:tc>
          <w:tcPr>
            <w:tcW w:w="920" w:type="dxa"/>
            <w:vAlign w:val="bottom"/>
          </w:tcPr>
          <w:p>
            <w:pPr>
              <w:jc w:val="right"/>
              <w:spacing w:after="0"/>
              <w:rPr>
                <w:sz w:val="20"/>
                <w:szCs w:val="20"/>
                <w:color w:val="auto"/>
              </w:rPr>
            </w:pPr>
            <w:r>
              <w:rPr>
                <w:rFonts w:ascii="Arial" w:cs="Arial" w:eastAsia="Arial" w:hAnsi="Arial"/>
                <w:sz w:val="18"/>
                <w:szCs w:val="18"/>
                <w:color w:val="auto"/>
              </w:rPr>
              <w:t>186,074</w:t>
            </w:r>
          </w:p>
        </w:tc>
        <w:tc>
          <w:tcPr>
            <w:tcW w:w="5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0.75</w:t>
            </w:r>
          </w:p>
        </w:tc>
        <w:tc>
          <w:tcPr>
            <w:tcW w:w="920" w:type="dxa"/>
            <w:vAlign w:val="bottom"/>
          </w:tcPr>
          <w:p>
            <w:pPr>
              <w:jc w:val="right"/>
              <w:spacing w:after="0"/>
              <w:rPr>
                <w:sz w:val="20"/>
                <w:szCs w:val="20"/>
                <w:color w:val="auto"/>
              </w:rPr>
            </w:pPr>
            <w:r>
              <w:rPr>
                <w:rFonts w:ascii="Arial" w:cs="Arial" w:eastAsia="Arial" w:hAnsi="Arial"/>
                <w:sz w:val="18"/>
                <w:szCs w:val="18"/>
                <w:color w:val="auto"/>
              </w:rPr>
              <w:t>58,194</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3.25</w:t>
            </w:r>
          </w:p>
        </w:tc>
        <w:tc>
          <w:tcPr>
            <w:tcW w:w="920" w:type="dxa"/>
            <w:vAlign w:val="bottom"/>
          </w:tcPr>
          <w:p>
            <w:pPr>
              <w:jc w:val="right"/>
              <w:spacing w:after="0"/>
              <w:rPr>
                <w:sz w:val="20"/>
                <w:szCs w:val="20"/>
                <w:color w:val="auto"/>
              </w:rPr>
            </w:pPr>
            <w:r>
              <w:rPr>
                <w:rFonts w:ascii="Arial" w:cs="Arial" w:eastAsia="Arial" w:hAnsi="Arial"/>
                <w:sz w:val="18"/>
                <w:szCs w:val="18"/>
                <w:color w:val="auto"/>
              </w:rPr>
              <w:t>696,395</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0.50</w:t>
            </w:r>
          </w:p>
        </w:tc>
        <w:tc>
          <w:tcPr>
            <w:tcW w:w="920" w:type="dxa"/>
            <w:vAlign w:val="bottom"/>
          </w:tcPr>
          <w:p>
            <w:pPr>
              <w:jc w:val="right"/>
              <w:spacing w:after="0"/>
              <w:rPr>
                <w:sz w:val="20"/>
                <w:szCs w:val="20"/>
                <w:color w:val="auto"/>
              </w:rPr>
            </w:pPr>
            <w:r>
              <w:rPr>
                <w:rFonts w:ascii="Arial" w:cs="Arial" w:eastAsia="Arial" w:hAnsi="Arial"/>
                <w:sz w:val="18"/>
                <w:szCs w:val="18"/>
                <w:color w:val="auto"/>
              </w:rPr>
              <w:t>4,209</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French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0.75</w:t>
            </w:r>
          </w:p>
        </w:tc>
        <w:tc>
          <w:tcPr>
            <w:tcW w:w="920" w:type="dxa"/>
            <w:vAlign w:val="bottom"/>
          </w:tcPr>
          <w:p>
            <w:pPr>
              <w:jc w:val="right"/>
              <w:spacing w:after="0"/>
              <w:rPr>
                <w:sz w:val="20"/>
                <w:szCs w:val="20"/>
                <w:color w:val="auto"/>
              </w:rPr>
            </w:pPr>
            <w:r>
              <w:rPr>
                <w:rFonts w:ascii="Arial" w:cs="Arial" w:eastAsia="Arial" w:hAnsi="Arial"/>
                <w:sz w:val="18"/>
                <w:szCs w:val="18"/>
                <w:color w:val="auto"/>
              </w:rPr>
              <w:t>137,307</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International Staff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10.60</w:t>
            </w:r>
          </w:p>
        </w:tc>
        <w:tc>
          <w:tcPr>
            <w:tcW w:w="920" w:type="dxa"/>
            <w:vAlign w:val="bottom"/>
          </w:tcPr>
          <w:p>
            <w:pPr>
              <w:jc w:val="right"/>
              <w:spacing w:after="0"/>
              <w:rPr>
                <w:sz w:val="20"/>
                <w:szCs w:val="20"/>
                <w:color w:val="auto"/>
              </w:rPr>
            </w:pPr>
            <w:r>
              <w:rPr>
                <w:rFonts w:ascii="Arial" w:cs="Arial" w:eastAsia="Arial" w:hAnsi="Arial"/>
                <w:sz w:val="18"/>
                <w:szCs w:val="18"/>
                <w:color w:val="auto"/>
              </w:rPr>
              <w:t>703,050</w:t>
            </w: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4060" w:type="dxa"/>
            <w:vAlign w:val="bottom"/>
            <w:gridSpan w:val="2"/>
          </w:tcPr>
          <w:p>
            <w:pPr>
              <w:spacing w:after="0"/>
              <w:rPr>
                <w:sz w:val="9"/>
                <w:szCs w:val="9"/>
                <w:color w:val="auto"/>
              </w:rPr>
            </w:pPr>
          </w:p>
        </w:tc>
        <w:tc>
          <w:tcPr>
            <w:tcW w:w="25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0.92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61,890</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1,931,900</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9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1,294,606</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1.75</w:t>
            </w:r>
          </w:p>
        </w:tc>
        <w:tc>
          <w:tcPr>
            <w:tcW w:w="920" w:type="dxa"/>
            <w:vAlign w:val="bottom"/>
          </w:tcPr>
          <w:p>
            <w:pPr>
              <w:jc w:val="right"/>
              <w:spacing w:after="0"/>
              <w:rPr>
                <w:sz w:val="20"/>
                <w:szCs w:val="20"/>
                <w:color w:val="auto"/>
              </w:rPr>
            </w:pPr>
            <w:r>
              <w:rPr>
                <w:rFonts w:ascii="Arial" w:cs="Arial" w:eastAsia="Arial" w:hAnsi="Arial"/>
                <w:sz w:val="18"/>
                <w:szCs w:val="18"/>
                <w:color w:val="auto"/>
              </w:rPr>
              <w:t>16,840</w:t>
            </w:r>
          </w:p>
        </w:tc>
        <w:tc>
          <w:tcPr>
            <w:tcW w:w="5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5.00</w:t>
            </w:r>
          </w:p>
        </w:tc>
        <w:tc>
          <w:tcPr>
            <w:tcW w:w="920" w:type="dxa"/>
            <w:vAlign w:val="bottom"/>
          </w:tcPr>
          <w:p>
            <w:pPr>
              <w:jc w:val="right"/>
              <w:spacing w:after="0"/>
              <w:rPr>
                <w:sz w:val="20"/>
                <w:szCs w:val="20"/>
                <w:color w:val="auto"/>
              </w:rPr>
            </w:pPr>
            <w:r>
              <w:rPr>
                <w:rFonts w:ascii="Arial" w:cs="Arial" w:eastAsia="Arial" w:hAnsi="Arial"/>
                <w:sz w:val="18"/>
                <w:szCs w:val="18"/>
                <w:color w:val="auto"/>
              </w:rPr>
              <w:t>96,538</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1.75</w:t>
            </w:r>
          </w:p>
        </w:tc>
        <w:tc>
          <w:tcPr>
            <w:tcW w:w="920" w:type="dxa"/>
            <w:vAlign w:val="bottom"/>
          </w:tcPr>
          <w:p>
            <w:pPr>
              <w:jc w:val="right"/>
              <w:spacing w:after="0"/>
              <w:rPr>
                <w:sz w:val="20"/>
                <w:szCs w:val="20"/>
                <w:color w:val="auto"/>
              </w:rPr>
            </w:pPr>
            <w:r>
              <w:rPr>
                <w:rFonts w:ascii="Arial" w:cs="Arial" w:eastAsia="Arial" w:hAnsi="Arial"/>
                <w:sz w:val="18"/>
                <w:szCs w:val="18"/>
                <w:color w:val="auto"/>
              </w:rPr>
              <w:t>96,434</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STC Supplementary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4.25</w:t>
            </w:r>
          </w:p>
        </w:tc>
        <w:tc>
          <w:tcPr>
            <w:tcW w:w="920" w:type="dxa"/>
            <w:vAlign w:val="bottom"/>
          </w:tcPr>
          <w:p>
            <w:pPr>
              <w:jc w:val="right"/>
              <w:spacing w:after="0"/>
              <w:rPr>
                <w:sz w:val="20"/>
                <w:szCs w:val="20"/>
                <w:color w:val="auto"/>
              </w:rPr>
            </w:pPr>
            <w:r>
              <w:rPr>
                <w:rFonts w:ascii="Arial" w:cs="Arial" w:eastAsia="Arial" w:hAnsi="Arial"/>
                <w:sz w:val="18"/>
                <w:szCs w:val="18"/>
                <w:color w:val="auto"/>
              </w:rPr>
              <w:t>136,875</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580"/>
              <w:spacing w:after="0"/>
              <w:rPr>
                <w:sz w:val="20"/>
                <w:szCs w:val="20"/>
                <w:color w:val="auto"/>
              </w:rPr>
            </w:pPr>
            <w:r>
              <w:rPr>
                <w:rFonts w:ascii="Arial" w:cs="Arial" w:eastAsia="Arial" w:hAnsi="Arial"/>
                <w:sz w:val="18"/>
                <w:szCs w:val="18"/>
                <w:color w:val="auto"/>
              </w:rPr>
              <w:t>SLB International Staff Pension Plan</w:t>
            </w:r>
          </w:p>
        </w:tc>
        <w:tc>
          <w:tcPr>
            <w:tcW w:w="3740" w:type="dxa"/>
            <w:vAlign w:val="bottom"/>
            <w:gridSpan w:val="4"/>
          </w:tcPr>
          <w:p>
            <w:pPr>
              <w:jc w:val="right"/>
              <w:ind w:right="580"/>
              <w:spacing w:after="0"/>
              <w:rPr>
                <w:sz w:val="20"/>
                <w:szCs w:val="20"/>
                <w:color w:val="auto"/>
              </w:rPr>
            </w:pPr>
            <w:r>
              <w:rPr>
                <w:rFonts w:ascii="Arial" w:cs="Arial" w:eastAsia="Arial" w:hAnsi="Arial"/>
                <w:sz w:val="18"/>
                <w:szCs w:val="18"/>
                <w:color w:val="auto"/>
              </w:rPr>
              <w:t>3.20</w:t>
            </w:r>
          </w:p>
        </w:tc>
        <w:tc>
          <w:tcPr>
            <w:tcW w:w="920" w:type="dxa"/>
            <w:vAlign w:val="bottom"/>
          </w:tcPr>
          <w:p>
            <w:pPr>
              <w:jc w:val="right"/>
              <w:spacing w:after="0"/>
              <w:rPr>
                <w:sz w:val="20"/>
                <w:szCs w:val="20"/>
                <w:color w:val="auto"/>
              </w:rPr>
            </w:pPr>
            <w:r>
              <w:rPr>
                <w:rFonts w:ascii="Arial" w:cs="Arial" w:eastAsia="Arial" w:hAnsi="Arial"/>
                <w:sz w:val="18"/>
                <w:szCs w:val="18"/>
                <w:color w:val="auto"/>
              </w:rPr>
              <w:t>102,167</w:t>
            </w: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40" w:type="dxa"/>
            <w:vAlign w:val="bottom"/>
          </w:tcPr>
          <w:p>
            <w:pPr>
              <w:jc w:val="right"/>
              <w:ind w:right="121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Years of</w:t>
            </w: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556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Plan Name</w:t>
            </w:r>
          </w:p>
        </w:tc>
        <w:tc>
          <w:tcPr>
            <w:tcW w:w="58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Credited</w:t>
            </w: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61"/>
        </w:trPr>
        <w:tc>
          <w:tcPr>
            <w:tcW w:w="1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Service (#)</w:t>
            </w: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 xml:space="preserve">Benefits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Last 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186,386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7.25</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177,821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817,632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253,622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32,257</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247,639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98"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6.50% at December 31, 2008 and 6.00% at December 31, 2009. Retirement in each case is assumed to be the earlier of normal retirement age or December 31, 2009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Tax-Qualified Pension Plans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Mr. Gould is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United States were affected by this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Both the SLB Supplementary Plan and the STC Supplementary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Gould is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3" w:right="239" w:bottom="1440" w:gutter="0" w:footer="0" w:header="0"/>
        </w:sectPr>
      </w:pPr>
    </w:p>
    <w:bookmarkStart w:id="43" w:name="page44"/>
    <w:bookmarkEnd w:id="4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Effective January 2006, the Company adopted the SLB French Supplementary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incentive and geographical coefficient) for each year in which the employee participates in the plan and the employee’s length of service. Since January 1, 1993, the benefit earned has been 2.4% of admissible compensation prior to completion of 15 years of service and 3.2% of admissible compensation for each year of service after 15 years. Those employees who remain with Schlumberger beyond 20 years of service have the first 15 years of service upgraded to 3.2%. Benefits are payable upon normal retirement age, at or after age 55, or upon early retirement, at or after age 50 with 20 years of service. These provisions continue in effect in respect to all benefits earned under the International Staff Pension Plan through December 31, 2009.</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Effective as of January 1, 2010, the benefit earned is equal to 3.5% of admissible compensation regardless of an employee’s years of service. Benefits earned on or after this date are payable upon normal retirement age, at or after age 60, or upon early retirement, at or after age 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Nonqualified Deferred Compensation</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Executive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50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Aggregate</w:t>
            </w:r>
          </w:p>
        </w:tc>
        <w:tc>
          <w:tcPr>
            <w:tcW w:w="5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5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Last FY</w:t>
            </w:r>
          </w:p>
        </w:tc>
        <w:tc>
          <w:tcPr>
            <w:tcW w:w="5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Last FY</w:t>
            </w:r>
          </w:p>
        </w:tc>
        <w:tc>
          <w:tcPr>
            <w:tcW w:w="5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Distributions</w:t>
            </w:r>
          </w:p>
        </w:tc>
        <w:tc>
          <w:tcPr>
            <w:tcW w:w="52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Last FYE</w:t>
            </w:r>
          </w:p>
        </w:tc>
        <w:tc>
          <w:tcPr>
            <w:tcW w:w="0" w:type="dxa"/>
            <w:vAlign w:val="bottom"/>
          </w:tcPr>
          <w:p>
            <w:pPr>
              <w:spacing w:after="0"/>
              <w:rPr>
                <w:sz w:val="1"/>
                <w:szCs w:val="1"/>
                <w:color w:val="auto"/>
              </w:rPr>
            </w:pPr>
          </w:p>
        </w:tc>
      </w:tr>
      <w:tr>
        <w:trPr>
          <w:trHeight w:val="176"/>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22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202,800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1,284,994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6,721,254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 Ayat</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49,200</w:t>
            </w:r>
          </w:p>
        </w:tc>
        <w:tc>
          <w:tcPr>
            <w:tcW w:w="820" w:type="dxa"/>
            <w:vAlign w:val="bottom"/>
          </w:tcPr>
          <w:p>
            <w:pPr>
              <w:jc w:val="right"/>
              <w:spacing w:after="0"/>
              <w:rPr>
                <w:sz w:val="20"/>
                <w:szCs w:val="20"/>
                <w:color w:val="auto"/>
              </w:rPr>
            </w:pPr>
            <w:r>
              <w:rPr>
                <w:rFonts w:ascii="Arial" w:cs="Arial" w:eastAsia="Arial" w:hAnsi="Arial"/>
                <w:sz w:val="18"/>
                <w:szCs w:val="18"/>
                <w:color w:val="auto"/>
              </w:rPr>
              <w:t>41,000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305,650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1,222,998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 Kibsgaard</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14,069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102,740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79,041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Company contributions and aggregate balances include amounts contributed by Schlumberger to nonqualified deferred compensation plans in 2010 with respect to fiscal 2009 compensation. For more information on the amount of Company contributions, please read footnotes (10) through (14) to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maintains the following nonqualified deferred compensation plans for employees, including executive officers:</w:t>
      </w:r>
    </w:p>
    <w:p>
      <w:pPr>
        <w:spacing w:after="0" w:line="21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SLB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STC Supplementary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SLB Supplementary Plan provides certain non-qualified defined contribution benefits for eligible employees, including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Restoration Savings Plans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Short-Term Fixed Income Fund under the Schlumberger Master Profit Sharing Trust. Matching contributions and related interest vest based on the employee’s years of service, as follows: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International Staff Profit Sharing Plan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Additional Payments Upon Termination or Change in Control</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Phased Retirement</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terminates. The following summary reflects amendments made by the Board of Directors in January 2008 which provided for accelerated vesting on a termination due to death or disability.</w:t>
      </w:r>
    </w:p>
    <w:p>
      <w:pPr>
        <w:spacing w:after="0" w:line="176" w:lineRule="exact"/>
        <w:rPr>
          <w:sz w:val="20"/>
          <w:szCs w:val="20"/>
          <w:color w:val="auto"/>
        </w:rPr>
      </w:pPr>
    </w:p>
    <w:p>
      <w:pPr>
        <w:spacing w:after="0"/>
        <w:tabs>
          <w:tab w:leader="none" w:pos="5620" w:val="left"/>
          <w:tab w:leader="none" w:pos="86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060" w:space="720"/>
            <w:col w:w="3620"/>
          </w:cols>
          <w:pgMar w:left="240" w:top="280" w:right="259" w:bottom="1440" w:gutter="0" w:footer="0" w:header="0"/>
          <w:type w:val="continuous"/>
        </w:sect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Termination by the Company for cause</w:t>
      </w:r>
      <w:r>
        <w:rPr>
          <w:sz w:val="20"/>
          <w:szCs w:val="20"/>
          <w:color w:val="auto"/>
        </w:rPr>
        <w:tab/>
      </w:r>
      <w:r>
        <w:rPr>
          <w:rFonts w:ascii="Arial" w:cs="Arial" w:eastAsia="Arial" w:hAnsi="Arial"/>
          <w:sz w:val="18"/>
          <w:szCs w:val="18"/>
          <w:color w:val="auto"/>
        </w:rPr>
        <w:t>Options forfeited immediately.</w:t>
      </w:r>
      <w:r>
        <w:rPr>
          <w:sz w:val="20"/>
          <w:szCs w:val="20"/>
          <w:color w:val="auto"/>
        </w:rPr>
        <w:tab/>
      </w:r>
      <w:r>
        <w:rPr>
          <w:rFonts w:ascii="Arial" w:cs="Arial" w:eastAsia="Arial" w:hAnsi="Arial"/>
          <w:sz w:val="15"/>
          <w:szCs w:val="15"/>
          <w:color w:val="auto"/>
        </w:rPr>
        <w:t>None.</w:t>
      </w:r>
    </w:p>
    <w:p>
      <w:pPr>
        <w:spacing w:after="0" w:line="117"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Disability</w:t>
      </w:r>
      <w:r>
        <w:rPr>
          <w:sz w:val="20"/>
          <w:szCs w:val="20"/>
          <w:color w:val="auto"/>
        </w:rPr>
        <w:tab/>
      </w:r>
      <w:r>
        <w:rPr>
          <w:rFonts w:ascii="Arial" w:cs="Arial" w:eastAsia="Arial" w:hAnsi="Arial"/>
          <w:sz w:val="18"/>
          <w:szCs w:val="18"/>
          <w:color w:val="auto"/>
        </w:rPr>
        <w:t>Full vesting.</w:t>
      </w:r>
      <w:r>
        <w:rPr>
          <w:sz w:val="20"/>
          <w:szCs w:val="20"/>
          <w:color w:val="auto"/>
        </w:rPr>
        <w:tab/>
      </w:r>
      <w:r>
        <w:rPr>
          <w:rFonts w:ascii="Arial" w:cs="Arial" w:eastAsia="Arial" w:hAnsi="Arial"/>
          <w:sz w:val="16"/>
          <w:szCs w:val="16"/>
          <w:color w:val="auto"/>
        </w:rPr>
        <w:t>Exercisable at any time during the 60-month period</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after termination by disability or during the</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remainder of the option period, whichever is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shorter.*</w:t>
      </w:r>
    </w:p>
    <w:p>
      <w:pPr>
        <w:spacing w:after="0" w:line="111"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8"/>
          <w:szCs w:val="18"/>
          <w:color w:val="auto"/>
        </w:rPr>
        <w:t>Retirement (as defined in the applicable plan)</w:t>
      </w:r>
      <w:r>
        <w:rPr>
          <w:sz w:val="20"/>
          <w:szCs w:val="20"/>
          <w:color w:val="auto"/>
        </w:rPr>
        <w:tab/>
      </w:r>
      <w:r>
        <w:rPr>
          <w:rFonts w:ascii="Arial" w:cs="Arial" w:eastAsia="Arial" w:hAnsi="Arial"/>
          <w:sz w:val="18"/>
          <w:szCs w:val="18"/>
          <w:color w:val="auto"/>
        </w:rPr>
        <w:t>No additional vesting.</w:t>
      </w:r>
      <w:r>
        <w:rPr>
          <w:sz w:val="20"/>
          <w:szCs w:val="20"/>
          <w:color w:val="auto"/>
        </w:rPr>
        <w:tab/>
      </w:r>
      <w:r>
        <w:rPr>
          <w:rFonts w:ascii="Arial" w:cs="Arial" w:eastAsia="Arial" w:hAnsi="Arial"/>
          <w:sz w:val="15"/>
          <w:szCs w:val="15"/>
          <w:color w:val="auto"/>
        </w:rPr>
        <w:t>Exercisable (to the extent exercisable at</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termination) at any time during the 60-month</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period after termination by retirement or during the</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remainder of the option period, whichever is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shorter.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20" w:type="dxa"/>
            <w:vAlign w:val="bottom"/>
          </w:tcPr>
          <w:p>
            <w:pPr>
              <w:spacing w:after="0"/>
              <w:rPr>
                <w:sz w:val="15"/>
                <w:szCs w:val="15"/>
                <w:color w:val="auto"/>
              </w:rPr>
            </w:pP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Vesting</w:t>
            </w:r>
          </w:p>
        </w:tc>
        <w:tc>
          <w:tcPr>
            <w:tcW w:w="240" w:type="dxa"/>
            <w:vAlign w:val="bottom"/>
          </w:tcPr>
          <w:p>
            <w:pPr>
              <w:spacing w:after="0"/>
              <w:rPr>
                <w:sz w:val="15"/>
                <w:szCs w:val="15"/>
                <w:color w:val="auto"/>
              </w:rPr>
            </w:pPr>
          </w:p>
        </w:tc>
        <w:tc>
          <w:tcPr>
            <w:tcW w:w="35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Post-Employment Exercise Period</w:t>
            </w:r>
          </w:p>
        </w:tc>
      </w:tr>
      <w:tr>
        <w:trPr>
          <w:trHeight w:val="201"/>
        </w:trPr>
        <w:tc>
          <w:tcPr>
            <w:tcW w:w="3780" w:type="dxa"/>
            <w:vAlign w:val="bottom"/>
          </w:tcPr>
          <w:p>
            <w:pPr>
              <w:spacing w:after="0" w:line="201" w:lineRule="exact"/>
              <w:rPr>
                <w:sz w:val="20"/>
                <w:szCs w:val="20"/>
                <w:color w:val="auto"/>
              </w:rPr>
            </w:pPr>
            <w:r>
              <w:rPr>
                <w:rFonts w:ascii="Arial" w:cs="Arial" w:eastAsia="Arial" w:hAnsi="Arial"/>
                <w:sz w:val="18"/>
                <w:szCs w:val="18"/>
                <w:color w:val="auto"/>
              </w:rPr>
              <w:t>Death</w:t>
            </w:r>
          </w:p>
        </w:tc>
        <w:tc>
          <w:tcPr>
            <w:tcW w:w="2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Full vesting.</w:t>
            </w:r>
          </w:p>
        </w:tc>
        <w:tc>
          <w:tcPr>
            <w:tcW w:w="24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9"/>
              </w:rPr>
              <w:t>Exercisable at any time during the 60-month</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w w:val="95"/>
              </w:rPr>
              <w:t>period after termination by death or during the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remainder of the option period, whichever is</w:t>
            </w:r>
          </w:p>
        </w:tc>
      </w:tr>
      <w:tr>
        <w:trPr>
          <w:trHeight w:val="222"/>
        </w:trPr>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4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ind w:right="140" w:firstLine="8"/>
        <w:spacing w:after="0" w:line="255"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171"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intrinsic value of the unvested stock options held by each named executive officer as of December 31, 2009 that would become vested upon the occurrence of any of the events described in the preceding paragraph.</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9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Amount ($)</w:t>
            </w:r>
            <w:r>
              <w:rPr>
                <w:rFonts w:ascii="Arial" w:cs="Arial" w:eastAsia="Arial" w:hAnsi="Arial"/>
                <w:sz w:val="22"/>
                <w:szCs w:val="22"/>
                <w:b w:val="1"/>
                <w:bCs w:val="1"/>
                <w:color w:val="auto"/>
                <w:w w:val="93"/>
                <w:vertAlign w:val="superscript"/>
              </w:rPr>
              <w:t>(1)</w:t>
            </w:r>
          </w:p>
        </w:tc>
        <w:tc>
          <w:tcPr>
            <w:tcW w:w="20" w:type="dxa"/>
            <w:vAlign w:val="bottom"/>
          </w:tcPr>
          <w:p>
            <w:pPr>
              <w:spacing w:after="0"/>
              <w:rPr>
                <w:sz w:val="21"/>
                <w:szCs w:val="21"/>
                <w:color w:val="auto"/>
              </w:rPr>
            </w:pPr>
          </w:p>
        </w:tc>
      </w:tr>
      <w:tr>
        <w:trPr>
          <w:trHeight w:val="210"/>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21,637,300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3,966,550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10,780,625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4,881,140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3,719,056</w:t>
            </w:r>
          </w:p>
        </w:tc>
        <w:tc>
          <w:tcPr>
            <w:tcW w:w="20" w:type="dxa"/>
            <w:vAlign w:val="bottom"/>
          </w:tcPr>
          <w:p>
            <w:pPr>
              <w:spacing w:after="0"/>
              <w:rPr>
                <w:sz w:val="18"/>
                <w:szCs w:val="18"/>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2009 ($65.09) and the exercise price of unvested stock options as of such date.</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Plans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280" w:right="3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&amp; 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 or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Non-Equity</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Paid in</w:t>
            </w:r>
          </w:p>
        </w:tc>
        <w:tc>
          <w:tcPr>
            <w:tcW w:w="4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124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1"/>
                <w:szCs w:val="11"/>
                <w:color w:val="auto"/>
              </w:rPr>
            </w:pPr>
          </w:p>
        </w:tc>
        <w:tc>
          <w:tcPr>
            <w:tcW w:w="140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40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2"/>
              </w:rPr>
              <w:t>Awards</w:t>
            </w: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4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left="31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98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81"/>
              </w:rPr>
              <w:t>($)</w:t>
            </w:r>
          </w:p>
        </w:tc>
        <w:tc>
          <w:tcPr>
            <w:tcW w:w="8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2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110,228</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Jamie S. Gorelick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 Kudryavtsev</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Adrian Lajous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10,612</w:t>
            </w:r>
            <w:r>
              <w:rPr>
                <w:rFonts w:ascii="Arial" w:cs="Arial" w:eastAsia="Arial" w:hAnsi="Arial"/>
                <w:sz w:val="11"/>
                <w:szCs w:val="11"/>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Michael Marks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12,862</w:t>
            </w:r>
            <w:r>
              <w:rPr>
                <w:rFonts w:ascii="Arial" w:cs="Arial" w:eastAsia="Arial" w:hAnsi="Arial"/>
                <w:sz w:val="11"/>
                <w:szCs w:val="11"/>
                <w:color w:val="auto"/>
              </w:rPr>
              <w:t>(6)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243,090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11,565</w:t>
            </w:r>
            <w:r>
              <w:rPr>
                <w:rFonts w:ascii="Arial" w:cs="Arial" w:eastAsia="Arial" w:hAnsi="Arial"/>
                <w:sz w:val="11"/>
                <w:szCs w:val="11"/>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Tore I. Sandvold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Nicolas Seydoux</w:t>
            </w:r>
            <w:r>
              <w:rPr>
                <w:rFonts w:ascii="Arial" w:cs="Arial" w:eastAsia="Arial" w:hAnsi="Arial"/>
                <w:sz w:val="11"/>
                <w:szCs w:val="11"/>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32,500</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r>
              <w:rPr>
                <w:rFonts w:ascii="Arial" w:cs="Arial" w:eastAsia="Arial" w:hAnsi="Arial"/>
                <w:sz w:val="11"/>
                <w:szCs w:val="11"/>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Directors receive an annual cash retainer of $100,000 plus an additional annual fee of $10,000 for membership on each committee. The chair of each committee receives an additional annual fee of $20,000 in lieu of the additional annual fee of $10,000 for committee membership. Directors can elect to have their annual cash retainer paid in stock or deferred into the Directors’ Deferred Compensation Plan.</w:t>
      </w:r>
    </w:p>
    <w:p>
      <w:pPr>
        <w:spacing w:after="0" w:line="25"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Schlumberger’s current practice is to grant each non-employee director shares of Schlumberger common stock each April. On April 30, 2009, Schlumberger granted each non-employee director 2,250 shares of Schlumberger common stock. Each amount set forth in the “Stock Awards” column in the Director Compensation table is equal to the number of shares of common stock issued, multiplied by $48.99, which was the closing price of Schlumberger’s common stock on April 30, 2009,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37" w:lineRule="exact"/>
        <w:rPr>
          <w:rFonts w:ascii="Arial" w:cs="Arial" w:eastAsia="Arial" w:hAnsi="Arial"/>
          <w:sz w:val="16"/>
          <w:szCs w:val="16"/>
          <w:color w:val="auto"/>
        </w:rPr>
      </w:pPr>
    </w:p>
    <w:p>
      <w:pPr>
        <w:ind w:left="460" w:right="200"/>
        <w:spacing w:after="0" w:line="332" w:lineRule="auto"/>
        <w:rPr>
          <w:rFonts w:ascii="Arial" w:cs="Arial" w:eastAsia="Arial" w:hAnsi="Arial"/>
          <w:sz w:val="16"/>
          <w:szCs w:val="16"/>
          <w:color w:val="auto"/>
        </w:rPr>
      </w:pPr>
      <w:r>
        <w:rPr>
          <w:rFonts w:ascii="Arial" w:cs="Arial" w:eastAsia="Arial" w:hAnsi="Arial"/>
          <w:sz w:val="16"/>
          <w:szCs w:val="16"/>
          <w:color w:val="auto"/>
        </w:rPr>
        <w:t>A non-employee director may elect to defer the receipt of all or part of a stock award. For information on the number of shares of Schlumberger common stock deferred by directors, please read the footnotes to the table under “Security Ownership by Management” on page 6.</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Schlumberger reimburses non-management directors for travel and other business expenses incurred in the performance of their services for Schlumberger.</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Seydoux was a director for part of 2009. He did not stand for re-election at the 2009 Annual General Meeting of Stockholders.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Stuntz is not standing for re-election at the 2010 Annual General Meeting of Stockholders.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amounts paid for spousal airfare and hotel accommodations in connection with a Board meeting.</w:t>
      </w:r>
    </w:p>
    <w:p>
      <w:pPr>
        <w:spacing w:after="0" w:line="165" w:lineRule="exact"/>
        <w:rPr>
          <w:rFonts w:ascii="Arial" w:cs="Arial" w:eastAsia="Arial" w:hAnsi="Arial"/>
          <w:sz w:val="18"/>
          <w:szCs w:val="18"/>
          <w:color w:val="auto"/>
        </w:rPr>
      </w:pPr>
    </w:p>
    <w:p>
      <w:pPr>
        <w:ind w:left="5020" w:hanging="181"/>
        <w:spacing w:after="0"/>
        <w:tabs>
          <w:tab w:leader="none" w:pos="5020" w:val="left"/>
        </w:tabs>
        <w:numPr>
          <w:ilvl w:val="1"/>
          <w:numId w:val="51"/>
        </w:numPr>
        <w:rPr>
          <w:rFonts w:ascii="Arial" w:cs="Arial" w:eastAsia="Arial" w:hAnsi="Arial"/>
          <w:sz w:val="18"/>
          <w:szCs w:val="18"/>
          <w:b w:val="1"/>
          <w:bCs w:val="1"/>
          <w:color w:val="344274"/>
        </w:rPr>
      </w:pPr>
      <w:r>
        <w:rPr>
          <w:rFonts w:ascii="Arial" w:cs="Arial" w:eastAsia="Arial" w:hAnsi="Arial"/>
          <w:sz w:val="18"/>
          <w:szCs w:val="18"/>
          <w:b w:val="1"/>
          <w:bCs w:val="1"/>
          <w:color w:val="344274"/>
        </w:rPr>
        <w:t>Financial Statements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Upon completion of the audit procedures to be performed by PricewaterhouseCoopers LLP, the following are submitted to the Company’s stockholders pursuant to Schlumberger’s Articles of Incorporation:</w:t>
      </w:r>
    </w:p>
    <w:p>
      <w:pPr>
        <w:spacing w:after="0" w:line="17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2009, as audited by PricewaterhouseCoopers LLP,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9" w:name="page50"/>
    <w:bookmarkEnd w:id="49"/>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majority of the votes cast is required for the approval of the financial results as set forth in the financial statements and of the declaration of dividends by the Board of Directors as reflected in the Company’s 2009 Annual Report to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Approval of the 2010 Schlumberger Omnibus Stock Incentive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requesting that our stockholders vote in favor of the adoption of the 2010 Schlumberger Omnibus Stock Incentive Plan (the “2010 Incentive Plan”).</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Most of our competitors employ a wide range of incentive instruments. We have traditionally granted only stock options or restricted stock units covering shares of common stock. Approval of the 2010 Incentive Plan would provide for 30 million additional shares for Schlumberger to grant long-term incentives to its employees and would provide for additional flexibility with regard to award types and the terms and conditions of awards.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the demand for oilfield services starts to pick up, we will be competing to hire or retain personnel to meet the increased activity level. As a result, we are seeking approval of the 2010 Incentive Plan to provide additional shares issuable to employees, with flexibility in the types and terms of incentive instruments that we issue, in order to remain competitive. In addition, as of December 31, 2009, there are only 8,726,616 shares available in the aggregate for grants under our 2001 Stock Option Plan, our 2005 Stock Incentive Plan and our 2008 Stock Incentive Plan.</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2010 Incentive Plan provides for the grant to our employees of stock options, cash, stock appreciation rights, and stock awards, which may include restricted stock or restricted stock units. A stock option gives the holder the right to purchase a specified number of shares of stock, at a fixed exercise price, in the future. Stock appreciation rights give the holder the right to receive a payment, in cash or shares of stock, equal to the fair market value of a specified number of shares of stock on the date the right is exercised over a specified strike price. Restricted stock is common stock that is restricted or subject to forfeiture provisions. Restricted stock units are units evidencing the right to receive shares of common stock that are restricted or subject to forfeiture provisions.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Schlumberger’s Board of Directors approved the 2010 Incentive Plan on January 21, 2010, subject to stockholder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Stockholder Vote</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2010 Incentive Plan, provided that the total votes cast on the proposal represents over 50% of all outstanding shares. </w:t>
      </w:r>
      <w:r>
        <w:rPr>
          <w:rFonts w:ascii="Arial" w:cs="Arial" w:eastAsia="Arial" w:hAnsi="Arial"/>
          <w:sz w:val="16"/>
          <w:szCs w:val="16"/>
          <w:i w:val="1"/>
          <w:iCs w:val="1"/>
          <w:color w:val="auto"/>
        </w:rPr>
        <w:t>Brokers do not have discretion to vote on this proposal without your instruction. If you do not instruct your broker how to vote on this</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2010 Incentive Plan</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summary of certain major features of the 2010 Incentive Plan is subject to the specific provisions contained in the full text of the 2010 Incentive Plan, which is attached to this proxy statement as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Purpose of the 2010 Incentive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approved the 2010 Incentive Plan, subject to stockholder approval, for the purpose of providing incentives to our employees in order to:</w:t>
      </w:r>
    </w:p>
    <w:p>
      <w:pPr>
        <w:spacing w:after="0" w:line="235"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particularly valuable;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encourage the sense of proprietorship of such persons;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promote the active interest of such persons in our growth and financial success.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Summary of Key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key provisions of the 2010 Incentive Plan.</w:t>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Award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types of awards (collectively “awards”) are available for issuance under the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00"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Non-qualified and incentive stock options.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Stock appreciation rights.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Stock awards, including restricted stock and restricted stock units.</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Cash awards.</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Awards may be granted under the 2010 Incentive Plan on or before April 6, 2020.</w:t>
      </w:r>
    </w:p>
    <w:p>
      <w:pPr>
        <w:spacing w:after="0" w:line="211"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162(m) Share Limits: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162(m) of the Internal Revenue Code of 1986, as amended (the “Code”), requires among other things that the maximum number of shares and cash awarded to an individual must be approved by stockholders in order for the awards under the 2010 Incentive Plan to be eligible for treatment as performance-based compensation that will not be subject to the $1 million limitation on tax deductibility for compensation paid to specified senior executives.</w:t>
      </w:r>
    </w:p>
    <w:p>
      <w:pPr>
        <w:spacing w:after="0" w:line="116"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ind w:left="4340" w:right="460"/>
        <w:spacing w:after="0" w:line="268" w:lineRule="auto"/>
        <w:rPr>
          <w:sz w:val="20"/>
          <w:szCs w:val="20"/>
          <w:color w:val="auto"/>
        </w:rPr>
      </w:pPr>
      <w:r>
        <w:rPr>
          <w:rFonts w:ascii="Arial" w:cs="Arial" w:eastAsia="Arial" w:hAnsi="Arial"/>
          <w:sz w:val="18"/>
          <w:szCs w:val="18"/>
          <w:color w:val="auto"/>
        </w:rPr>
        <w:t>Accordingly, the 2010 Incentive Plan limits awards granted to an individual participant in any calendar year to:</w:t>
      </w:r>
    </w:p>
    <w:p>
      <w:pPr>
        <w:spacing w:after="0" w:line="172" w:lineRule="exact"/>
        <w:rPr>
          <w:sz w:val="20"/>
          <w:szCs w:val="20"/>
          <w:color w:val="auto"/>
        </w:rPr>
      </w:pPr>
    </w:p>
    <w:p>
      <w:pPr>
        <w:ind w:left="4780" w:right="640" w:hanging="159"/>
        <w:spacing w:after="0" w:line="268" w:lineRule="auto"/>
        <w:tabs>
          <w:tab w:leader="none" w:pos="4760" w:val="left"/>
        </w:tabs>
        <w:rPr>
          <w:sz w:val="20"/>
          <w:szCs w:val="20"/>
          <w:color w:val="auto"/>
        </w:rPr>
      </w:pPr>
      <w:r>
        <w:rPr>
          <w:rFonts w:ascii="Arial" w:cs="Arial" w:eastAsia="Arial" w:hAnsi="Arial"/>
          <w:sz w:val="18"/>
          <w:szCs w:val="18"/>
          <w:color w:val="auto"/>
        </w:rPr>
        <w:t>•</w:t>
        <w:tab/>
        <w:t>No more than 1,000,000 shares consisting of stock options, stock appreciation rights, restricted stock or restricted stock units.</w:t>
      </w:r>
    </w:p>
    <w:p>
      <w:pPr>
        <w:spacing w:after="0" w:line="5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No more than $20,000,000 for the grant date value of cash awards.</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Eligible Participants: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All employees of Schlumberger and our subsidiaries.</w:t>
      </w:r>
    </w:p>
    <w:p>
      <w:pPr>
        <w:spacing w:after="0" w:line="200"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8" w:lineRule="exact"/>
        <w:rPr>
          <w:sz w:val="20"/>
          <w:szCs w:val="20"/>
          <w:color w:val="auto"/>
        </w:rPr>
      </w:pPr>
    </w:p>
    <w:p>
      <w:pPr>
        <w:ind w:left="4340" w:right="200"/>
        <w:spacing w:after="0" w:line="306" w:lineRule="auto"/>
        <w:rPr>
          <w:sz w:val="20"/>
          <w:szCs w:val="20"/>
          <w:color w:val="auto"/>
        </w:rPr>
      </w:pPr>
      <w:r>
        <w:rPr>
          <w:rFonts w:ascii="Arial" w:cs="Arial" w:eastAsia="Arial" w:hAnsi="Arial"/>
          <w:sz w:val="16"/>
          <w:szCs w:val="16"/>
          <w:color w:val="auto"/>
        </w:rPr>
        <w:t>The Compensation Committee will determine which employees will participate in the 2010 Incentive Plan. As of January 31, 2010, approximately 9,302 employees are eligible to participate under our equity compensation plans, including the 2010 Incentive Plan.</w:t>
      </w:r>
    </w:p>
    <w:p>
      <w:pPr>
        <w:sectPr>
          <w:pgSz w:w="11900" w:h="16838" w:orient="portrait"/>
          <w:cols w:equalWidth="0" w:num="1">
            <w:col w:w="11400"/>
          </w:cols>
          <w:pgMar w:left="240" w:top="280" w:right="2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Ineligible Participants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Directors who are not also employees;</w:t>
      </w:r>
    </w:p>
    <w:p>
      <w:pPr>
        <w:spacing w:after="0" w:line="211"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line="8" w:lineRule="exact"/>
        <w:rPr>
          <w:sz w:val="20"/>
          <w:szCs w:val="20"/>
          <w:color w:val="auto"/>
        </w:rPr>
      </w:pPr>
    </w:p>
    <w:p>
      <w:pPr>
        <w:ind w:left="4340" w:right="20"/>
        <w:spacing w:after="0" w:line="268" w:lineRule="auto"/>
        <w:rPr>
          <w:sz w:val="20"/>
          <w:szCs w:val="20"/>
          <w:color w:val="auto"/>
        </w:rPr>
      </w:pPr>
      <w:r>
        <w:rPr>
          <w:rFonts w:ascii="Arial" w:cs="Arial" w:eastAsia="Arial" w:hAnsi="Arial"/>
          <w:sz w:val="18"/>
          <w:szCs w:val="18"/>
          <w:color w:val="auto"/>
        </w:rPr>
        <w:t>Any person who owns, directly or indirectly, stock representing more than 5% of the total combined voting power or value of all classes of our stock.</w:t>
      </w:r>
    </w:p>
    <w:p>
      <w:pPr>
        <w:sectPr>
          <w:pgSz w:w="11900" w:h="16838" w:orient="portrait"/>
          <w:cols w:equalWidth="0" w:num="1">
            <w:col w:w="11400"/>
          </w:cols>
          <w:pgMar w:left="240" w:top="280" w:right="259" w:bottom="1440" w:gutter="0" w:footer="0" w:header="0"/>
          <w:type w:val="continuous"/>
        </w:sectPr>
      </w:pPr>
    </w:p>
    <w:p>
      <w:pPr>
        <w:spacing w:after="0" w:line="172" w:lineRule="exact"/>
        <w:rPr>
          <w:sz w:val="20"/>
          <w:szCs w:val="20"/>
          <w:color w:val="auto"/>
        </w:rPr>
      </w:pPr>
    </w:p>
    <w:p>
      <w:pPr>
        <w:ind w:left="4340" w:hanging="4334"/>
        <w:spacing w:after="0" w:line="294" w:lineRule="auto"/>
        <w:rPr>
          <w:sz w:val="20"/>
          <w:szCs w:val="20"/>
          <w:color w:val="auto"/>
        </w:rPr>
      </w:pPr>
      <w:r>
        <w:rPr>
          <w:rFonts w:ascii="Arial" w:cs="Arial" w:eastAsia="Arial" w:hAnsi="Arial"/>
          <w:sz w:val="16"/>
          <w:szCs w:val="16"/>
          <w:color w:val="auto"/>
        </w:rPr>
        <w:t>Shares Available for Issuance under the 2010 Incentive Plan: A total of 30 million shares of Schlumberger common stock are subject to the 2010 Incentive Plan. No more than 3 million shares of common stock may be the subject of awards that are not options or stock appreciation rights. Up to 30 million shares of common stock may be subject to incentive stock options. The number of shares available for issuance under the 2010 Incentive Plan is subject to adjustment to reflect stock splits, reorganizations and similar events.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type w:val="continuous"/>
        </w:sectPr>
      </w:pPr>
    </w:p>
    <w:bookmarkStart w:id="51" w:name="page52"/>
    <w:bookmarkEnd w:id="51"/>
    <w:p>
      <w:pPr>
        <w:ind w:left="4340" w:right="1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subject to issuance under the 2010 Incentive Plan consist of authorized and unissued shares or previously issued shares reacquired and held in treasury by us or any of our subsidiaries.</w:t>
      </w:r>
    </w:p>
    <w:p>
      <w:pPr>
        <w:spacing w:after="0" w:line="62" w:lineRule="exact"/>
        <w:rPr>
          <w:sz w:val="20"/>
          <w:szCs w:val="20"/>
          <w:color w:val="auto"/>
        </w:rPr>
      </w:pPr>
    </w:p>
    <w:p>
      <w:pPr>
        <w:ind w:left="4340" w:right="80"/>
        <w:spacing w:after="0" w:line="259" w:lineRule="auto"/>
        <w:rPr>
          <w:sz w:val="20"/>
          <w:szCs w:val="20"/>
          <w:color w:val="auto"/>
        </w:rPr>
      </w:pPr>
      <w:r>
        <w:rPr>
          <w:rFonts w:ascii="Arial" w:cs="Arial" w:eastAsia="Arial" w:hAnsi="Arial"/>
          <w:sz w:val="18"/>
          <w:szCs w:val="18"/>
          <w:color w:val="auto"/>
        </w:rPr>
        <w:t>Shares that were once subject to issuance upon the exercise or vesting of awards may again become available for future grants under the 2010 Incentive Plan only if an award is cancelled, forfeited, expired or terminated.</w:t>
      </w:r>
    </w:p>
    <w:p>
      <w:pPr>
        <w:spacing w:after="0" w:line="140" w:lineRule="exact"/>
        <w:rPr>
          <w:sz w:val="20"/>
          <w:szCs w:val="20"/>
          <w:color w:val="auto"/>
        </w:rPr>
      </w:pPr>
    </w:p>
    <w:p>
      <w:pPr>
        <w:ind w:left="4340" w:right="420"/>
        <w:spacing w:after="0" w:line="268" w:lineRule="auto"/>
        <w:rPr>
          <w:sz w:val="20"/>
          <w:szCs w:val="20"/>
          <w:color w:val="auto"/>
        </w:rPr>
      </w:pPr>
      <w:r>
        <w:rPr>
          <w:rFonts w:ascii="Arial" w:cs="Arial" w:eastAsia="Arial" w:hAnsi="Arial"/>
          <w:sz w:val="18"/>
          <w:szCs w:val="18"/>
          <w:color w:val="auto"/>
        </w:rPr>
        <w:t>However, the number of shares reserved for issuance under the 2010 Incentive Plan will not be increased by:</w:t>
      </w:r>
    </w:p>
    <w:p>
      <w:pPr>
        <w:spacing w:after="0" w:line="172" w:lineRule="exact"/>
        <w:rPr>
          <w:sz w:val="20"/>
          <w:szCs w:val="20"/>
          <w:color w:val="auto"/>
        </w:rPr>
      </w:pPr>
    </w:p>
    <w:p>
      <w:pPr>
        <w:ind w:left="4780" w:right="680" w:hanging="161"/>
        <w:spacing w:after="0" w:line="268" w:lineRule="auto"/>
        <w:tabs>
          <w:tab w:leader="none" w:pos="4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not issued or delivered as a result of the net settlement of an outstanding stock appreciation right or stock option, or</w:t>
      </w:r>
    </w:p>
    <w:p>
      <w:pPr>
        <w:spacing w:after="0" w:line="172" w:lineRule="exact"/>
        <w:rPr>
          <w:rFonts w:ascii="Arial" w:cs="Arial" w:eastAsia="Arial" w:hAnsi="Arial"/>
          <w:sz w:val="18"/>
          <w:szCs w:val="18"/>
          <w:color w:val="auto"/>
        </w:rPr>
      </w:pPr>
    </w:p>
    <w:p>
      <w:pPr>
        <w:ind w:left="4780" w:right="420" w:hanging="161"/>
        <w:spacing w:after="0" w:line="268" w:lineRule="auto"/>
        <w:tabs>
          <w:tab w:leader="none" w:pos="4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used to pay the exercise price or withholding taxes related to an outstanding award.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Issuance Under the 2010 Incentive Plan 2.5%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Outstanding Common Stock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Shares Available for Issuance Under All Equity Compensation Plans excluding the 2010 Incentive Plan as of December 31, 2009 (including shares issuable pursuant to outstanding options) as a Percentage of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Stock Options Outstanding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 Average Exercise Price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 Average Term (in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Full-Value Awards Outstanding</w:t>
      </w:r>
    </w:p>
    <w:p>
      <w:pPr>
        <w:spacing w:after="0" w:line="185" w:lineRule="exact"/>
        <w:rPr>
          <w:sz w:val="20"/>
          <w:szCs w:val="20"/>
          <w:color w:val="auto"/>
        </w:rPr>
      </w:pPr>
    </w:p>
    <w:p>
      <w:pPr>
        <w:ind w:left="180" w:right="980" w:hanging="178"/>
        <w:spacing w:after="0" w:line="258" w:lineRule="auto"/>
        <w:rPr>
          <w:sz w:val="20"/>
          <w:szCs w:val="20"/>
          <w:color w:val="auto"/>
        </w:rPr>
      </w:pPr>
      <w:r>
        <w:rPr>
          <w:rFonts w:ascii="Arial" w:cs="Arial" w:eastAsia="Arial" w:hAnsi="Arial"/>
          <w:sz w:val="18"/>
          <w:szCs w:val="18"/>
          <w:color w:val="auto"/>
        </w:rPr>
        <w:t xml:space="preserve">Number of Shares Remaining for Future Grant </w:t>
      </w:r>
      <w:r>
        <w:rPr>
          <w:rFonts w:ascii="Arial" w:cs="Arial" w:eastAsia="Arial" w:hAnsi="Arial"/>
          <w:sz w:val="18"/>
          <w:szCs w:val="18"/>
          <w:i w:val="1"/>
          <w:iCs w:val="1"/>
          <w:color w:val="auto"/>
        </w:rPr>
        <w:t>2001 Stock Option Plan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2005 Stock Incentive Plan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2008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Outstanding as of December 31, 2009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35,500,074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$50.304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1,342,700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134,437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316,350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9,208,000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1,194,812,901</w:t>
      </w:r>
    </w:p>
    <w:p>
      <w:pPr>
        <w:spacing w:after="0" w:line="200" w:lineRule="exact"/>
        <w:rPr>
          <w:sz w:val="20"/>
          <w:szCs w:val="20"/>
          <w:color w:val="auto"/>
        </w:rPr>
      </w:pPr>
    </w:p>
    <w:p>
      <w:pPr>
        <w:spacing w:after="0" w:line="228" w:lineRule="exact"/>
        <w:rPr>
          <w:sz w:val="20"/>
          <w:szCs w:val="20"/>
          <w:color w:val="auto"/>
        </w:rPr>
      </w:pPr>
    </w:p>
    <w:p>
      <w:pPr>
        <w:ind w:left="440" w:hanging="161"/>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of stock options or stock appreciation rights at a price below the fair market value on the grant date;</w:t>
      </w:r>
    </w:p>
    <w:p>
      <w:pPr>
        <w:spacing w:after="0" w:line="50" w:lineRule="exact"/>
        <w:rPr>
          <w:rFonts w:ascii="Arial" w:cs="Arial" w:eastAsia="Arial" w:hAnsi="Arial"/>
          <w:sz w:val="18"/>
          <w:szCs w:val="18"/>
          <w:color w:val="auto"/>
        </w:rPr>
      </w:pPr>
    </w:p>
    <w:p>
      <w:pPr>
        <w:ind w:left="440" w:hanging="161"/>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Repricing, or reducing the exercise price of a stock option or stock appreciation right;</w:t>
      </w:r>
    </w:p>
    <w:p>
      <w:pPr>
        <w:spacing w:after="0" w:line="113" w:lineRule="exact"/>
        <w:rPr>
          <w:rFonts w:ascii="Arial" w:cs="Arial" w:eastAsia="Arial" w:hAnsi="Arial"/>
          <w:sz w:val="16"/>
          <w:szCs w:val="16"/>
          <w:color w:val="auto"/>
        </w:rPr>
      </w:pPr>
    </w:p>
    <w:p>
      <w:pPr>
        <w:ind w:left="440" w:right="380" w:hanging="161"/>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50" w:lineRule="exact"/>
        <w:rPr>
          <w:rFonts w:ascii="Arial" w:cs="Arial" w:eastAsia="Arial" w:hAnsi="Arial"/>
          <w:sz w:val="18"/>
          <w:szCs w:val="18"/>
          <w:color w:val="auto"/>
        </w:rPr>
      </w:pPr>
    </w:p>
    <w:p>
      <w:pPr>
        <w:ind w:left="440" w:hanging="161"/>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Reload grants; or</w:t>
      </w:r>
    </w:p>
    <w:p>
      <w:pPr>
        <w:spacing w:after="0" w:line="90" w:lineRule="exact"/>
        <w:rPr>
          <w:rFonts w:ascii="Arial" w:cs="Arial" w:eastAsia="Arial" w:hAnsi="Arial"/>
          <w:sz w:val="18"/>
          <w:szCs w:val="18"/>
          <w:color w:val="auto"/>
        </w:rPr>
      </w:pPr>
    </w:p>
    <w:p>
      <w:pPr>
        <w:ind w:left="440" w:right="40" w:hanging="161"/>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awards with respect to more than 1,000,000 shares to any one participant during any year.</w:t>
      </w:r>
    </w:p>
    <w:p>
      <w:pPr>
        <w:spacing w:after="0" w:line="118" w:lineRule="exact"/>
        <w:rPr>
          <w:sz w:val="20"/>
          <w:szCs w:val="20"/>
          <w:color w:val="auto"/>
        </w:rPr>
      </w:pPr>
    </w:p>
    <w:p>
      <w:pPr>
        <w:sectPr>
          <w:pgSz w:w="11900" w:h="16838" w:orient="portrait"/>
          <w:cols w:equalWidth="0" w:num="2">
            <w:col w:w="4280" w:space="60"/>
            <w:col w:w="708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80"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Vesting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will determine at the time of grant when each stock option will vest. The Compensation Committee’s current practice is to grant options that vest in five equal annual installments beginning on the first anniversary of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Exercise Price</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exercise price of stock options granted under the 2010 Incentive Plan may not be less than the fair market value (the mean between the high and low sales prices on the New York Stock Exchange on the grant date) of the common stock on the date of grant. As of January 31, 2010, the mean between the high and low sales prices of Schlumberger common stock on the New York Stock Exchange was $64.54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Option Term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term may not be longer than 10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Payment of Purchase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235"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in cash. Stock options may also be exercised through “cashless exercise” procedures approved by the Compensation Committee involving a broker or dealer approved by the Compensation Committee. Schlumberger may require, prior to issuing common stock under the 2010 Incentive Plan, that the participant remit an amount in cash, or authorize withholding of common stock in connection with the option exercise, sufficient to satisfy tax withholding requirements.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2010 Incentive Plan grants the Compensation Committee broad discretion to designate the treatment of stock options following an option holder’s termination of employment with Schlumberger or any of its subsidiaries. However, the Compensation Committee currently expects that the consequences of termination of employment on outstanding stock options will be consistent with past stock options awards. The following table and paragraph following the table summarize the Compensation Committee’s past practice with regards to treatment of stock options in the event an option holder’s employment terminates.</w:t>
      </w:r>
    </w:p>
    <w:p>
      <w:pPr>
        <w:spacing w:after="0" w:line="149" w:lineRule="exact"/>
        <w:rPr>
          <w:sz w:val="20"/>
          <w:szCs w:val="20"/>
          <w:color w:val="auto"/>
        </w:rPr>
      </w:pPr>
    </w:p>
    <w:p>
      <w:pPr>
        <w:spacing w:after="0"/>
        <w:tabs>
          <w:tab w:leader="none" w:pos="5620" w:val="left"/>
          <w:tab w:leader="none" w:pos="86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19"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 any subsidiary other than for cause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46" w:lineRule="exact"/>
        <w:rPr>
          <w:sz w:val="20"/>
          <w:szCs w:val="20"/>
          <w:color w:val="auto"/>
        </w:rPr>
      </w:pPr>
    </w:p>
    <w:p>
      <w:pPr>
        <w:sectPr>
          <w:pgSz w:w="11900" w:h="16838" w:orient="portrait"/>
          <w:cols w:equalWidth="0" w:num="2">
            <w:col w:w="7060" w:space="720"/>
            <w:col w:w="3620"/>
          </w:cols>
          <w:pgMar w:left="240" w:top="28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4"/>
              </w:rPr>
              <w:t>Termination by the Company or any subsidiary for</w:t>
            </w:r>
          </w:p>
        </w:tc>
        <w:tc>
          <w:tcPr>
            <w:tcW w:w="3180" w:type="dxa"/>
            <w:vAlign w:val="bottom"/>
          </w:tcPr>
          <w:p>
            <w:pPr>
              <w:ind w:left="220"/>
              <w:spacing w:after="0"/>
              <w:rPr>
                <w:sz w:val="20"/>
                <w:szCs w:val="20"/>
                <w:color w:val="auto"/>
              </w:rPr>
            </w:pPr>
            <w:r>
              <w:rPr>
                <w:rFonts w:ascii="Arial" w:cs="Arial" w:eastAsia="Arial" w:hAnsi="Arial"/>
                <w:sz w:val="18"/>
                <w:szCs w:val="18"/>
                <w:color w:val="auto"/>
              </w:rPr>
              <w:t>Options forfeited immediately.</w:t>
            </w:r>
          </w:p>
        </w:tc>
        <w:tc>
          <w:tcPr>
            <w:tcW w:w="442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cause</w:t>
            </w:r>
          </w:p>
        </w:tc>
        <w:tc>
          <w:tcPr>
            <w:tcW w:w="318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Disability during employment</w:t>
            </w:r>
          </w:p>
        </w:tc>
        <w:tc>
          <w:tcPr>
            <w:tcW w:w="3180" w:type="dxa"/>
            <w:vAlign w:val="bottom"/>
          </w:tcPr>
          <w:p>
            <w:pPr>
              <w:ind w:left="220"/>
              <w:spacing w:after="0"/>
              <w:rPr>
                <w:sz w:val="20"/>
                <w:szCs w:val="20"/>
                <w:color w:val="auto"/>
              </w:rPr>
            </w:pPr>
            <w:r>
              <w:rPr>
                <w:rFonts w:ascii="Arial" w:cs="Arial" w:eastAsia="Arial" w:hAnsi="Arial"/>
                <w:sz w:val="18"/>
                <w:szCs w:val="18"/>
                <w:color w:val="auto"/>
              </w:rPr>
              <w:t>Full vesting.</w:t>
            </w: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Exercisable at any time during the 60-month period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6"/>
              </w:rPr>
              <w:t>after termination by disability (as defined in the</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1"/>
              </w:rPr>
              <w:t>relevant award agreement, and which may not be</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4"/>
              </w:rPr>
              <w:t>the same as the definition used for other benefit</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plans) or during the remainder of the option period,</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whichever is shorter.</w:t>
            </w: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Retirement</w:t>
            </w:r>
          </w:p>
        </w:tc>
        <w:tc>
          <w:tcPr>
            <w:tcW w:w="3180" w:type="dxa"/>
            <w:vAlign w:val="bottom"/>
          </w:tcPr>
          <w:p>
            <w:pPr>
              <w:ind w:left="220"/>
              <w:spacing w:after="0"/>
              <w:rPr>
                <w:sz w:val="20"/>
                <w:szCs w:val="20"/>
                <w:color w:val="auto"/>
              </w:rPr>
            </w:pPr>
            <w:r>
              <w:rPr>
                <w:rFonts w:ascii="Arial" w:cs="Arial" w:eastAsia="Arial" w:hAnsi="Arial"/>
                <w:sz w:val="18"/>
                <w:szCs w:val="18"/>
                <w:color w:val="auto"/>
              </w:rPr>
              <w:t>No additional vesting.</w:t>
            </w:r>
          </w:p>
        </w:tc>
        <w:tc>
          <w:tcPr>
            <w:tcW w:w="442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termination) at any time during the 60-month</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2"/>
              </w:rPr>
              <w:t>period after termination by retirement (as defined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2"/>
              </w:rPr>
              <w:t>in the relevant award agreement, and which may</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5"/>
              </w:rPr>
              <w:t>not be the same as the definition used for other</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89"/>
              </w:rPr>
              <w:t>benefit plans) or during the remainder of the option</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period, whichever is shorter.</w:t>
            </w:r>
          </w:p>
        </w:tc>
      </w:tr>
      <w:tr>
        <w:trPr>
          <w:trHeight w:val="277"/>
        </w:trPr>
        <w:tc>
          <w:tcPr>
            <w:tcW w:w="3800" w:type="dxa"/>
            <w:vAlign w:val="bottom"/>
          </w:tcPr>
          <w:p>
            <w:pPr>
              <w:spacing w:after="0"/>
              <w:rPr>
                <w:sz w:val="20"/>
                <w:szCs w:val="20"/>
                <w:color w:val="auto"/>
              </w:rPr>
            </w:pPr>
            <w:r>
              <w:rPr>
                <w:rFonts w:ascii="Arial" w:cs="Arial" w:eastAsia="Arial" w:hAnsi="Arial"/>
                <w:sz w:val="18"/>
                <w:szCs w:val="18"/>
                <w:color w:val="auto"/>
              </w:rPr>
              <w:t>Death during employment</w:t>
            </w:r>
          </w:p>
        </w:tc>
        <w:tc>
          <w:tcPr>
            <w:tcW w:w="3180" w:type="dxa"/>
            <w:vAlign w:val="bottom"/>
          </w:tcPr>
          <w:p>
            <w:pPr>
              <w:ind w:left="220"/>
              <w:spacing w:after="0"/>
              <w:rPr>
                <w:sz w:val="20"/>
                <w:szCs w:val="20"/>
                <w:color w:val="auto"/>
              </w:rPr>
            </w:pPr>
            <w:r>
              <w:rPr>
                <w:rFonts w:ascii="Arial" w:cs="Arial" w:eastAsia="Arial" w:hAnsi="Arial"/>
                <w:sz w:val="18"/>
                <w:szCs w:val="18"/>
                <w:color w:val="auto"/>
              </w:rPr>
              <w:t>Full vesting.</w:t>
            </w:r>
          </w:p>
        </w:tc>
        <w:tc>
          <w:tcPr>
            <w:tcW w:w="4420" w:type="dxa"/>
            <w:vAlign w:val="bottom"/>
          </w:tcPr>
          <w:p>
            <w:pPr>
              <w:ind w:left="800"/>
              <w:spacing w:after="0"/>
              <w:rPr>
                <w:sz w:val="20"/>
                <w:szCs w:val="20"/>
                <w:color w:val="auto"/>
              </w:rPr>
            </w:pPr>
            <w:r>
              <w:rPr>
                <w:rFonts w:ascii="Arial" w:cs="Arial" w:eastAsia="Arial" w:hAnsi="Arial"/>
                <w:sz w:val="18"/>
                <w:szCs w:val="18"/>
                <w:color w:val="auto"/>
                <w:w w:val="88"/>
              </w:rPr>
              <w:t>Exercisable at any time during the 60-month period</w:t>
            </w:r>
          </w:p>
        </w:tc>
      </w:t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w w:val="90"/>
              </w:rPr>
              <w:t>after termination by death or during the remainder</w:t>
            </w:r>
          </w:p>
        </w:tc>
      </w:tr>
      <w:tr>
        <w:trPr>
          <w:trHeight w:val="222"/>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20" w:type="dxa"/>
            <w:vAlign w:val="bottom"/>
          </w:tcPr>
          <w:p>
            <w:pPr>
              <w:ind w:left="800"/>
              <w:spacing w:after="0"/>
              <w:rPr>
                <w:sz w:val="20"/>
                <w:szCs w:val="20"/>
                <w:color w:val="auto"/>
              </w:rPr>
            </w:pPr>
            <w:r>
              <w:rPr>
                <w:rFonts w:ascii="Arial" w:cs="Arial" w:eastAsia="Arial" w:hAnsi="Arial"/>
                <w:sz w:val="18"/>
                <w:szCs w:val="18"/>
                <w:color w:val="auto"/>
              </w:rPr>
              <w:t>of the option period, whichever is shorter.</w:t>
            </w:r>
          </w:p>
        </w:tc>
      </w:tr>
    </w:tbl>
    <w:p>
      <w:pPr>
        <w:spacing w:after="0" w:line="15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w:t>
      </w:r>
    </w:p>
    <w:p>
      <w:pPr>
        <w:spacing w:after="0" w:line="12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expiration of the original term.</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Death or Disability following termination of employment will not result in any additional vesting, so that the option will be exercisable to the extent provided in the matrix above based on the circumstances of the optionee’s termination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Appreciation Rights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2010 Incentive Plan must have a grant price per share that is not less than the fair market value of a share of common stock on the date of grant and a term of no more than 10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Awards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maximum of 3 million shares may be the subject of stock awards, such as restricted stock or restricted stock unit awards. The terms, conditions and limitations applicable to grants of restricted stock and restricted stock units will be determined by our Compensation Committee. Restricted stock and restricted stock units will be subject to a restriction period totaling at least three years from the grant date (the vesting, lapse, or termination of which may be no more rapid in combination than pro rata over three years), except that the Compensation Committee may provide for earlier vesting upon a change of control or termination of employment by reason of death, disability or retirement. Furthermore, up to 1.5 million shares of stock may be issued as restricted stock or restricted stock units having a restriction period of three years or 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Cash Awards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Awards may also be in the form of grants denominated in cash. The terms, conditions and limitations applicable to any cash awards granted pursuant to the 2010 Incentive Plan will be determined by the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Performance Awards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will be determined by the Compensation Committee.</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2010 Incentive Plan permits, but does not require, the Compensation Committee to structure any performance award made to a named executive officer as performance-based compensation. At the discretion of the Compensation Committee, certain awards under the 2010 Incentive Plan will be intended to qualify as performance-based compensation under Section 162(m) of the Code. Section 162(m) of the Code generally limits the deductibility for federal income tax purposes of annual compensation paid to a company’s executive officers to $1 million per covered executive in a taxable year. The Compensation Committee and the Board of Directors may take deductibility and nondeductibility of compensation into account but retain the discretion to authorize the payment of potentially nondeductible amounts.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making qualified performance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pacing w:after="0" w:line="181" w:lineRule="exact"/>
        <w:rPr>
          <w:sz w:val="20"/>
          <w:szCs w:val="20"/>
          <w:color w:val="auto"/>
        </w:rPr>
      </w:pPr>
    </w:p>
    <w:p>
      <w:pPr>
        <w:ind w:left="900" w:right="3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flow measures (which include net cash flow from operating activities and working capital);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5" w:name="page56"/>
    <w:bookmarkEnd w:id="55"/>
    <w:p>
      <w:pPr>
        <w:ind w:left="900" w:right="1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measures, total shareholder return and market capitalization measures);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value measures (which include compliance, safety, environmental and personnel matters);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measures such as those relating to acquisitions, dispositions or customer satisfaction.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Clawback</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award agreement may provide that an employee granted an award may forfeit his or her right to such award or be required to return common stock or cash received as a result of the exercise or vesting of an award if such holder engages in “detrimental activity” (as defined by the Compensation Committee in the award agreement under the 2010 Incentive Plan) during or following termination of employment. Under Schlumberger’s current standard terms for stock options grants, forfeiture may occur due to detrimental activity within one year after termination of employment (or five years after termination of employment in the event of retirement or disability).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Unless otherwise determined by the Compensation Committee in an award agreement, no award will be assignable or otherwise transferable. Any attempted assignment of an award will be null and void.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administer the 2010 Incentive Plan. The Compensation Committee has full power and authority to:</w:t>
      </w:r>
    </w:p>
    <w:p>
      <w:pPr>
        <w:spacing w:after="0" w:line="21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select the employees to be granted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terms of awards to be made;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terms and conditions of award agreements (which shall not be inconsistent with the 2010 Incentive Plan) and which parties must sign each award agreement;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provided in the 2010 Incentive Plan, to modify the terms of awards made under the 2010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56" w:name="page57"/>
    <w:bookmarkEnd w:id="5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Except with respect to matters related to awards to executive officers or other awards intended to qualify as qualified performance-based compensation under Section 162(m), the Compensation Committee may delegate to the Chief Executive Officer and to other senior officers of Schlumberger or to such other committee of the Board of Directors its duties under the 2010 Incentive Plan pursuant to such conditions or limitations as the Compensation Committee may establish.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Amendment or Termination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of Directors or the Compensation Committee may amend, modify, suspend or terminate the 2010 Incentive Plan for the purpose of addressing any changes in legal requirements or for any other lawful purpose, except that</w:t>
      </w:r>
    </w:p>
    <w:p>
      <w:pPr>
        <w:spacing w:after="0" w:line="172" w:lineRule="exact"/>
        <w:rPr>
          <w:sz w:val="20"/>
          <w:szCs w:val="20"/>
          <w:color w:val="auto"/>
        </w:rPr>
      </w:pPr>
    </w:p>
    <w:p>
      <w:pPr>
        <w:ind w:left="900" w:right="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amendment that would adversely affect the rights of any participant under any award previously granted to such participant may be made without the consent of such participant, and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amendment will be effective prior to its approval by the shareholders of Schlumberger to the extent such approval is otherwise required by applicable law or the requirements of any exchange on which the common stock is listed.</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Additionally, no stock option or stock appreciation right may be repriced, replaced, regranted through cancellation or modified without shareholder approval (except in connection with a change in Schlumberger’s capitalization) if the effect would be to reduce the exercise price for the shares underlying such stock option or stock appreciation right.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2010 Incentive Plan and the 2010 Incentive Plan limits in the number of shares subject to awards granted to an individual participant in any calendar year will be proportionally adjusted and the number of shares of common stock with respect to which outstanding awards or other property subject to an outstanding award granted under the Incentive Plan will:</w:t>
      </w:r>
    </w:p>
    <w:p>
      <w:pPr>
        <w:spacing w:after="0" w:line="183" w:lineRule="exact"/>
        <w:rPr>
          <w:sz w:val="20"/>
          <w:szCs w:val="20"/>
          <w:color w:val="auto"/>
        </w:rPr>
      </w:pPr>
    </w:p>
    <w:p>
      <w:pPr>
        <w:ind w:left="900" w:right="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event of any corporate merger, consolidation, acquisition of property or stock, separation, spinoff, reorganization or liquidation, the Board of Directors may make certain adjustments to awards as it deems equitable, including, providing for the substitution of a new award (or other arrangement) or the assumption of the award, prior to the transaction providing for the acceleration of the vesting and exercisability of or the lapse of restrictions with respect to the award, and cancelling any outstanding award in exchange for cash in an amount deemed by the Board to be equal to the fair market value of the award.</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past practice, we currently expect that any award agreement documenting an award under the 2010 Incentive Plan will not contain a contractual right to an automatic acceleration upon a change in control. Rather, we expect that any acceleration of vesting of an award in connection with a transaction would be made only where (i) a transaction results in a change in control of Schlumberger and (ii) in connection with such transaction the outstanding awards are not assumed by Schlumberger’s successor.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Federal Income Tax Consequences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following discussion of tax consequences relates only to U.S. federal income tax matters. The tax consequences of participating in the 2010 Incentive Plan may vary according to country of participation. Also, the tax consequences of participating in the 2010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and Stock Appreciation Rights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Some of the options issued under the 2010 Incentive Plan are intended to constitute “incentive stock options” within the meaning of Section 422 of the Code, while other options granted under the 2010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12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Participants will not realize taxable income upon the grant of a stock appreciation right. Upon the exercise of a stock appreciation right, the participant will recognize ordinary income (subject to withholding by Schlumberger)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Subject to the limitations discussed below, Schlumberger will be entitled to a deduction for U.S. federal income tax purposes that corresponds as to timing and amount with the compensation income recognized by the participant under the foregoing rules.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 appreciation right,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participant generally will not have taxable income upon the grant of stock awards, such as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Certain Tax Code Limitations on Deductibility</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Schlumberger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Code Section 409A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409A of the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Schlumberger intends to structure awards under the 2010 Incentive Plan in a manner that is designed to be exempt from or comply with Section 409A.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Code Section 457A</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457A of the Code has significantly changed the rules applicable to deferred compensation paid to U.S. persons by certain foreign corporations and other entities. We expect that stock options, stock-settled stock appreciation rights, restricted stock and restricted stock units granted under the 2010 Incentive Plan will be exempt from Section 457A. However, stock appreciation rights that may be settled in cash will be subject to Section 457A, as well as cash awards or stock units that are not paid within one year after vesting.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457A requires that any compensation paid under a deferred compensation plan of a nonqualified entity must be included in the participant’s income at the time such amounts are no longer subject to a substantial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Schlumberger currently intends to grant awards that are exempt from Section 457A.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table below sets forth the following information as of the end of December 31, 2009 for (1) all compensation plans previously approved by our stockholders and (2) all compensation plans not previously approved by our stockholders.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2180" w:type="dxa"/>
            <w:vAlign w:val="bottom"/>
          </w:tcPr>
          <w:p>
            <w:pPr>
              <w:jc w:val="center"/>
              <w:ind w:left="366"/>
              <w:spacing w:after="0"/>
              <w:rPr>
                <w:sz w:val="20"/>
                <w:szCs w:val="20"/>
                <w:color w:val="auto"/>
              </w:rPr>
            </w:pPr>
            <w:r>
              <w:rPr>
                <w:rFonts w:ascii="Arial" w:cs="Arial" w:eastAsia="Arial" w:hAnsi="Arial"/>
                <w:sz w:val="14"/>
                <w:szCs w:val="14"/>
                <w:b w:val="1"/>
                <w:bCs w:val="1"/>
                <w:color w:val="auto"/>
              </w:rPr>
              <w:t>(b)</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18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outstanding options, warrants</w:t>
            </w:r>
          </w:p>
        </w:tc>
        <w:tc>
          <w:tcPr>
            <w:tcW w:w="218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w w:val="85"/>
              </w:rPr>
              <w:t>price of such outstanding</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r>
      <w:tr>
        <w:trPr>
          <w:trHeight w:val="175"/>
        </w:trPr>
        <w:tc>
          <w:tcPr>
            <w:tcW w:w="20" w:type="dxa"/>
            <w:vAlign w:val="bottom"/>
          </w:tcPr>
          <w:p>
            <w:pPr>
              <w:spacing w:after="0"/>
              <w:rPr>
                <w:sz w:val="15"/>
                <w:szCs w:val="15"/>
                <w:color w:val="auto"/>
              </w:rPr>
            </w:pPr>
          </w:p>
        </w:tc>
        <w:tc>
          <w:tcPr>
            <w:tcW w:w="2960" w:type="dxa"/>
            <w:vAlign w:val="bottom"/>
          </w:tcPr>
          <w:p>
            <w:pPr>
              <w:ind w:left="1080"/>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5"/>
                <w:szCs w:val="15"/>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and rights</w:t>
            </w:r>
          </w:p>
        </w:tc>
        <w:tc>
          <w:tcPr>
            <w:tcW w:w="2180" w:type="dxa"/>
            <w:vAlign w:val="bottom"/>
          </w:tcPr>
          <w:p>
            <w:pPr>
              <w:jc w:val="center"/>
              <w:ind w:left="366"/>
              <w:spacing w:after="0"/>
              <w:rPr>
                <w:sz w:val="20"/>
                <w:szCs w:val="20"/>
                <w:color w:val="auto"/>
              </w:rPr>
            </w:pPr>
            <w:r>
              <w:rPr>
                <w:rFonts w:ascii="Arial" w:cs="Arial" w:eastAsia="Arial" w:hAnsi="Arial"/>
                <w:sz w:val="14"/>
                <w:szCs w:val="14"/>
                <w:b w:val="1"/>
                <w:bCs w:val="1"/>
                <w:color w:val="auto"/>
                <w:w w:val="86"/>
              </w:rPr>
              <w:t>options, warrants and rights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reflected in column (a))</w:t>
            </w:r>
          </w:p>
        </w:tc>
      </w:tr>
      <w:tr>
        <w:trPr>
          <w:trHeight w:val="201"/>
        </w:trPr>
        <w:tc>
          <w:tcPr>
            <w:tcW w:w="20" w:type="dxa"/>
            <w:vAlign w:val="bottom"/>
          </w:tcPr>
          <w:p>
            <w:pPr>
              <w:spacing w:after="0"/>
              <w:rPr>
                <w:sz w:val="17"/>
                <w:szCs w:val="17"/>
                <w:color w:val="auto"/>
              </w:rPr>
            </w:pPr>
          </w:p>
        </w:tc>
        <w:tc>
          <w:tcPr>
            <w:tcW w:w="29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Equity compensation plans approved by</w:t>
            </w:r>
          </w:p>
        </w:tc>
        <w:tc>
          <w:tcPr>
            <w:tcW w:w="220" w:type="dxa"/>
            <w:vAlign w:val="bottom"/>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36,842,774</w:t>
            </w: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128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48.47</w:t>
            </w:r>
          </w:p>
        </w:tc>
        <w:tc>
          <w:tcPr>
            <w:tcW w:w="2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10,844,470</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0"/>
              </w:rPr>
              <w:t>Equity compensation plans not approved</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by security holders</w:t>
            </w:r>
          </w:p>
        </w:tc>
        <w:tc>
          <w:tcPr>
            <w:tcW w:w="220" w:type="dxa"/>
            <w:vAlign w:val="bottom"/>
          </w:tcPr>
          <w:p>
            <w:pPr>
              <w:spacing w:after="0"/>
              <w:rPr>
                <w:sz w:val="20"/>
                <w:szCs w:val="20"/>
                <w:color w:val="auto"/>
              </w:rPr>
            </w:pPr>
          </w:p>
        </w:tc>
        <w:tc>
          <w:tcPr>
            <w:tcW w:w="28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36,842,774</w:t>
            </w:r>
          </w:p>
        </w:tc>
        <w:tc>
          <w:tcPr>
            <w:tcW w:w="24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128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48.47</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10,844,470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Equity compensation plans approved by our stockholders include the Schlumberger 2008 Stock Incentive Plan; the Schlumberger 2005 Stock Incentive Plan, as amended; the Schlumberger 1994 Stock Option Plan, as amended; the Schlumberger 1998 Stock Option Plan, as amended; the Schlumberger 2001 Stock Option Plan, as amended; the Schlumberger Discounted Stock Purchase Plan and the Schlumberger 2004 Stock and Deferral Plan for Non-Employee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2010 Schlumberger Omnibus Stock Incentive Plan.</w:t>
      </w:r>
    </w:p>
    <w:p>
      <w:pPr>
        <w:spacing w:after="0" w:line="171" w:lineRule="exact"/>
        <w:rPr>
          <w:sz w:val="20"/>
          <w:szCs w:val="20"/>
          <w:color w:val="auto"/>
        </w:rPr>
      </w:pPr>
    </w:p>
    <w:p>
      <w:pPr>
        <w:ind w:left="3960" w:right="3660" w:hanging="295"/>
        <w:spacing w:after="0" w:line="378" w:lineRule="auto"/>
        <w:tabs>
          <w:tab w:leader="none" w:pos="3851" w:val="left"/>
        </w:tabs>
        <w:numPr>
          <w:ilvl w:val="0"/>
          <w:numId w:val="64"/>
        </w:numPr>
        <w:rPr>
          <w:rFonts w:ascii="Arial" w:cs="Arial" w:eastAsia="Arial" w:hAnsi="Arial"/>
          <w:sz w:val="15"/>
          <w:szCs w:val="15"/>
          <w:b w:val="1"/>
          <w:bCs w:val="1"/>
          <w:color w:val="344274"/>
        </w:rPr>
      </w:pPr>
      <w:r>
        <w:rPr>
          <w:rFonts w:ascii="Arial" w:cs="Arial" w:eastAsia="Arial" w:hAnsi="Arial"/>
          <w:sz w:val="15"/>
          <w:szCs w:val="15"/>
          <w:b w:val="1"/>
          <w:bCs w:val="1"/>
          <w:color w:val="344274"/>
        </w:rPr>
        <w:t>Approval of the Amendment and Restatement of the Schlumberger Discounted Stock Purchase Plan</w:t>
      </w:r>
    </w:p>
    <w:p>
      <w:pPr>
        <w:spacing w:after="0" w:line="5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are requesting that our stockholders vote in favor of approving an amendment and restatement of the Schlumberger Discounted Stock Purchase Plan (as amended, the “DSPP”), that would (i) increase the number of shares available for purchase under the DSPP by 10,000,000 shares and (ii) update the DSPP in light of recent changes to U.S. tax laws. The proposed amendment and restatement of the DSPP was approved by the Board on January 21, 2010; provided that the increase in shares available under the DSPP will be effective as of the date approved by our stockholders. No other changes are being made to the DSPP.</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DSPP was originally approved by the Board and our stockholders in 1988. In 1998, the DSPP was amended and restated with the approval of our stockholders. The DSPP has been amended on five previous occasions since 1998. Four of those amendments related to matters unrelated to the class of employees eligible or the number of shares authorized for issuance under the DSPP. The DSPP was amended in 2005 to increase the number of shares authorized for issuance under the DSPP by 6,000,000 shares. The following summary of certain major features of the DSPP is subject to the specific provisions contained in the full text of the DSPP set forth as Appendix B.</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Vote</w:t>
      </w:r>
    </w:p>
    <w:p>
      <w:pPr>
        <w:spacing w:after="0" w:line="17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amendment and restatement of the Discounted Stock Purchase Plan, provided that the total vote cast on the proposal represents over 50% of all outstanding shares. </w:t>
      </w:r>
      <w:r>
        <w:rPr>
          <w:rFonts w:ascii="Arial" w:cs="Arial" w:eastAsia="Arial" w:hAnsi="Arial"/>
          <w:sz w:val="16"/>
          <w:szCs w:val="16"/>
          <w:i w:val="1"/>
          <w:iCs w:val="1"/>
          <w:color w:val="auto"/>
        </w:rPr>
        <w:t>Brokers do not have discretion to vote on this proposal without your instruction. If you do not</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DSPP and Proposed Amendment and Restatement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and restatement is designed to allow an additional 10,000,000 shares to be granted pursuant to the DSPP, which will insure that a sufficient number of shares will be available under the DSPP for future purchase periods. A total of 1,078,183 shares currently remain available for purchase under the DSPP; during 2009, a total of 3,965,288 shares were purchased under the DSPP. If the proposed amendment and restatement is approved, an aggregate of 11,078,183 shares will be available for purchase under the DSPP. The amendment and restatement of the DSPP also incorporates the changes made to the DSPP by the five prior amendments.</w:t>
      </w:r>
    </w:p>
    <w:p>
      <w:pPr>
        <w:spacing w:after="0" w:line="12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DSPP is intended to constitute an “employee stock purchase plan” under Section 423 of the Internal Revenue Code of 1986 (the “Code”). The amendment and restatement of the DSPP also reflects changes necessary to comply with final regulations issued by the Internal Revenue Service related to employee stock purchase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Key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key provisions of the DSPP Plan.</w:t>
      </w:r>
    </w:p>
    <w:p>
      <w:pPr>
        <w:sectPr>
          <w:pgSz w:w="11900" w:h="16838" w:orient="portrait"/>
          <w:cols w:equalWidth="0" w:num="1">
            <w:col w:w="11380"/>
          </w:cols>
          <w:pgMar w:left="240" w:top="274"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All employees of Schlumberger and its subsidiaries, including officers, are eligible to participate in the DSPP, except as described below under “Ineligible Participants.” As of January 1, 2010, there were approximately 54,549 employees who were eligible to participate in the DSPP.</w:t>
      </w:r>
    </w:p>
    <w:p>
      <w:pPr>
        <w:spacing w:after="0" w:line="147"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Ineligible Participants: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following employees are not eligible to participate in the DSPP (unless otherwise required by applicable law):</w:t>
      </w:r>
    </w:p>
    <w:p>
      <w:pPr>
        <w:spacing w:after="0" w:line="172"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 employees who would, immediately upon enrollment in the DSPP, own, directly or indirectly,</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or hold options or rights to acquire, an aggregate of 5% or more of the total combined voting</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power or value of all outstanding shares of all classes of our stock or our subsidiaries’ stock;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Available for Issuance Under the DSPP: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Number of Shares</w:t>
      </w:r>
    </w:p>
    <w:p>
      <w:pPr>
        <w:spacing w:after="0" w:line="20" w:lineRule="exact"/>
        <w:rPr>
          <w:sz w:val="20"/>
          <w:szCs w:val="20"/>
          <w:color w:val="auto"/>
        </w:rPr>
      </w:pPr>
      <w:r>
        <w:rPr>
          <w:sz w:val="20"/>
          <w:szCs w:val="20"/>
          <w:color w:val="auto"/>
        </w:rPr>
        <w:br w:type="column"/>
      </w:r>
    </w:p>
    <w:p>
      <w:pPr>
        <w:ind w:left="440" w:right="100" w:hanging="161"/>
        <w:spacing w:after="0" w:line="268"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employees who are customarily employed by us less than twenty hours per week or less than five months in any calendar year; and</w:t>
      </w:r>
    </w:p>
    <w:p>
      <w:pPr>
        <w:spacing w:after="0" w:line="50" w:lineRule="exact"/>
        <w:rPr>
          <w:rFonts w:ascii="Arial" w:cs="Arial" w:eastAsia="Arial" w:hAnsi="Arial"/>
          <w:sz w:val="18"/>
          <w:szCs w:val="18"/>
          <w:color w:val="auto"/>
        </w:rPr>
      </w:pPr>
    </w:p>
    <w:p>
      <w:pPr>
        <w:ind w:left="440" w:right="140" w:hanging="161"/>
        <w:spacing w:after="0" w:line="332" w:lineRule="auto"/>
        <w:tabs>
          <w:tab w:leader="none" w:pos="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DSPP as determined by the DSPP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-737235</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1,078,183 shares currently remain available for purchase under the DSPP. If the proposed amendment and restatement is approved, an additional 10,000,000 shares would be newly approved for purchase, and an aggregate of 11,078,183 shares will be available for purchase under the DSPP.</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number of shares available for issuance under the DSPP is subject to adjustment to reflect stock splits, reorganizations, mergers and similar events.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There are two purchase periods each calendar year: January 1 to June 30 and July 1 to December 31.</w:t>
      </w:r>
    </w:p>
    <w:p>
      <w:pPr>
        <w:spacing w:after="0" w:line="26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cost to a participant for shares of our common stock purchased during a purchase period is equal to 92.5% of the lower of:</w:t>
      </w:r>
    </w:p>
    <w:p>
      <w:pPr>
        <w:spacing w:after="0" w:line="172" w:lineRule="exact"/>
        <w:rPr>
          <w:sz w:val="20"/>
          <w:szCs w:val="20"/>
          <w:color w:val="auto"/>
        </w:rPr>
      </w:pPr>
    </w:p>
    <w:p>
      <w:pPr>
        <w:ind w:left="440" w:hanging="161"/>
        <w:spacing w:after="0" w:line="332"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fair market value of a share of our common stock on the grant date (the first trading day of a purchase period or such other trading day determined by the DSPP Committee); and</w:t>
      </w:r>
    </w:p>
    <w:p>
      <w:pPr>
        <w:spacing w:after="0" w:line="4" w:lineRule="exact"/>
        <w:rPr>
          <w:rFonts w:ascii="Arial" w:cs="Arial" w:eastAsia="Arial" w:hAnsi="Arial"/>
          <w:sz w:val="16"/>
          <w:szCs w:val="16"/>
          <w:color w:val="auto"/>
        </w:rPr>
      </w:pPr>
    </w:p>
    <w:p>
      <w:pPr>
        <w:ind w:left="440" w:right="260" w:hanging="161"/>
        <w:spacing w:after="0" w:line="370" w:lineRule="auto"/>
        <w:tabs>
          <w:tab w:leader="none" w:pos="4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fair market value of a share of our common stock on the purchase date (the last trading day of a purchase period or such other trading day determined by the DSPP Committee).</w:t>
      </w:r>
    </w:p>
    <w:p>
      <w:pPr>
        <w:spacing w:after="0" w:line="6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“Fair market value” is determined by averaging the highest and lowest composite sale prices per share of our common stock on the New York Stock Exchange on a date.</w:t>
      </w:r>
    </w:p>
    <w:p>
      <w:pPr>
        <w:spacing w:after="0" w:line="12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Each DSPP participant may make contributions through payroll deductions from one to ten percent of his or her eligible compensation. A participant’s contributions, together with interest on such contributions and dividends on shares held in the DSPP, where applicable, are used to purchase shares of common stock at the end of each purchase period.</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 participant’s contributions during a purchase period exceed $11,562.50, or if the purchase of shares with such allocations would exceed the share limitations discussed above under “Shares Available for Issuance Under the DSPP,” such excess amounts will be refunded to the participant as soon as administratively possible.</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participant may not purchase shares of our common stock under the DSPP having a fair market value in excess of $25,000 per year.</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first trading day of a purchase period, the maximum number of shares that may be purchased by a participant in that purchase period will be determined by dividing $12,500 by the fair market value of a share on that date.</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3620" w:space="720"/>
            <w:col w:w="7060"/>
          </w:cols>
          <w:pgMar w:left="240" w:top="280"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i w:val="1"/>
          <w:iCs w:val="1"/>
          <w:color w:val="auto"/>
        </w:rPr>
        <w:t>Withdrawal of Shares: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A participant may elect to withdraw previously purchased shares held in his or her account at any time (without withdrawing from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-381635</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620" w:space="720"/>
            <w:col w:w="7060"/>
          </w:cols>
          <w:pgMar w:left="240" w:top="280" w:right="259" w:bottom="1440" w:gutter="0" w:footer="0" w:header="0"/>
        </w:sectPr>
      </w:pPr>
    </w:p>
    <w:p>
      <w:pPr>
        <w:spacing w:after="0"/>
        <w:rPr>
          <w:sz w:val="20"/>
          <w:szCs w:val="20"/>
          <w:color w:val="auto"/>
        </w:rPr>
      </w:pPr>
      <w:r>
        <w:rPr>
          <w:rFonts w:ascii="Arial" w:cs="Arial" w:eastAsia="Arial" w:hAnsi="Arial"/>
          <w:sz w:val="16"/>
          <w:szCs w:val="16"/>
          <w:i w:val="1"/>
          <w:iCs w:val="1"/>
          <w:color w:val="auto"/>
        </w:rPr>
        <w:t>Termination of Rights to Participate in the DSPP:</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The right to participate in the DSPP terminates immediately when a participant ceases to be employed by us for any reason (including death, unpaid disability or when the participant’s employer ceases to be a subsidiary) or the participant otherwise becomes ineligible or withdraws his or her contributions from the DSPP.</w:t>
      </w:r>
    </w:p>
    <w:p>
      <w:pPr>
        <w:spacing w:after="0" w:line="184"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Modification and Termination of the DSPP:</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Subject to limited exceptions, the Board may amend or terminate the DSPP at any time. No amendment will be effective unless within one year after it is adopted by the Board it is approved by the holders of a majority of the votes cast at a meeting if such amendment would otherwise cause the rights granted under the DSPP to purchase shares of our common stock to fail to meet the requirements of Section 423 of the Code. Section 423 currently requires stockholder approval of a plan amendment that would (1) change the number of shares subject to the DSPP, or (2) change the class of employees eligible to participate in the DSPP.</w:t>
      </w:r>
    </w:p>
    <w:p>
      <w:pPr>
        <w:spacing w:after="0" w:line="112"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344274"/>
        </w:rPr>
        <w:t>U.S. Federal Income Tax Consequences to Schlumberger and to Participants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47"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type w:val="continuous"/>
        </w:sectPr>
      </w:pPr>
    </w:p>
    <w:bookmarkStart w:id="63" w:name="page64"/>
    <w:bookmarkEnd w:id="63"/>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Plan Benefits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2009 by our Chief Executive Officer, the named executive officers, executive officers as a group and all employees as a group, including all current officers who are not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8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Dollar </w:t>
            </w:r>
            <w:r>
              <w:rPr>
                <w:rFonts w:ascii="Arial" w:cs="Arial" w:eastAsia="Arial" w:hAnsi="Arial"/>
                <w:sz w:val="14"/>
                <w:szCs w:val="14"/>
                <w:b w:val="1"/>
                <w:bCs w:val="1"/>
                <w:u w:val="single" w:color="auto"/>
                <w:color w:val="auto"/>
                <w:w w:val="87"/>
              </w:rPr>
              <w:t>Value($</w:t>
            </w:r>
            <w:r>
              <w:rPr>
                <w:rFonts w:ascii="Arial" w:cs="Arial" w:eastAsia="Arial" w:hAnsi="Arial"/>
                <w:sz w:val="14"/>
                <w:szCs w:val="14"/>
                <w:b w:val="1"/>
                <w:bCs w:val="1"/>
                <w:color w:val="auto"/>
                <w:w w:val="87"/>
              </w:rPr>
              <w:t>)</w:t>
            </w:r>
          </w:p>
        </w:tc>
        <w:tc>
          <w:tcPr>
            <w:tcW w:w="8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Number of Shares</w:t>
            </w:r>
          </w:p>
        </w:tc>
      </w:tr>
      <w:tr>
        <w:trPr>
          <w:trHeight w:val="210"/>
        </w:trPr>
        <w:tc>
          <w:tcPr>
            <w:tcW w:w="20" w:type="dxa"/>
            <w:vAlign w:val="bottom"/>
          </w:tcPr>
          <w:p>
            <w:pPr>
              <w:spacing w:after="0"/>
              <w:rPr>
                <w:sz w:val="18"/>
                <w:szCs w:val="18"/>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8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 Ayat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23,089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 Kibsgaard</w:t>
            </w:r>
          </w:p>
        </w:tc>
        <w:tc>
          <w:tcPr>
            <w:tcW w:w="8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33,439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All non-executive officer employees as a group</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171" w:lineRule="exact"/>
        <w:rPr>
          <w:sz w:val="20"/>
          <w:szCs w:val="20"/>
          <w:color w:val="auto"/>
        </w:rPr>
      </w:pPr>
    </w:p>
    <w:p>
      <w:pPr>
        <w:ind w:left="3200" w:right="520" w:hanging="3185"/>
        <w:spacing w:after="0" w:line="441" w:lineRule="auto"/>
        <w:rPr>
          <w:sz w:val="20"/>
          <w:szCs w:val="20"/>
          <w:color w:val="auto"/>
        </w:rPr>
      </w:pPr>
      <w:r>
        <w:rPr>
          <w:rFonts w:ascii="Arial" w:cs="Arial" w:eastAsia="Arial" w:hAnsi="Arial"/>
          <w:sz w:val="18"/>
          <w:szCs w:val="18"/>
          <w:b w:val="1"/>
          <w:bCs w:val="1"/>
          <w:color w:val="auto"/>
        </w:rPr>
        <w:t xml:space="preserve">The Board of Directors recommends that you vote “FOR” the amendment and restatement of the Schlumberger Discounted Stock Purchase Plan. </w:t>
      </w:r>
      <w:r>
        <w:rPr>
          <w:rFonts w:ascii="Arial" w:cs="Arial" w:eastAsia="Arial" w:hAnsi="Arial"/>
          <w:sz w:val="18"/>
          <w:szCs w:val="18"/>
          <w:b w:val="1"/>
          <w:bCs w:val="1"/>
          <w:color w:val="344274"/>
        </w:rPr>
        <w:t>5. Appointment of Independent Registered Public Accounting Firm</w:t>
      </w:r>
    </w:p>
    <w:p>
      <w:pPr>
        <w:spacing w:after="0" w:line="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PricewaterhouseCoopers LLP has been selected by the Board of Directors as the independent registered public accounting firm to audit the annual financial statements of the Company for the year 2010. A majority of the votes cast is required to approve the appointment of PricewaterhouseCoopers LLP. A representative of PricewaterhouseCoopers LLP will attend the 2010 annual general meeting of stockholders and will have the opportunity to make a statement and respond to questions.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212"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audit of the Company’s 2009 and 2008 annual financial statements and reviews of quarterly financial statements and other audit services,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56"/>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11,796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13,892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14,750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4" w:name="page65"/>
    <w:bookmarkEnd w:id="64"/>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fees for employee benefit plan audits and other audit-related items.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2009,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2011 Annual General Meeting</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2011 annual general meeting of stockholders, written proposals must be received by the Secretary of the Company, 5599 San Felipe, 17th Floor, Houston, Texas 77056, no later than November 4, 2010.</w:t>
      </w:r>
    </w:p>
    <w:p>
      <w:pPr>
        <w:spacing w:after="0" w:line="85"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Pursuant to the rules under the Exchange Act, the Company may use discretionary authority to vote with respect to stockholder proposals presented in person at the 2011 annual general meeting of stockholders if the stockholder making the proposal has not given notice to the Company by January 18, 2011.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Stockholders may obtain a copy of Schlumberger’s most recent Form 10-K filed with the SEC without charge by writing to the Secretary of the Company at 5599 San Felipe, 17th Floor, Houston, Texas 77056.</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2010 OMNIBUS STOCK INCENTIVE PLAN</w:t>
      </w:r>
    </w:p>
    <w:p>
      <w:pPr>
        <w:spacing w:after="0" w:line="165" w:lineRule="exact"/>
        <w:rPr>
          <w:sz w:val="20"/>
          <w:szCs w:val="20"/>
          <w:color w:val="auto"/>
        </w:rPr>
      </w:pPr>
    </w:p>
    <w:p>
      <w:pPr>
        <w:ind w:right="20" w:firstLine="464"/>
        <w:spacing w:after="0" w:line="294"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This 2010 Schlumberger Omnibus Stock Incentive Plan (this “Plan”) was adopted by Schlumberger Limited (the “Company”)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terms set forth below shall have the following respective meanings: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Award” means an Award denominated in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Option” means an Option that is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Option” means an Option that is not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means a right to purchase a specified number of shares of Common Stock at a specified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Employee to whom an Award has been made under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Award” means an award made pursuant to this Plan to a Participant, which Award is subject to the attainment of one or more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Goal” means a standard established by the Committee, to determine in whole or in part whether a Performance Award shall be earned.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means any Common Stock that is restricted or subject to forfeiture provisions.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162(m)” means Section 162(m) of the Code and any Treasury Regulations and guidance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409A” means Section 409A of the Code and any Treasury Regulations and guidance promulgated thereunder.</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in the form of shares of Common Stock or units denominated in shares of Common Stock.</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07" w:lineRule="exact"/>
        <w:rPr>
          <w:sz w:val="20"/>
          <w:szCs w:val="20"/>
          <w:color w:val="auto"/>
        </w:rPr>
      </w:pPr>
    </w:p>
    <w:p>
      <w:pPr>
        <w:ind w:firstLine="464"/>
        <w:spacing w:after="0" w:line="306"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All Employees of the Company or a Subsidiary are eligible for Awards under this Plan in the sole discretion of the Committee. No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06" w:lineRule="exact"/>
        <w:rPr>
          <w:rFonts w:ascii="Arial" w:cs="Arial" w:eastAsia="Arial" w:hAnsi="Arial"/>
          <w:sz w:val="16"/>
          <w:szCs w:val="16"/>
          <w:color w:val="auto"/>
        </w:rPr>
      </w:pPr>
    </w:p>
    <w:p>
      <w:pPr>
        <w:jc w:val="both"/>
        <w:ind w:right="280" w:firstLine="464"/>
        <w:spacing w:after="0" w:line="298"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13 hereof, there shall be available for Awards under this Plan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or partly in Common Stock (including rights or options that may be exercised for or settled in Common Stock) an aggregate of 30 million shares of Common Stock. No more than 3 million shares of Common Stock may be the subject of Awards that are not Options or Stock Appreciation Rights. In the sole discretion of the Committee, 30 million shares of Common Stock may be granted as Incentive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67" w:name="page68"/>
    <w:bookmarkEnd w:id="67"/>
    <w:p>
      <w:pPr>
        <w:ind w:right="20" w:firstLine="464"/>
        <w:spacing w:after="0" w:line="253"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47" w:lineRule="exact"/>
        <w:rPr>
          <w:rFonts w:ascii="Arial" w:cs="Arial" w:eastAsia="Arial" w:hAnsi="Arial"/>
          <w:sz w:val="18"/>
          <w:szCs w:val="18"/>
          <w:color w:val="auto"/>
        </w:rPr>
      </w:pPr>
    </w:p>
    <w:p>
      <w:pPr>
        <w:jc w:val="both"/>
        <w:ind w:right="16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shares of Common Stock that are tendered by a Participant or withheld as full or partial payment of withholding or other taxes or as payment for the exercise or conversion price of an Award under this Plan shall not be added back to the number of shares of Common Stock available for issuance under this Plan.</w:t>
      </w:r>
    </w:p>
    <w:p>
      <w:pPr>
        <w:spacing w:after="0" w:line="140" w:lineRule="exact"/>
        <w:rPr>
          <w:rFonts w:ascii="Arial" w:cs="Arial" w:eastAsia="Arial" w:hAnsi="Arial"/>
          <w:sz w:val="18"/>
          <w:szCs w:val="18"/>
          <w:color w:val="auto"/>
        </w:rPr>
      </w:pPr>
    </w:p>
    <w:p>
      <w:pPr>
        <w:ind w:firstLine="464"/>
        <w:spacing w:after="0" w:line="294"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15" w:lineRule="exact"/>
        <w:rPr>
          <w:rFonts w:ascii="Arial" w:cs="Arial" w:eastAsia="Arial" w:hAnsi="Arial"/>
          <w:sz w:val="16"/>
          <w:szCs w:val="16"/>
          <w:color w:val="auto"/>
        </w:rPr>
      </w:pPr>
    </w:p>
    <w:p>
      <w:pPr>
        <w:ind w:right="200" w:firstLine="464"/>
        <w:spacing w:after="0" w:line="255"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142"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Awards valued by reference to Common Stock that may be settled in equivalent cash value will count as shares of Common Stock delivered to the same extent as if the Award were settled in shares of Common Stock.</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20"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68"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This Plan shall be administered by the Committee, which shall have the powers vested in it by the terms of this Plan,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to include the authority (within the limitations described in this Plan):</w:t>
      </w:r>
    </w:p>
    <w:p>
      <w:pPr>
        <w:spacing w:after="0" w:line="17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select the Employees to be granted Awards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determine the terms of Awards to be made to each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68" w:name="page69"/>
    <w:bookmarkEnd w:id="68"/>
    <w:p>
      <w:pPr>
        <w:ind w:left="900" w:right="8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the terms and conditions of Award Agreements (which shall not be inconsistent with this Plan) and which parties must sign each Award Agreement;</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otherwise provided in paragraphs 7(a) and 11, to modify the terms of Awards made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Committee may correct any defect or supply any omission or reconcile any inconsistency in this Plan or in any Award in the manner and to the extent the Committee deems necessary or desirable to further Plan purposes.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13" w:lineRule="exact"/>
        <w:rPr>
          <w:sz w:val="20"/>
          <w:szCs w:val="20"/>
          <w:color w:val="auto"/>
        </w:rPr>
      </w:pPr>
    </w:p>
    <w:p>
      <w:pPr>
        <w:ind w:right="220" w:firstLine="464"/>
        <w:spacing w:after="0" w:line="256"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 No member of the Committee or officer of the Company to whom the Committee has delegated authority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43"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Prohibition on Repricing of Awards</w:t>
      </w:r>
      <w:r>
        <w:rPr>
          <w:rFonts w:ascii="Arial" w:cs="Arial" w:eastAsia="Arial" w:hAnsi="Arial"/>
          <w:sz w:val="18"/>
          <w:szCs w:val="18"/>
          <w:color w:val="auto"/>
        </w:rPr>
        <w:t>. No Option or SAR may be repriced, replaced, regranted through cancellation or modified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(except in connection with a change in the Company’s capitalization), if the effect would be to reduce the exercise price for the shares underlying such Option or SAR.</w:t>
      </w:r>
    </w:p>
    <w:p>
      <w:pPr>
        <w:spacing w:after="0" w:line="140" w:lineRule="exact"/>
        <w:rPr>
          <w:sz w:val="20"/>
          <w:szCs w:val="20"/>
          <w:color w:val="auto"/>
        </w:rPr>
      </w:pPr>
    </w:p>
    <w:p>
      <w:pPr>
        <w:ind w:right="100" w:firstLine="464"/>
        <w:spacing w:after="0" w:line="306" w:lineRule="auto"/>
        <w:tabs>
          <w:tab w:leader="none" w:pos="63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Except with respect to matters related to Awards to Executive Officers or other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 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69" w:name="page70"/>
    <w:bookmarkEnd w:id="69"/>
    <w:p>
      <w:pPr>
        <w:ind w:right="240" w:firstLine="464"/>
        <w:spacing w:after="0" w:line="335" w:lineRule="auto"/>
        <w:tabs>
          <w:tab w:leader="none" w:pos="666"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w:t>
      </w:r>
      <w:r>
        <w:rPr>
          <w:rFonts w:ascii="Arial" w:cs="Arial" w:eastAsia="Arial" w:hAnsi="Arial"/>
          <w:sz w:val="15"/>
          <w:szCs w:val="15"/>
          <w:color w:val="auto"/>
        </w:rPr>
        <w:t>. An Award may be in the form of an Option. An Option awarded pursuant to this Plan may consist of an Incentive Option or a Non-Qualified</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88" w:lineRule="exact"/>
        <w:rPr>
          <w:rFonts w:ascii="Arial" w:cs="Arial" w:eastAsia="Arial" w:hAnsi="Arial"/>
          <w:sz w:val="15"/>
          <w:szCs w:val="15"/>
          <w:color w:val="auto"/>
        </w:rPr>
      </w:pPr>
    </w:p>
    <w:p>
      <w:pPr>
        <w:ind w:firstLine="464"/>
        <w:spacing w:after="0" w:line="259" w:lineRule="auto"/>
        <w:tabs>
          <w:tab w:leader="none" w:pos="71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An Award may be in the form of a Stock Appreciation Right. The strike price for a Stock Appreciation Right shall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Common Stock on the date on which the Stock Appreciation Right is granted. The term of a Stock Appreciation Right shall not exceed ten years from the date of grant.</w:t>
      </w:r>
    </w:p>
    <w:p>
      <w:pPr>
        <w:spacing w:after="0" w:line="140" w:lineRule="exact"/>
        <w:rPr>
          <w:rFonts w:ascii="Arial" w:cs="Arial" w:eastAsia="Arial" w:hAnsi="Arial"/>
          <w:sz w:val="18"/>
          <w:szCs w:val="18"/>
          <w:color w:val="auto"/>
        </w:rPr>
      </w:pPr>
    </w:p>
    <w:p>
      <w:pPr>
        <w:ind w:right="60" w:firstLine="464"/>
        <w:spacing w:after="0" w:line="294" w:lineRule="auto"/>
        <w:tabs>
          <w:tab w:leader="none" w:pos="764"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Award may be in the form of a Stock Award. Any Stock Award which is not a Performance Award shall have a minimum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1.5 million shares of Common Stock shall be available for issuance as Stock Awards having a time-based Restriction Period of up to three years but not less than one year.</w:t>
      </w:r>
    </w:p>
    <w:p>
      <w:pPr>
        <w:spacing w:after="0" w:line="115" w:lineRule="exact"/>
        <w:rPr>
          <w:rFonts w:ascii="Arial" w:cs="Arial" w:eastAsia="Arial" w:hAnsi="Arial"/>
          <w:sz w:val="16"/>
          <w:szCs w:val="16"/>
          <w:color w:val="auto"/>
        </w:rPr>
      </w:pPr>
    </w:p>
    <w:p>
      <w:pPr>
        <w:ind w:left="760" w:hanging="296"/>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An Award may be in the form of a Cash Award.</w:t>
      </w:r>
    </w:p>
    <w:p>
      <w:pPr>
        <w:spacing w:after="0" w:line="171" w:lineRule="exact"/>
        <w:rPr>
          <w:rFonts w:ascii="Arial" w:cs="Arial" w:eastAsia="Arial" w:hAnsi="Arial"/>
          <w:sz w:val="18"/>
          <w:szCs w:val="18"/>
          <w:color w:val="auto"/>
        </w:rPr>
      </w:pPr>
    </w:p>
    <w:p>
      <w:pPr>
        <w:ind w:firstLine="464"/>
        <w:spacing w:after="0" w:line="291"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Awards that may be made under the other provisions of this Plan, an Award may be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20" w:lineRule="exact"/>
        <w:rPr>
          <w:sz w:val="20"/>
          <w:szCs w:val="20"/>
          <w:color w:val="auto"/>
        </w:rPr>
      </w:pPr>
    </w:p>
    <w:p>
      <w:pPr>
        <w:ind w:right="320" w:firstLine="464"/>
        <w:spacing w:after="0" w:line="259" w:lineRule="auto"/>
        <w:tabs>
          <w:tab w:leader="none" w:pos="744"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Employees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shall be based on achievement of such Performance Goals and be subject to such terms, conditions and restrictions as the Committee or its delegate shall determine.</w:t>
      </w:r>
    </w:p>
    <w:p>
      <w:pPr>
        <w:spacing w:after="0" w:line="140" w:lineRule="exact"/>
        <w:rPr>
          <w:rFonts w:ascii="Arial" w:cs="Arial" w:eastAsia="Arial" w:hAnsi="Arial"/>
          <w:sz w:val="18"/>
          <w:szCs w:val="18"/>
          <w:color w:val="auto"/>
        </w:rPr>
      </w:pPr>
    </w:p>
    <w:p>
      <w:pPr>
        <w:ind w:right="60" w:firstLine="464"/>
        <w:spacing w:after="0" w:line="289" w:lineRule="auto"/>
        <w:tabs>
          <w:tab w:leader="none" w:pos="734"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that are intended to qualify as qualified performance-based compensation under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59" w:lineRule="exact"/>
        <w:rPr>
          <w:sz w:val="20"/>
          <w:szCs w:val="20"/>
          <w:color w:val="auto"/>
        </w:rPr>
      </w:pPr>
    </w:p>
    <w:p>
      <w:pPr>
        <w:ind w:left="900" w:right="36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70" w:name="page71"/>
    <w:bookmarkEnd w:id="70"/>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measures (which include net cash flow from operating activities and working capital);</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 total shareholder return and market capitalization measures);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corporate value measures (which include compliance, safety, environmental and personnel matters);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measures such as those relating to acquisitions, dispositions or customer satisfaction.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18" w:lineRule="exact"/>
        <w:rPr>
          <w:sz w:val="20"/>
          <w:szCs w:val="20"/>
          <w:color w:val="auto"/>
        </w:rPr>
      </w:pPr>
    </w:p>
    <w:p>
      <w:pPr>
        <w:ind w:firstLine="464"/>
        <w:spacing w:after="0" w:line="254" w:lineRule="auto"/>
        <w:tabs>
          <w:tab w:leader="none" w:pos="70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44"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143"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Award Payment; Dividends; Substitution; Fractional Shares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90"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of Awards may be made in the form of cash or Common Stock, or a combination thereof, and may include such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71" w:name="page72"/>
    <w:bookmarkEnd w:id="71"/>
    <w:p>
      <w:pPr>
        <w:ind w:right="140" w:firstLine="464"/>
        <w:spacing w:after="0" w:line="259"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and Interest</w:t>
      </w:r>
      <w:r>
        <w:rPr>
          <w:rFonts w:ascii="Arial" w:cs="Arial" w:eastAsia="Arial" w:hAnsi="Arial"/>
          <w:sz w:val="18"/>
          <w:szCs w:val="18"/>
          <w:color w:val="auto"/>
        </w:rPr>
        <w:t>. Rights to dividends or Dividend Equivalents may be extended to and made part of any Stock Awards,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as the Committee may establish. The Committee may also establish rules and procedures for the crediting of interest on deferred cash payments and Dividend Equivalents for Stock Awards.</w:t>
      </w:r>
    </w:p>
    <w:p>
      <w:pPr>
        <w:spacing w:after="0" w:line="140"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or delivered pursuant to any Award under this Plan.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or other property shall be issued or paid in lieu of fractional shares, or whether fractional shares or any rights thereto shall be forfeited or otherwise eliminated.</w:t>
      </w:r>
    </w:p>
    <w:p>
      <w:pPr>
        <w:spacing w:after="0" w:line="140" w:lineRule="exact"/>
        <w:rPr>
          <w:sz w:val="20"/>
          <w:szCs w:val="20"/>
          <w:color w:val="auto"/>
        </w:rPr>
      </w:pPr>
    </w:p>
    <w:p>
      <w:pPr>
        <w:ind w:right="60" w:firstLine="464"/>
        <w:spacing w:after="0" w:line="294"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Stock Option Exercise</w:t>
      </w:r>
      <w:r>
        <w:rPr>
          <w:rFonts w:ascii="Arial" w:cs="Arial" w:eastAsia="Arial" w:hAnsi="Arial"/>
          <w:sz w:val="16"/>
          <w:szCs w:val="16"/>
          <w:color w:val="auto"/>
        </w:rPr>
        <w:t>. The price at which shares of Common Stock may be purchased under an Option shall be paid in full at the time of exercise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if elected by the Participant, the Participant may purchase such shares by means of tendering Common Stock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15" w:lineRule="exact"/>
        <w:rPr>
          <w:rFonts w:ascii="Arial" w:cs="Arial" w:eastAsia="Arial" w:hAnsi="Arial"/>
          <w:sz w:val="16"/>
          <w:szCs w:val="16"/>
          <w:color w:val="auto"/>
        </w:rPr>
      </w:pPr>
    </w:p>
    <w:p>
      <w:pPr>
        <w:ind w:firstLine="464"/>
        <w:spacing w:after="0" w:line="291"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shall have the right to deduct applicable taxes from any Award payment and withhold, at the time of delivery or vesting of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20" w:lineRule="exact"/>
        <w:rPr>
          <w:rFonts w:ascii="Arial" w:cs="Arial" w:eastAsia="Arial" w:hAnsi="Arial"/>
          <w:sz w:val="16"/>
          <w:szCs w:val="16"/>
          <w:color w:val="auto"/>
        </w:rPr>
      </w:pPr>
    </w:p>
    <w:p>
      <w:pPr>
        <w:ind w:firstLine="464"/>
        <w:spacing w:after="0" w:line="289" w:lineRule="auto"/>
        <w:tabs>
          <w:tab w:leader="none" w:pos="713"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Amendment, Modification, Suspension or Termination</w:t>
      </w:r>
      <w:r>
        <w:rPr>
          <w:rFonts w:ascii="Arial" w:cs="Arial" w:eastAsia="Arial" w:hAnsi="Arial"/>
          <w:sz w:val="16"/>
          <w:szCs w:val="16"/>
          <w:color w:val="auto"/>
        </w:rPr>
        <w:t>. The Board or 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118" w:lineRule="exact"/>
        <w:rPr>
          <w:rFonts w:ascii="Arial" w:cs="Arial" w:eastAsia="Arial" w:hAnsi="Arial"/>
          <w:sz w:val="16"/>
          <w:szCs w:val="16"/>
          <w:color w:val="auto"/>
        </w:rPr>
      </w:pPr>
    </w:p>
    <w:p>
      <w:pPr>
        <w:ind w:firstLine="464"/>
        <w:spacing w:after="0" w:line="259"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Unless otherwise determined by the Committee in the Award Agreement, no Award or any other benefit under this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or otherwise transferable. Any attempted assignment of an Award or any other benefit under this Plan in violation of this paragraph 12 shall be null and void.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55"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shareholders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72" w:name="page73"/>
    <w:bookmarkEnd w:id="7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40" w:lineRule="exact"/>
        <w:rPr>
          <w:sz w:val="20"/>
          <w:szCs w:val="20"/>
          <w:color w:val="auto"/>
        </w:rPr>
      </w:pPr>
    </w:p>
    <w:p>
      <w:pPr>
        <w:ind w:right="40" w:firstLine="464"/>
        <w:spacing w:after="0" w:line="253" w:lineRule="auto"/>
        <w:tabs>
          <w:tab w:leader="none" w:pos="6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47" w:lineRule="exact"/>
        <w:rPr>
          <w:rFonts w:ascii="Arial" w:cs="Arial" w:eastAsia="Arial" w:hAnsi="Arial"/>
          <w:sz w:val="18"/>
          <w:szCs w:val="18"/>
          <w:color w:val="auto"/>
        </w:rPr>
      </w:pPr>
    </w:p>
    <w:p>
      <w:pPr>
        <w:ind w:left="460" w:right="40" w:firstLine="443"/>
        <w:spacing w:after="0" w:line="268" w:lineRule="auto"/>
        <w:tabs>
          <w:tab w:leader="none" w:pos="1108"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31" w:lineRule="exact"/>
        <w:rPr>
          <w:rFonts w:ascii="Arial" w:cs="Arial" w:eastAsia="Arial" w:hAnsi="Arial"/>
          <w:sz w:val="18"/>
          <w:szCs w:val="18"/>
          <w:color w:val="auto"/>
        </w:rPr>
      </w:pPr>
    </w:p>
    <w:p>
      <w:pPr>
        <w:ind w:firstLine="464"/>
        <w:spacing w:after="0" w:line="288" w:lineRule="auto"/>
        <w:tabs>
          <w:tab w:leader="none" w:pos="705"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 (for the avoidance of doubt, if the exercise price is less than Fair Market Value the Option or Stock Appreciation Right may be canceled for no consideration).</w:t>
      </w:r>
    </w:p>
    <w:p>
      <w:pPr>
        <w:spacing w:after="0" w:line="119" w:lineRule="exact"/>
        <w:rPr>
          <w:rFonts w:ascii="Arial" w:cs="Arial" w:eastAsia="Arial" w:hAnsi="Arial"/>
          <w:sz w:val="16"/>
          <w:szCs w:val="16"/>
          <w:color w:val="auto"/>
        </w:rPr>
      </w:pPr>
    </w:p>
    <w:p>
      <w:pPr>
        <w:ind w:right="220" w:firstLine="464"/>
        <w:spacing w:after="0" w:line="305" w:lineRule="auto"/>
        <w:tabs>
          <w:tab w:leader="none" w:pos="695" w:val="left"/>
        </w:tabs>
        <w:numPr>
          <w:ilvl w:val="1"/>
          <w:numId w:val="92"/>
        </w:numPr>
        <w:rPr>
          <w:rFonts w:ascii="Arial" w:cs="Arial" w:eastAsia="Arial" w:hAnsi="Arial"/>
          <w:sz w:val="15"/>
          <w:szCs w:val="15"/>
          <w:color w:val="auto"/>
        </w:rPr>
      </w:pPr>
      <w:r>
        <w:rPr>
          <w:rFonts w:ascii="Arial" w:cs="Arial" w:eastAsia="Arial" w:hAnsi="Arial"/>
          <w:sz w:val="15"/>
          <w:szCs w:val="15"/>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w:t>
      </w:r>
    </w:p>
    <w:p>
      <w:pPr>
        <w:ind w:firstLine="8"/>
        <w:spacing w:after="0" w:line="292" w:lineRule="auto"/>
        <w:tabs>
          <w:tab w:leader="none" w:pos="258"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17" w:lineRule="exact"/>
        <w:rPr>
          <w:sz w:val="20"/>
          <w:szCs w:val="20"/>
          <w:color w:val="auto"/>
        </w:rPr>
      </w:pPr>
    </w:p>
    <w:p>
      <w:pPr>
        <w:ind w:right="60" w:firstLine="464"/>
        <w:spacing w:after="0" w:line="290" w:lineRule="auto"/>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73" w:name="page74"/>
    <w:bookmarkEnd w:id="7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07" w:lineRule="exact"/>
        <w:rPr>
          <w:sz w:val="20"/>
          <w:szCs w:val="20"/>
          <w:color w:val="auto"/>
        </w:rPr>
      </w:pPr>
    </w:p>
    <w:p>
      <w:pPr>
        <w:ind w:firstLine="464"/>
        <w:spacing w:after="0" w:line="288" w:lineRule="auto"/>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Insofar as it provides for Awards of cash, Common Stock or rights thereto, this Plan shall be unfunded. Although bookkeeping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19" w:lineRule="exact"/>
        <w:rPr>
          <w:rFonts w:ascii="Arial" w:cs="Arial" w:eastAsia="Arial" w:hAnsi="Arial"/>
          <w:sz w:val="16"/>
          <w:szCs w:val="16"/>
          <w:color w:val="auto"/>
        </w:rPr>
      </w:pPr>
    </w:p>
    <w:p>
      <w:pPr>
        <w:ind w:firstLine="464"/>
        <w:spacing w:after="0" w:line="290" w:lineRule="auto"/>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This Plan is intended to provide compensation which is exempt from or which complies with Section 409A, and ambiguous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w:t>
      </w:r>
    </w:p>
    <w:p>
      <w:pPr>
        <w:spacing w:after="0" w:line="2"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that is six months and one day following the date of termination or (2) the date of the Participant’s death.</w:t>
      </w:r>
    </w:p>
    <w:p>
      <w:pPr>
        <w:spacing w:after="0" w:line="164" w:lineRule="exact"/>
        <w:rPr>
          <w:rFonts w:ascii="Arial" w:cs="Arial" w:eastAsia="Arial" w:hAnsi="Arial"/>
          <w:sz w:val="18"/>
          <w:szCs w:val="18"/>
          <w:color w:val="auto"/>
        </w:rPr>
      </w:pPr>
    </w:p>
    <w:p>
      <w:pPr>
        <w:jc w:val="both"/>
        <w:ind w:right="720" w:firstLine="464"/>
        <w:spacing w:after="0" w:line="370" w:lineRule="auto"/>
        <w:tabs>
          <w:tab w:leader="none" w:pos="720" w:val="left"/>
        </w:tabs>
        <w:numPr>
          <w:ilvl w:val="1"/>
          <w:numId w:val="96"/>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Plan and all determinations made and actions taken pursuant hereto, to the extent not otherwise governed by mandatory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Code or the securities laws of the United States, shall be governed by and construed in accordance with the laws of the State of Texas.</w:t>
      </w:r>
    </w:p>
    <w:p>
      <w:pPr>
        <w:spacing w:after="0" w:line="62" w:lineRule="exact"/>
        <w:rPr>
          <w:rFonts w:ascii="Arial" w:cs="Arial" w:eastAsia="Arial" w:hAnsi="Arial"/>
          <w:sz w:val="15"/>
          <w:szCs w:val="15"/>
          <w:color w:val="auto"/>
        </w:rPr>
      </w:pPr>
    </w:p>
    <w:p>
      <w:pPr>
        <w:jc w:val="both"/>
        <w:ind w:right="20" w:firstLine="464"/>
        <w:spacing w:after="0" w:line="259" w:lineRule="auto"/>
        <w:tabs>
          <w:tab w:leader="none" w:pos="72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Nothing in this Plan or an Award Agreement shall interfere with or limit in any way the right of the Company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140" w:lineRule="exact"/>
        <w:rPr>
          <w:rFonts w:ascii="Arial" w:cs="Arial" w:eastAsia="Arial" w:hAnsi="Arial"/>
          <w:sz w:val="18"/>
          <w:szCs w:val="18"/>
          <w:color w:val="auto"/>
        </w:rPr>
      </w:pPr>
    </w:p>
    <w:p>
      <w:pPr>
        <w:ind w:firstLine="464"/>
        <w:spacing w:after="0" w:line="259" w:lineRule="auto"/>
        <w:tabs>
          <w:tab w:leader="none" w:pos="72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the Company under this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40" w:lineRule="exact"/>
        <w:rPr>
          <w:rFonts w:ascii="Arial" w:cs="Arial" w:eastAsia="Arial" w:hAnsi="Arial"/>
          <w:sz w:val="18"/>
          <w:szCs w:val="18"/>
          <w:color w:val="auto"/>
        </w:rPr>
      </w:pPr>
    </w:p>
    <w:p>
      <w:pPr>
        <w:jc w:val="both"/>
        <w:ind w:right="320" w:firstLine="464"/>
        <w:spacing w:after="0" w:line="259" w:lineRule="auto"/>
        <w:tabs>
          <w:tab w:leader="none" w:pos="72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Tax Consequences</w:t>
      </w:r>
      <w:r>
        <w:rPr>
          <w:rFonts w:ascii="Arial" w:cs="Arial" w:eastAsia="Arial" w:hAnsi="Arial"/>
          <w:sz w:val="18"/>
          <w:szCs w:val="18"/>
          <w:color w:val="auto"/>
        </w:rPr>
        <w:t>. Nothing in this Plan or an Award Agreement shall constitute a representation by the Company to a Participant regarding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any Award received by a Participant under this Plan. Although the Company may endeavor to (i) qualify a Performance Award for favorable U.S. or foreign tax treatment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74" w:name="page75"/>
    <w:bookmarkEnd w:id="74"/>
    <w:p>
      <w:pPr>
        <w:ind w:right="40" w:firstLine="8"/>
        <w:spacing w:after="0" w:line="259" w:lineRule="auto"/>
        <w:tabs>
          <w:tab w:leader="none" w:pos="258"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40" w:lineRule="exact"/>
        <w:rPr>
          <w:rFonts w:ascii="Arial" w:cs="Arial" w:eastAsia="Arial" w:hAnsi="Arial"/>
          <w:sz w:val="18"/>
          <w:szCs w:val="18"/>
          <w:color w:val="auto"/>
        </w:rPr>
      </w:pPr>
    </w:p>
    <w:p>
      <w:pPr>
        <w:ind w:firstLine="464"/>
        <w:spacing w:after="0" w:line="255"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Non-United States Participants</w:t>
      </w:r>
      <w:r>
        <w:rPr>
          <w:rFonts w:ascii="Arial" w:cs="Arial" w:eastAsia="Arial" w:hAnsi="Arial"/>
          <w:sz w:val="18"/>
          <w:szCs w:val="18"/>
          <w:color w:val="auto"/>
        </w:rPr>
        <w:t>. The Committee may grant awards to persons outside the United States under such terms and conditions as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42" w:lineRule="exact"/>
        <w:rPr>
          <w:rFonts w:ascii="Arial" w:cs="Arial" w:eastAsia="Arial" w:hAnsi="Arial"/>
          <w:sz w:val="18"/>
          <w:szCs w:val="18"/>
          <w:color w:val="auto"/>
        </w:rPr>
      </w:pPr>
    </w:p>
    <w:p>
      <w:pPr>
        <w:ind w:right="100" w:firstLine="464"/>
        <w:spacing w:after="0" w:line="259" w:lineRule="auto"/>
        <w:tabs>
          <w:tab w:leader="none" w:pos="72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Plan is effective January 21, 2010, subject to its approval by the stockholders of the Company at the next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This Plan shall continue in effect for a term of ten years after the date on which the stockholders of the Company approve this Plan, unless sooner terminated by action of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Plan to be executed by its duly authorized officer on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-13970</wp:posOffset>
            </wp:positionV>
            <wp:extent cx="2229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122555</wp:posOffset>
            </wp:positionV>
            <wp:extent cx="473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-13970</wp:posOffset>
            </wp:positionV>
            <wp:extent cx="26200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20"/>
          </w:cols>
          <w:pgMar w:left="240" w:top="28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DISCOUNTED STOCK PURCHASE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January 1, 2010)</w:t>
      </w:r>
    </w:p>
    <w:p>
      <w:pPr>
        <w:spacing w:after="0" w:line="20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7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w:t>
      </w:r>
    </w:p>
    <w:p>
      <w:pPr>
        <w:spacing w:after="0" w:line="3" w:lineRule="exact"/>
        <w:rPr>
          <w:sz w:val="20"/>
          <w:szCs w:val="20"/>
          <w:color w:val="auto"/>
        </w:rPr>
      </w:pPr>
    </w:p>
    <w:p>
      <w:pPr>
        <w:ind w:right="280" w:firstLine="8"/>
        <w:spacing w:after="0" w:line="261" w:lineRule="auto"/>
        <w:tabs>
          <w:tab w:leader="none" w:pos="2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construe or interpret the Plan; (iii) determine all questions of eligibility; and (iv) compute the amount and determine the manner and time of payment of all benefits according to the Plan hereunder.</w:t>
      </w:r>
    </w:p>
    <w:p>
      <w:pPr>
        <w:spacing w:after="0" w:line="13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7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Number of Shares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Common Stock subject to issuance under the terms of the Plan shall be shares of Schlumberger Limited’s authorized but unissued shares or previously issued shares reacquired and held by Schlumberger Limited. Except as provided in Section 20 hereof, effective from and after January 21, 2010, the aggregate number of shares which may be issued under the Plan and authorized by this Plan shall not exceed 11,078,183, the sum of (i) the 1,078,183 shares of Common Stock available for issuance under this Plan on January 1, 2010 after the issuance of any such shares attributable to the Purchase Period ending December 31, 2009 and (ii) the 10,000,000 shares of Common Stock authorized as of January 21, 2010. All shares purchased under the Plan, regardless of source, shall be counted against this share limitation.</w:t>
      </w:r>
    </w:p>
    <w:p>
      <w:pPr>
        <w:spacing w:after="0" w:line="17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Requirements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 Participation in the Plan is voluntary.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are not eligible to participate in the Plan:</w:t>
      </w:r>
    </w:p>
    <w:p>
      <w:pPr>
        <w:spacing w:after="0" w:line="171" w:lineRule="exact"/>
        <w:rPr>
          <w:sz w:val="20"/>
          <w:szCs w:val="20"/>
          <w:color w:val="auto"/>
        </w:rPr>
      </w:pPr>
    </w:p>
    <w:p>
      <w:pPr>
        <w:ind w:left="460" w:right="180" w:firstLine="443"/>
        <w:spacing w:after="0" w:line="332" w:lineRule="auto"/>
        <w:tabs>
          <w:tab w:leader="none" w:pos="11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76" w:name="page77"/>
    <w:bookmarkEnd w:id="76"/>
    <w:p>
      <w:pPr>
        <w:ind w:left="1160" w:hanging="257"/>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who are customarily employed by the Company less than twenty (20) hours per week or less than five (5) months in any calendar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year; and</w:t>
      </w:r>
    </w:p>
    <w:p>
      <w:pPr>
        <w:spacing w:after="0" w:line="83" w:lineRule="exact"/>
        <w:rPr>
          <w:rFonts w:ascii="Arial" w:cs="Arial" w:eastAsia="Arial" w:hAnsi="Arial"/>
          <w:sz w:val="16"/>
          <w:szCs w:val="16"/>
          <w:color w:val="auto"/>
        </w:rPr>
      </w:pPr>
    </w:p>
    <w:p>
      <w:pPr>
        <w:ind w:left="460" w:right="420" w:firstLine="443"/>
        <w:spacing w:after="0" w:line="268" w:lineRule="auto"/>
        <w:tabs>
          <w:tab w:leader="none" w:pos="12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“Employee” shall mean any individual employed by Schlumberger Limited or any Subsidiary (as hereinafter defined). “Subsidiary” shall mean any corporation in existence as of the “Restatement Date” (as hereinafter defined) of this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Restatement Date shall automatically be deemed to be a participating Subsidiary under this Plan effective as of the following Enrollment Date unless the Committee takes action to exclude such corporation and its employees from participation herein.</w:t>
      </w:r>
    </w:p>
    <w:p>
      <w:pPr>
        <w:spacing w:after="0" w:line="155"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eligible Employee of Schlumberger Limited or any Subsidiary as of January 1, 2010 (the “Restatement Date” herein) who is already enrolled in the Plan may enroll in the Plan as of July 1, 2010. 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enroll, an eligible Employee must complete, sign and submit the appropriate form to the Personnel Department of the Company.</w:t>
      </w:r>
    </w:p>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Bonuses will be included in determining the amount of the Participant’s contribution unless the Participant gives written notice to the Personnel Department at the time and in the manner directed by the Committee.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280" w:right="299" w:bottom="1440" w:gutter="0" w:footer="0" w:header="0"/>
        </w:sectPr>
      </w:pPr>
    </w:p>
    <w:bookmarkStart w:id="77" w:name="page78"/>
    <w:bookmarkEnd w:id="77"/>
    <w:p>
      <w:pPr>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elect to increase or decrease the rate of contribution effective as of the first day of any calendar month by giving timely written notice to the Personnel Department of the Company on the appropriate form, as determined by the Committee from time to time.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7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Crediting of Contributions, Interest and Dividends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153"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 to Purchase Shares on Enrollment</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right to purchase shares of Common Stock under the Plan during a Purchase Period shall have the following terms:</w:t>
      </w:r>
    </w:p>
    <w:p>
      <w:pPr>
        <w:spacing w:after="0" w:line="171" w:lineRule="exact"/>
        <w:rPr>
          <w:sz w:val="20"/>
          <w:szCs w:val="20"/>
          <w:color w:val="auto"/>
        </w:rPr>
      </w:pPr>
    </w:p>
    <w:p>
      <w:pPr>
        <w:ind w:left="460" w:right="20" w:firstLine="443"/>
        <w:spacing w:after="0" w:line="259"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40"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no event shall the right to purchase shares of Common Stock during a Purchase Period extend beyond twenty-seven (27) months from the Enrollment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78" w:name="page79"/>
    <w:bookmarkEnd w:id="78"/>
    <w:p>
      <w:pPr>
        <w:ind w:left="460" w:right="600" w:firstLine="443"/>
        <w:spacing w:after="0" w:line="268" w:lineRule="auto"/>
        <w:tabs>
          <w:tab w:leader="none" w:pos="12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for shares purchased will be made only through payroll withholding and the crediting of interest and dividends, if applicable, in accordance with Sections 6 and 7;</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purchase of shares will be accomplished only in accordance with Section 9;</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price per share will be determined as provided in Section 9;</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24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Maximum Share Limitation for a Purchase Period shall be determined as of the Grant Date (as defined in Section 9) of a Purchase Period by dividing $12,500 by the fair market value of a share of Common Stock on such Grant Date; and</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right to purchase shares will in all respects be subject to the terms and conditions of the Plan, as interpreted by the Committee from time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99" w:lineRule="exact"/>
        <w:rPr>
          <w:rFonts w:ascii="Arial" w:cs="Arial" w:eastAsia="Arial" w:hAnsi="Arial"/>
          <w:sz w:val="16"/>
          <w:szCs w:val="16"/>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right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132" w:lineRule="exact"/>
        <w:rPr>
          <w:sz w:val="20"/>
          <w:szCs w:val="20"/>
          <w:color w:val="auto"/>
        </w:rPr>
      </w:pPr>
    </w:p>
    <w:p>
      <w:pPr>
        <w:ind w:left="1120" w:hanging="217"/>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$11,562.50 during a Purchase Period or if the purchase of shares with such allocations would exceed the Maximum Share Limitation, such excess amounts shall be refunded to the Participant as soon as administratively possible after such excess has been determined to exist.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79" w:name="page80"/>
    <w:bookmarkEnd w:id="79"/>
    <w:p>
      <w:pPr>
        <w:ind w:right="2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amounts representing a fractional share of Common Stock that were withheld but not applied toward the purchase of shares in a Purchase Period may be carried over to the next Purchase Period under this Plan or any successor plan according to the regulations as set forth under Section 423 of the Code.</w:t>
      </w:r>
    </w:p>
    <w:p>
      <w:pPr>
        <w:spacing w:after="0" w:line="15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Shares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41"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53"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Unpaid Leave of Absence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55"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may designate one or more beneficiaries in the event of death and may, in his or her sole discretion, change such designation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Any such designation shall be effective upon receipt by the local Personnel Department and shall control over any disposition by will or otherwise.</w:t>
      </w:r>
    </w:p>
    <w:p>
      <w:pPr>
        <w:spacing w:after="0" w:line="188"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80" w:name="page81"/>
    <w:bookmarkEnd w:id="80"/>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4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7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Non-U. S. Participants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5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costs and expenses incurred in administering this Plan shall be paid by the Company. Any brokerage fees for the sale of shares purchased under the Plan shall be paid by the Participant.</w:t>
      </w:r>
    </w:p>
    <w:p>
      <w:pPr>
        <w:spacing w:after="0" w:line="16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78"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74" w:right="259" w:bottom="1440" w:gutter="0" w:footer="0" w:header="0"/>
        </w:sectPr>
      </w:pPr>
    </w:p>
    <w:bookmarkStart w:id="81" w:name="page82"/>
    <w:bookmarkEnd w:id="81"/>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 Dissolution, Liquidation, Merger or Asset Sale.</w:t>
      </w:r>
    </w:p>
    <w:p>
      <w:pPr>
        <w:spacing w:after="0" w:line="177"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Changes in Capitalization. Subject to any required action by the stockholders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118"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120" w:lineRule="exact"/>
        <w:rPr>
          <w:rFonts w:ascii="Arial" w:cs="Arial" w:eastAsia="Arial" w:hAnsi="Arial"/>
          <w:sz w:val="16"/>
          <w:szCs w:val="16"/>
          <w:color w:val="auto"/>
        </w:rPr>
      </w:pPr>
    </w:p>
    <w:p>
      <w:pPr>
        <w:ind w:right="60" w:firstLine="464"/>
        <w:spacing w:after="0" w:line="289" w:lineRule="auto"/>
        <w:tabs>
          <w:tab w:leader="none" w:pos="69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152" w:lineRule="exact"/>
        <w:rPr>
          <w:rFonts w:ascii="Arial" w:cs="Arial" w:eastAsia="Arial" w:hAnsi="Arial"/>
          <w:sz w:val="16"/>
          <w:szCs w:val="16"/>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5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Stockholder Approval; Effective Date</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Plan was originally approved by the Board on January 28, 1988, amended and restated by the Board on January 21, 1992 and 1998 and thereafter further amended. This Plan was approved by the holders of a majority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74" w:right="259" w:bottom="1440" w:gutter="0" w:footer="0" w:header="0"/>
        </w:sectPr>
      </w:pPr>
    </w:p>
    <w:bookmarkStart w:id="82" w:name="page83"/>
    <w:bookmarkEnd w:id="8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outstanding Common Stock of Schlumberger Limited on April 15, 1992. This amendment and restatement approved by the Board on January 21, 2010 shall become effective as of January 1, 2010; provided, however, that the changes contained in Section 3 herein related to the increase in the number of shares which may be issued under the Plan shall not be effective unless approved by the holders of a majority of the votes cast at a meeting within the period ending January 21, 2011 (12 months after the date such increase in the number of shares which may be issued under the Plan is approved by the Board).</w:t>
      </w:r>
    </w:p>
    <w:p>
      <w:pPr>
        <w:spacing w:after="0" w:line="147"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Approvals or Consents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7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149"/>
        </w:trPr>
        <w:tc>
          <w:tcPr>
            <w:tcW w:w="3560" w:type="dxa"/>
            <w:vAlign w:val="bottom"/>
            <w:tcBorders>
              <w:top w:val="single" w:sz="8" w:color="auto"/>
              <w:left w:val="single" w:sz="8" w:color="auto"/>
              <w:right w:val="single" w:sz="8" w:color="auto"/>
            </w:tcBorders>
          </w:tcPr>
          <w:p>
            <w:pPr>
              <w:spacing w:after="0"/>
              <w:rPr>
                <w:sz w:val="12"/>
                <w:szCs w:val="12"/>
                <w:color w:val="auto"/>
              </w:rPr>
            </w:pPr>
          </w:p>
        </w:tc>
        <w:tc>
          <w:tcPr>
            <w:tcW w:w="7860" w:type="dxa"/>
            <w:vAlign w:val="bottom"/>
            <w:tcBorders>
              <w:top w:val="single" w:sz="8" w:color="auto"/>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VOTE BY INTERNET – www.proxyvote.com</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right w:val="single" w:sz="8" w:color="auto"/>
            </w:tcBorders>
          </w:tcPr>
          <w:p>
            <w:pPr>
              <w:spacing w:after="0" w:line="20" w:lineRule="exact"/>
              <w:rPr>
                <w:sz w:val="1"/>
                <w:szCs w:val="1"/>
                <w:color w:val="auto"/>
              </w:rPr>
            </w:pPr>
          </w:p>
        </w:tc>
        <w:tc>
          <w:tcPr>
            <w:tcW w:w="1620" w:type="dxa"/>
            <w:vAlign w:val="bottom"/>
            <w:vMerge w:val="restart"/>
          </w:tcPr>
          <w:p>
            <w:pPr>
              <w:ind w:left="220"/>
              <w:spacing w:after="0" w:line="151" w:lineRule="exact"/>
              <w:rPr>
                <w:sz w:val="20"/>
                <w:szCs w:val="20"/>
                <w:color w:val="auto"/>
              </w:rPr>
            </w:pPr>
            <w:r>
              <w:rPr>
                <w:rFonts w:ascii="Arial" w:cs="Arial" w:eastAsia="Arial" w:hAnsi="Arial"/>
                <w:sz w:val="14"/>
                <w:szCs w:val="14"/>
                <w:color w:val="auto"/>
                <w:w w:val="81"/>
              </w:rPr>
              <w:t>Use the Internet to transmit</w:t>
            </w:r>
          </w:p>
        </w:tc>
        <w:tc>
          <w:tcPr>
            <w:tcW w:w="1140" w:type="dxa"/>
            <w:vAlign w:val="bottom"/>
            <w:shd w:val="clear" w:color="auto" w:fill="000000"/>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Borders>
              <w:left w:val="single" w:sz="8" w:color="auto"/>
              <w:right w:val="single" w:sz="8" w:color="auto"/>
            </w:tcBorders>
          </w:tcPr>
          <w:p>
            <w:pPr>
              <w:spacing w:after="0"/>
              <w:rPr>
                <w:sz w:val="11"/>
                <w:szCs w:val="11"/>
                <w:color w:val="auto"/>
              </w:rPr>
            </w:pPr>
          </w:p>
        </w:tc>
        <w:tc>
          <w:tcPr>
            <w:tcW w:w="1620" w:type="dxa"/>
            <w:vAlign w:val="bottom"/>
            <w:vMerge w:val="continue"/>
          </w:tcPr>
          <w:p>
            <w:pPr>
              <w:spacing w:after="0"/>
              <w:rPr>
                <w:sz w:val="11"/>
                <w:szCs w:val="11"/>
                <w:color w:val="auto"/>
              </w:rPr>
            </w:pPr>
          </w:p>
        </w:tc>
        <w:tc>
          <w:tcPr>
            <w:tcW w:w="6240" w:type="dxa"/>
            <w:vAlign w:val="bottom"/>
            <w:tcBorders>
              <w:right w:val="single" w:sz="8" w:color="auto"/>
            </w:tcBorders>
            <w:gridSpan w:val="2"/>
          </w:tcPr>
          <w:p>
            <w:pPr>
              <w:ind w:left="100"/>
              <w:spacing w:after="0" w:line="131" w:lineRule="exact"/>
              <w:rPr>
                <w:sz w:val="20"/>
                <w:szCs w:val="20"/>
                <w:color w:val="auto"/>
              </w:rPr>
            </w:pPr>
            <w:r>
              <w:rPr>
                <w:rFonts w:ascii="Arial" w:cs="Arial" w:eastAsia="Arial" w:hAnsi="Arial"/>
                <w:sz w:val="14"/>
                <w:szCs w:val="14"/>
                <w:color w:val="auto"/>
                <w:w w:val="93"/>
              </w:rPr>
              <w:t>your voting instructions and for electronic delivery of information up until 11:59 P.M. Eastern Time the day</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0"/>
              </w:rPr>
              <w:t>before the cut-off date or meeting date. Have your proxy card in hand when you access the website and follow the instructions to obtain</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your records and to create an electronic voting instruction form.</w:t>
            </w:r>
          </w:p>
        </w:tc>
        <w:tc>
          <w:tcPr>
            <w:tcW w:w="0" w:type="dxa"/>
            <w:vAlign w:val="bottom"/>
          </w:tcPr>
          <w:p>
            <w:pPr>
              <w:spacing w:after="0"/>
              <w:rPr>
                <w:sz w:val="1"/>
                <w:szCs w:val="1"/>
                <w:color w:val="auto"/>
              </w:rPr>
            </w:pPr>
          </w:p>
        </w:tc>
      </w:tr>
      <w:tr>
        <w:trPr>
          <w:trHeight w:val="219"/>
        </w:trPr>
        <w:tc>
          <w:tcPr>
            <w:tcW w:w="356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4"/>
                <w:szCs w:val="14"/>
                <w:b w:val="1"/>
                <w:bCs w:val="1"/>
                <w:i w:val="1"/>
                <w:iCs w:val="1"/>
                <w:color w:val="auto"/>
              </w:rPr>
              <w:t>5599 San Felipe, 17th Floor</w:t>
            </w: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ELECTRONIC DELIVERY OF FUTURE STOCKHOLDER COMMUNICATIONS</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continue"/>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0"/>
              </w:rPr>
              <w:t>If you would like to reduce the costs incurred by Schlumberger Limited in mailing proxy materials, you can consent to receiving all future</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89"/>
              </w:rPr>
              <w:t>proxy statements, proxy cards and annual reports electronically via e-mail or the Internet. To sign up for electronic delivery, please follow</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b w:val="1"/>
                <w:bCs w:val="1"/>
                <w:i w:val="1"/>
                <w:iCs w:val="1"/>
                <w:color w:val="auto"/>
              </w:rPr>
              <w:t>Houston, Texas 77056</w:t>
            </w: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7"/>
              </w:rPr>
              <w:t>the instructions above to vote using the Internet and, when prompted, indicate that you agree to receive or access stockholder</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communications electronically in future years.</w:t>
            </w:r>
          </w:p>
        </w:tc>
        <w:tc>
          <w:tcPr>
            <w:tcW w:w="0" w:type="dxa"/>
            <w:vAlign w:val="bottom"/>
          </w:tcPr>
          <w:p>
            <w:pPr>
              <w:spacing w:after="0"/>
              <w:rPr>
                <w:sz w:val="1"/>
                <w:szCs w:val="1"/>
                <w:color w:val="auto"/>
              </w:rPr>
            </w:pPr>
          </w:p>
        </w:tc>
      </w:tr>
      <w:tr>
        <w:trPr>
          <w:trHeight w:val="381"/>
        </w:trPr>
        <w:tc>
          <w:tcPr>
            <w:tcW w:w="35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VOTE BY PHONE – 1-800-690-6903</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 Eastern Time the day before the cut-off date or</w:t>
            </w:r>
          </w:p>
        </w:tc>
        <w:tc>
          <w:tcPr>
            <w:tcW w:w="0" w:type="dxa"/>
            <w:vAlign w:val="bottom"/>
          </w:tcPr>
          <w:p>
            <w:pPr>
              <w:spacing w:after="0"/>
              <w:rPr>
                <w:sz w:val="1"/>
                <w:szCs w:val="1"/>
                <w:color w:val="auto"/>
              </w:rPr>
            </w:pPr>
          </w:p>
        </w:tc>
      </w:tr>
      <w:tr>
        <w:trPr>
          <w:trHeight w:val="172"/>
        </w:trPr>
        <w:tc>
          <w:tcPr>
            <w:tcW w:w="3560" w:type="dxa"/>
            <w:vAlign w:val="bottom"/>
            <w:tcBorders>
              <w:left w:val="single" w:sz="8" w:color="auto"/>
              <w:right w:val="single" w:sz="8" w:color="auto"/>
            </w:tcBorders>
          </w:tcPr>
          <w:p>
            <w:pPr>
              <w:spacing w:after="0"/>
              <w:rPr>
                <w:sz w:val="14"/>
                <w:szCs w:val="1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meeting date. Have your proxy card in hand when you call and then follow the instructions.</w:t>
            </w:r>
          </w:p>
        </w:tc>
        <w:tc>
          <w:tcPr>
            <w:tcW w:w="0" w:type="dxa"/>
            <w:vAlign w:val="bottom"/>
          </w:tcPr>
          <w:p>
            <w:pPr>
              <w:spacing w:after="0"/>
              <w:rPr>
                <w:sz w:val="1"/>
                <w:szCs w:val="1"/>
                <w:color w:val="auto"/>
              </w:rPr>
            </w:pPr>
          </w:p>
        </w:tc>
      </w:tr>
      <w:tr>
        <w:trPr>
          <w:trHeight w:val="381"/>
        </w:trPr>
        <w:tc>
          <w:tcPr>
            <w:tcW w:w="35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VOTE BY MAIL</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78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w w:val="89"/>
              </w:rPr>
              <w:t>Mark, sign and date your proxy card and return it in the postage-paid envelope we have provided or return it to Schlumberger Limited, c/o</w:t>
            </w:r>
          </w:p>
        </w:tc>
        <w:tc>
          <w:tcPr>
            <w:tcW w:w="0" w:type="dxa"/>
            <w:vAlign w:val="bottom"/>
          </w:tcPr>
          <w:p>
            <w:pPr>
              <w:spacing w:after="0"/>
              <w:rPr>
                <w:sz w:val="1"/>
                <w:szCs w:val="1"/>
                <w:color w:val="auto"/>
              </w:rPr>
            </w:pPr>
          </w:p>
        </w:tc>
      </w:tr>
      <w:tr>
        <w:trPr>
          <w:trHeight w:val="173"/>
        </w:trPr>
        <w:tc>
          <w:tcPr>
            <w:tcW w:w="3560" w:type="dxa"/>
            <w:vAlign w:val="bottom"/>
            <w:tcBorders>
              <w:left w:val="single" w:sz="8" w:color="auto"/>
              <w:bottom w:val="single" w:sz="8" w:color="auto"/>
              <w:right w:val="single" w:sz="8" w:color="auto"/>
            </w:tcBorders>
          </w:tcPr>
          <w:p>
            <w:pPr>
              <w:spacing w:after="0"/>
              <w:rPr>
                <w:sz w:val="15"/>
                <w:szCs w:val="15"/>
                <w:color w:val="auto"/>
              </w:rPr>
            </w:pPr>
          </w:p>
        </w:tc>
        <w:tc>
          <w:tcPr>
            <w:tcW w:w="7860" w:type="dxa"/>
            <w:vAlign w:val="bottom"/>
            <w:tcBorders>
              <w:bottom w:val="single" w:sz="8" w:color="auto"/>
              <w:right w:val="single" w:sz="8" w:color="auto"/>
            </w:tcBorders>
            <w:gridSpan w:val="3"/>
          </w:tcPr>
          <w:p>
            <w:pPr>
              <w:ind w:left="220"/>
              <w:spacing w:after="0"/>
              <w:rPr>
                <w:sz w:val="20"/>
                <w:szCs w:val="20"/>
                <w:color w:val="auto"/>
              </w:rPr>
            </w:pPr>
            <w:r>
              <w:rPr>
                <w:rFonts w:ascii="Arial" w:cs="Arial" w:eastAsia="Arial" w:hAnsi="Arial"/>
                <w:sz w:val="14"/>
                <w:szCs w:val="14"/>
                <w:color w:val="auto"/>
              </w:rPr>
              <w:t>Broadbridge,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-1765935</wp:posOffset>
            </wp:positionV>
            <wp:extent cx="1534795"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34795" cy="291465"/>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44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5"/>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gridSpan w:val="5"/>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20" w:type="dxa"/>
            <w:vAlign w:val="bottom"/>
            <w:gridSpan w:val="7"/>
          </w:tcPr>
          <w:p>
            <w:pPr>
              <w:ind w:left="1060"/>
              <w:spacing w:after="0"/>
              <w:rPr>
                <w:sz w:val="20"/>
                <w:szCs w:val="20"/>
                <w:color w:val="auto"/>
              </w:rPr>
            </w:pPr>
            <w:r>
              <w:rPr>
                <w:rFonts w:ascii="Arial" w:cs="Arial" w:eastAsia="Arial" w:hAnsi="Arial"/>
                <w:sz w:val="14"/>
                <w:szCs w:val="14"/>
                <w:color w:val="auto"/>
              </w:rPr>
              <w:t>THIS PROXY CARD IS VALID ONLY WHEN SIGNED AND DATED.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80" w:type="dxa"/>
            <w:vAlign w:val="bottom"/>
            <w:tcBorders>
              <w:left w:val="single" w:sz="8" w:color="auto"/>
            </w:tcBorders>
          </w:tcPr>
          <w:p>
            <w:pPr>
              <w:spacing w:after="0"/>
              <w:rPr>
                <w:sz w:val="11"/>
                <w:szCs w:val="11"/>
                <w:color w:val="auto"/>
              </w:rPr>
            </w:pPr>
          </w:p>
        </w:tc>
        <w:tc>
          <w:tcPr>
            <w:tcW w:w="2480" w:type="dxa"/>
            <w:vAlign w:val="bottom"/>
          </w:tcPr>
          <w:p>
            <w:pPr>
              <w:ind w:left="80"/>
              <w:spacing w:after="0" w:line="131" w:lineRule="exact"/>
              <w:rPr>
                <w:sz w:val="20"/>
                <w:szCs w:val="20"/>
                <w:color w:val="auto"/>
              </w:rPr>
            </w:pPr>
            <w:r>
              <w:rPr>
                <w:rFonts w:ascii="Arial" w:cs="Arial" w:eastAsia="Arial" w:hAnsi="Arial"/>
                <w:sz w:val="14"/>
                <w:szCs w:val="14"/>
                <w:color w:val="auto"/>
              </w:rPr>
              <w:t>SCHLUMBERGER LIMITED</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THE BOARD OF DIRECTORS RECOMMEND A VOTE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“FOR” ITEMS 1, 2, 3, 4 AND 5.</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Vote on Directors</w:t>
            </w: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    ELECTION OF</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85"/>
              </w:rPr>
              <w:t>For</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Withhold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For All</w:t>
            </w: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8"/>
              </w:rPr>
              <w:t>To withhold authority to vote for any individual nominee(s), mark “For</w:t>
            </w:r>
          </w:p>
        </w:tc>
        <w:tc>
          <w:tcPr>
            <w:tcW w:w="0" w:type="dxa"/>
            <w:vAlign w:val="bottom"/>
          </w:tcPr>
          <w:p>
            <w:pPr>
              <w:spacing w:after="0"/>
              <w:rPr>
                <w:sz w:val="1"/>
                <w:szCs w:val="1"/>
                <w:color w:val="auto"/>
              </w:rPr>
            </w:pPr>
          </w:p>
        </w:tc>
      </w:tr>
      <w:tr>
        <w:trPr>
          <w:trHeight w:val="132"/>
        </w:trPr>
        <w:tc>
          <w:tcPr>
            <w:tcW w:w="180" w:type="dxa"/>
            <w:vAlign w:val="bottom"/>
            <w:tcBorders>
              <w:left w:val="single" w:sz="8" w:color="auto"/>
            </w:tcBorders>
          </w:tcPr>
          <w:p>
            <w:pPr>
              <w:spacing w:after="0"/>
              <w:rPr>
                <w:sz w:val="11"/>
                <w:szCs w:val="11"/>
                <w:color w:val="auto"/>
              </w:rPr>
            </w:pPr>
          </w:p>
        </w:tc>
        <w:tc>
          <w:tcPr>
            <w:tcW w:w="2480" w:type="dxa"/>
            <w:vAlign w:val="bottom"/>
          </w:tcPr>
          <w:p>
            <w:pPr>
              <w:ind w:left="400"/>
              <w:spacing w:after="0" w:line="133" w:lineRule="exact"/>
              <w:rPr>
                <w:sz w:val="20"/>
                <w:szCs w:val="20"/>
                <w:color w:val="auto"/>
              </w:rPr>
            </w:pPr>
            <w:r>
              <w:rPr>
                <w:rFonts w:ascii="Arial" w:cs="Arial" w:eastAsia="Arial" w:hAnsi="Arial"/>
                <w:sz w:val="14"/>
                <w:szCs w:val="14"/>
                <w:color w:val="auto"/>
              </w:rPr>
              <w:t>DIRECTORS</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jc w:val="center"/>
              <w:spacing w:after="0" w:line="133" w:lineRule="exact"/>
              <w:rPr>
                <w:sz w:val="20"/>
                <w:szCs w:val="20"/>
                <w:color w:val="auto"/>
              </w:rPr>
            </w:pPr>
            <w:r>
              <w:rPr>
                <w:rFonts w:ascii="Arial" w:cs="Arial" w:eastAsia="Arial" w:hAnsi="Arial"/>
                <w:sz w:val="14"/>
                <w:szCs w:val="14"/>
                <w:color w:val="auto"/>
              </w:rPr>
              <w:t>All</w:t>
            </w:r>
          </w:p>
        </w:tc>
        <w:tc>
          <w:tcPr>
            <w:tcW w:w="620" w:type="dxa"/>
            <w:vAlign w:val="bottom"/>
          </w:tcPr>
          <w:p>
            <w:pPr>
              <w:jc w:val="center"/>
              <w:spacing w:after="0" w:line="133" w:lineRule="exact"/>
              <w:rPr>
                <w:sz w:val="20"/>
                <w:szCs w:val="20"/>
                <w:color w:val="auto"/>
              </w:rPr>
            </w:pPr>
            <w:r>
              <w:rPr>
                <w:rFonts w:ascii="Arial" w:cs="Arial" w:eastAsia="Arial" w:hAnsi="Arial"/>
                <w:sz w:val="14"/>
                <w:szCs w:val="14"/>
                <w:color w:val="auto"/>
              </w:rPr>
              <w:t>All</w:t>
            </w:r>
          </w:p>
        </w:tc>
        <w:tc>
          <w:tcPr>
            <w:tcW w:w="780" w:type="dxa"/>
            <w:vAlign w:val="bottom"/>
            <w:gridSpan w:val="2"/>
          </w:tcPr>
          <w:p>
            <w:pPr>
              <w:jc w:val="center"/>
              <w:ind w:right="20"/>
              <w:spacing w:after="0" w:line="133" w:lineRule="exact"/>
              <w:rPr>
                <w:sz w:val="20"/>
                <w:szCs w:val="20"/>
                <w:color w:val="auto"/>
              </w:rPr>
            </w:pPr>
            <w:r>
              <w:rPr>
                <w:rFonts w:ascii="Arial" w:cs="Arial" w:eastAsia="Arial" w:hAnsi="Arial"/>
                <w:sz w:val="14"/>
                <w:szCs w:val="14"/>
                <w:color w:val="auto"/>
                <w:w w:val="84"/>
              </w:rPr>
              <w:t>Except</w:t>
            </w:r>
          </w:p>
        </w:tc>
        <w:tc>
          <w:tcPr>
            <w:tcW w:w="4240" w:type="dxa"/>
            <w:vAlign w:val="bottom"/>
            <w:tcBorders>
              <w:right w:val="single" w:sz="8" w:color="auto"/>
            </w:tcBorders>
            <w:gridSpan w:val="5"/>
          </w:tcPr>
          <w:p>
            <w:pPr>
              <w:spacing w:after="0" w:line="133" w:lineRule="exact"/>
              <w:rPr>
                <w:sz w:val="20"/>
                <w:szCs w:val="20"/>
                <w:color w:val="auto"/>
              </w:rPr>
            </w:pPr>
            <w:r>
              <w:rPr>
                <w:rFonts w:ascii="Arial" w:cs="Arial" w:eastAsia="Arial" w:hAnsi="Arial"/>
                <w:sz w:val="14"/>
                <w:szCs w:val="14"/>
                <w:color w:val="auto"/>
                <w:w w:val="94"/>
              </w:rPr>
              <w:t>All Except” and write the number(s) of the nominee(s) on the line below.</w:t>
            </w:r>
          </w:p>
        </w:tc>
        <w:tc>
          <w:tcPr>
            <w:tcW w:w="0" w:type="dxa"/>
            <w:vAlign w:val="bottom"/>
          </w:tcPr>
          <w:p>
            <w:pPr>
              <w:spacing w:after="0"/>
              <w:rPr>
                <w:sz w:val="1"/>
                <w:szCs w:val="1"/>
                <w:color w:val="auto"/>
              </w:rPr>
            </w:pPr>
          </w:p>
        </w:tc>
      </w:tr>
      <w:tr>
        <w:trPr>
          <w:trHeight w:val="165"/>
        </w:trPr>
        <w:tc>
          <w:tcPr>
            <w:tcW w:w="180" w:type="dxa"/>
            <w:vAlign w:val="bottom"/>
            <w:tcBorders>
              <w:left w:val="single" w:sz="8" w:color="auto"/>
            </w:tcBorders>
          </w:tcPr>
          <w:p>
            <w:pPr>
              <w:spacing w:after="0"/>
              <w:rPr>
                <w:sz w:val="14"/>
                <w:szCs w:val="14"/>
                <w:color w:val="auto"/>
              </w:rPr>
            </w:pPr>
          </w:p>
        </w:tc>
        <w:tc>
          <w:tcPr>
            <w:tcW w:w="2480" w:type="dxa"/>
            <w:vAlign w:val="bottom"/>
          </w:tcPr>
          <w:p>
            <w:pPr>
              <w:ind w:left="400"/>
              <w:spacing w:after="0"/>
              <w:rPr>
                <w:sz w:val="20"/>
                <w:szCs w:val="20"/>
                <w:color w:val="auto"/>
              </w:rPr>
            </w:pPr>
            <w:r>
              <w:rPr>
                <w:rFonts w:ascii="Arial" w:cs="Arial" w:eastAsia="Arial" w:hAnsi="Arial"/>
                <w:sz w:val="14"/>
                <w:szCs w:val="14"/>
                <w:color w:val="auto"/>
              </w:rPr>
              <w:t>Nominees:</w:t>
            </w: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w w:val="85"/>
              </w:rPr>
              <w:t>☐</w:t>
            </w: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vMerge w:val="restart"/>
          </w:tcPr>
          <w:p>
            <w:pPr>
              <w:spacing w:after="0"/>
              <w:rPr>
                <w:sz w:val="9"/>
                <w:szCs w:val="9"/>
                <w:color w:val="auto"/>
              </w:rPr>
            </w:pPr>
          </w:p>
        </w:tc>
        <w:tc>
          <w:tcPr>
            <w:tcW w:w="2480" w:type="dxa"/>
            <w:vAlign w:val="bottom"/>
            <w:vMerge w:val="restart"/>
          </w:tcPr>
          <w:p>
            <w:pPr>
              <w:ind w:left="400"/>
              <w:spacing w:after="0"/>
              <w:rPr>
                <w:sz w:val="20"/>
                <w:szCs w:val="20"/>
                <w:color w:val="auto"/>
              </w:rPr>
            </w:pPr>
            <w:r>
              <w:rPr>
                <w:rFonts w:ascii="Arial" w:cs="Arial" w:eastAsia="Arial" w:hAnsi="Arial"/>
                <w:sz w:val="14"/>
                <w:szCs w:val="14"/>
                <w:color w:val="auto"/>
              </w:rPr>
              <w:t>01) P. CAMUS</w:t>
            </w:r>
          </w:p>
        </w:tc>
        <w:tc>
          <w:tcPr>
            <w:tcW w:w="2780" w:type="dxa"/>
            <w:vAlign w:val="bottom"/>
            <w:gridSpan w:val="2"/>
            <w:vMerge w:val="restart"/>
          </w:tcPr>
          <w:p>
            <w:pPr>
              <w:ind w:left="80"/>
              <w:spacing w:after="0"/>
              <w:rPr>
                <w:sz w:val="20"/>
                <w:szCs w:val="20"/>
                <w:color w:val="auto"/>
              </w:rPr>
            </w:pPr>
            <w:r>
              <w:rPr>
                <w:rFonts w:ascii="Arial" w:cs="Arial" w:eastAsia="Arial" w:hAnsi="Arial"/>
                <w:sz w:val="14"/>
                <w:szCs w:val="14"/>
                <w:color w:val="auto"/>
              </w:rPr>
              <w:t>07) N. KUDRYAVTSEV</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80" w:type="dxa"/>
            <w:vAlign w:val="bottom"/>
            <w:tcBorders>
              <w:left w:val="single" w:sz="8" w:color="auto"/>
            </w:tcBorders>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27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02) P. CURRIE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08) A. LAJOUS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03) J. S. GORELICK</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09) M. E. MARKS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04) A. GOULD</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 L. R. REIF</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ind w:left="400"/>
              <w:spacing w:after="0" w:line="149" w:lineRule="exact"/>
              <w:rPr>
                <w:sz w:val="20"/>
                <w:szCs w:val="20"/>
                <w:color w:val="auto"/>
              </w:rPr>
            </w:pPr>
            <w:r>
              <w:rPr>
                <w:rFonts w:ascii="Arial" w:cs="Arial" w:eastAsia="Arial" w:hAnsi="Arial"/>
                <w:sz w:val="14"/>
                <w:szCs w:val="14"/>
                <w:color w:val="auto"/>
              </w:rPr>
              <w:t>05) T. ISAAC</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 T. I. SANDVOLD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0" w:type="dxa"/>
            <w:vAlign w:val="bottom"/>
            <w:tcBorders>
              <w:left w:val="single" w:sz="8" w:color="auto"/>
            </w:tcBorders>
          </w:tcPr>
          <w:p>
            <w:pPr>
              <w:spacing w:after="0"/>
              <w:rPr>
                <w:sz w:val="15"/>
                <w:szCs w:val="15"/>
                <w:color w:val="auto"/>
              </w:rPr>
            </w:pPr>
          </w:p>
        </w:tc>
        <w:tc>
          <w:tcPr>
            <w:tcW w:w="2480" w:type="dxa"/>
            <w:vAlign w:val="bottom"/>
          </w:tcPr>
          <w:p>
            <w:pPr>
              <w:ind w:left="400"/>
              <w:spacing w:after="0"/>
              <w:rPr>
                <w:sz w:val="20"/>
                <w:szCs w:val="20"/>
                <w:color w:val="auto"/>
              </w:rPr>
            </w:pPr>
            <w:r>
              <w:rPr>
                <w:rFonts w:ascii="Arial" w:cs="Arial" w:eastAsia="Arial" w:hAnsi="Arial"/>
                <w:sz w:val="14"/>
                <w:szCs w:val="14"/>
                <w:color w:val="auto"/>
              </w:rPr>
              <w:t>06) K.V. KAMATH</w:t>
            </w:r>
          </w:p>
        </w:tc>
        <w:tc>
          <w:tcPr>
            <w:tcW w:w="2780" w:type="dxa"/>
            <w:vAlign w:val="bottom"/>
            <w:gridSpan w:val="2"/>
          </w:tcPr>
          <w:p>
            <w:pPr>
              <w:ind w:left="80"/>
              <w:spacing w:after="0"/>
              <w:rPr>
                <w:sz w:val="20"/>
                <w:szCs w:val="20"/>
                <w:color w:val="auto"/>
              </w:rPr>
            </w:pPr>
            <w:r>
              <w:rPr>
                <w:rFonts w:ascii="Arial" w:cs="Arial" w:eastAsia="Arial" w:hAnsi="Arial"/>
                <w:sz w:val="14"/>
                <w:szCs w:val="14"/>
                <w:color w:val="auto"/>
              </w:rPr>
              <w:t>12) H. SEYDOUX</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0" w:type="dxa"/>
            <w:vAlign w:val="bottom"/>
            <w:tcBorders>
              <w:left w:val="single" w:sz="8" w:color="auto"/>
            </w:tcBorders>
          </w:tcPr>
          <w:p>
            <w:pPr>
              <w:spacing w:after="0"/>
              <w:rPr>
                <w:sz w:val="11"/>
                <w:szCs w:val="11"/>
                <w:color w:val="auto"/>
              </w:rPr>
            </w:pPr>
          </w:p>
        </w:tc>
        <w:tc>
          <w:tcPr>
            <w:tcW w:w="2480" w:type="dxa"/>
            <w:vAlign w:val="bottom"/>
          </w:tcPr>
          <w:p>
            <w:pPr>
              <w:ind w:left="80"/>
              <w:spacing w:after="0" w:line="133" w:lineRule="exact"/>
              <w:rPr>
                <w:sz w:val="20"/>
                <w:szCs w:val="20"/>
                <w:color w:val="auto"/>
              </w:rPr>
            </w:pPr>
            <w:r>
              <w:rPr>
                <w:rFonts w:ascii="Arial" w:cs="Arial" w:eastAsia="Arial" w:hAnsi="Arial"/>
                <w:sz w:val="14"/>
                <w:szCs w:val="14"/>
                <w:color w:val="auto"/>
              </w:rPr>
              <w:t>Vote on Proposals</w:t>
            </w: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ind w:left="2600"/>
              <w:spacing w:after="0" w:line="133" w:lineRule="exact"/>
              <w:rPr>
                <w:sz w:val="20"/>
                <w:szCs w:val="20"/>
                <w:color w:val="auto"/>
              </w:rPr>
            </w:pPr>
            <w:r>
              <w:rPr>
                <w:rFonts w:ascii="Arial" w:cs="Arial" w:eastAsia="Arial" w:hAnsi="Arial"/>
                <w:sz w:val="14"/>
                <w:szCs w:val="14"/>
                <w:color w:val="auto"/>
              </w:rPr>
              <w:t>For</w:t>
            </w:r>
          </w:p>
        </w:tc>
        <w:tc>
          <w:tcPr>
            <w:tcW w:w="620" w:type="dxa"/>
            <w:vAlign w:val="bottom"/>
            <w:gridSpan w:val="2"/>
          </w:tcPr>
          <w:p>
            <w:pPr>
              <w:jc w:val="center"/>
              <w:spacing w:after="0" w:line="133" w:lineRule="exact"/>
              <w:rPr>
                <w:sz w:val="20"/>
                <w:szCs w:val="20"/>
                <w:color w:val="auto"/>
              </w:rPr>
            </w:pPr>
            <w:r>
              <w:rPr>
                <w:rFonts w:ascii="Arial" w:cs="Arial" w:eastAsia="Arial" w:hAnsi="Arial"/>
                <w:sz w:val="14"/>
                <w:szCs w:val="14"/>
                <w:color w:val="auto"/>
                <w:w w:val="89"/>
              </w:rPr>
              <w:t>Against</w:t>
            </w:r>
          </w:p>
        </w:tc>
        <w:tc>
          <w:tcPr>
            <w:tcW w:w="720" w:type="dxa"/>
            <w:vAlign w:val="bottom"/>
            <w:tcBorders>
              <w:right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2.    Proposal to adopt and approve of Financials and Dividends.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3.    Proposal to approve the adoption of the Schlumberger 2010 Stock Incentive Plan.</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622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8"/>
              </w:rPr>
              <w:t>4.    Proposal to approve the adoption of an amendment to the Schlumberger Discounted Stock Purchase Plan.</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5"/>
        </w:trPr>
        <w:tc>
          <w:tcPr>
            <w:tcW w:w="180" w:type="dxa"/>
            <w:vAlign w:val="bottom"/>
            <w:tcBorders>
              <w:left w:val="single" w:sz="8" w:color="auto"/>
            </w:tcBorders>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Arial" w:cs="Arial" w:eastAsia="Arial" w:hAnsi="Arial"/>
                <w:sz w:val="14"/>
                <w:szCs w:val="14"/>
                <w:color w:val="auto"/>
              </w:rPr>
              <w:t>5.    Proposal to approve of independent registered public accounting firm.</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ind w:left="262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gridSpan w:val="2"/>
          </w:tcPr>
          <w:p>
            <w:pPr>
              <w:jc w:val="center"/>
              <w:ind w:right="2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9900" w:type="dxa"/>
            <w:vAlign w:val="bottom"/>
            <w:gridSpan w:val="8"/>
          </w:tcPr>
          <w:p>
            <w:pPr>
              <w:ind w:left="80"/>
              <w:spacing w:after="0" w:line="149" w:lineRule="exact"/>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990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4"/>
              </w:rPr>
              <w:t>If no direction is made, this proxy will be voted FOR items 1, 2, 3, 4 and 5. If any other matters properly come before the meeting, or if cumulative voting is required, the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Arial" w:cs="Arial" w:eastAsia="Arial" w:hAnsi="Arial"/>
                <w:sz w:val="14"/>
                <w:szCs w:val="14"/>
                <w:color w:val="auto"/>
              </w:rPr>
              <w:t>person named in this proxy will vote in their discretion.</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622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92"/>
              </w:rPr>
              <w:t>For address changes and/or comments, please check this box and write them on the back where indicated.</w:t>
            </w:r>
          </w:p>
        </w:tc>
        <w:tc>
          <w:tcPr>
            <w:tcW w:w="780" w:type="dxa"/>
            <w:vAlign w:val="bottom"/>
            <w:gridSpan w:val="2"/>
            <w:vMerge w:val="continue"/>
          </w:tcPr>
          <w:p>
            <w:pPr>
              <w:spacing w:after="0"/>
              <w:rPr>
                <w:sz w:val="12"/>
                <w:szCs w:val="12"/>
                <w:color w:val="auto"/>
              </w:rPr>
            </w:pP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7"/>
              </w:rPr>
              <w:t>Please sign your name exactly as it appears hereon. When signing as</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w w:val="82"/>
              </w:rPr>
              <w:t>Yes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4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6"/>
              </w:rPr>
              <w:t>attorney, executor, administrator, trustee or guardian, please add your</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w w:val="87"/>
              </w:rPr>
              <w:t>title as such. When signing as joint tenants, all parties in the joint</w:t>
            </w: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80" w:type="dxa"/>
            <w:vAlign w:val="bottom"/>
            <w:tcBorders>
              <w:left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52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5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Please indicate if you plan to attend this meeting.</w:t>
            </w: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3"/>
          </w:tcPr>
          <w:p>
            <w:pPr>
              <w:spacing w:after="0" w:line="149" w:lineRule="exact"/>
              <w:rPr>
                <w:sz w:val="20"/>
                <w:szCs w:val="20"/>
                <w:color w:val="auto"/>
              </w:rPr>
            </w:pPr>
            <w:r>
              <w:rPr>
                <w:rFonts w:ascii="Arial" w:cs="Arial" w:eastAsia="Arial" w:hAnsi="Arial"/>
                <w:sz w:val="14"/>
                <w:szCs w:val="14"/>
                <w:color w:val="auto"/>
                <w:w w:val="88"/>
              </w:rPr>
              <w:t>tenancy must sign. If a signer is a corporation, please sign in full</w:t>
            </w:r>
          </w:p>
        </w:tc>
        <w:tc>
          <w:tcPr>
            <w:tcW w:w="4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Borders>
              <w:lef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corporate name by duly authorized officer.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80" w:type="dxa"/>
            <w:vAlign w:val="bottom"/>
            <w:tcBorders>
              <w:left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right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right w:val="single" w:sz="8" w:color="auto"/>
            </w:tcBorders>
          </w:tcPr>
          <w:p>
            <w:pPr>
              <w:spacing w:after="0"/>
              <w:rPr>
                <w:sz w:val="20"/>
                <w:szCs w:val="20"/>
                <w:color w:val="auto"/>
              </w:rPr>
            </w:pPr>
          </w:p>
        </w:tc>
        <w:tc>
          <w:tcPr>
            <w:tcW w:w="74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right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 w:type="dxa"/>
            <w:vAlign w:val="bottom"/>
            <w:tcBorders>
              <w:left w:val="single" w:sz="8" w:color="auto"/>
            </w:tcBorders>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w w:val="94"/>
              </w:rPr>
              <w:t>Signature [PLEASE SIGN WITHIN BOX]</w:t>
            </w:r>
          </w:p>
        </w:tc>
        <w:tc>
          <w:tcPr>
            <w:tcW w:w="204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Date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Signature [PLEASE SIGN WITHIN BOX]</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Date</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80" w:type="dxa"/>
            <w:vAlign w:val="bottom"/>
            <w:tcBorders>
              <w:left w:val="single" w:sz="8" w:color="auto"/>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8" w:right="23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69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569335"/>
                    </a:xfrm>
                    <a:prstGeom prst="rect">
                      <a:avLst/>
                    </a:prstGeom>
                    <a:noFill/>
                  </pic:spPr>
                </pic:pic>
              </a:graphicData>
            </a:graphic>
          </wp:anchor>
        </w:drawing>
        <w:t>SCHLUMBERGER LIMITED (SCHLUMBERGER N.V.)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ANNUAL GENERAL MEETING OF STOCKHOLDERS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7, 2010</w:t>
      </w:r>
    </w:p>
    <w:p>
      <w:pPr>
        <w:spacing w:after="0" w:line="2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undersigned hereby appoints Robin van Bokhorst, Aede Gerbranda, Margo Troll-Weusten and Martijn Moerdijk, and each of them, as proxies, each with the power of substitution, and hereby authorizes them to represent and to vote, as designated on the reverse side of this ballot, all of the shares of Common Stock of Schlumberger Limited (Schlumberger N.V.) that the undersigned is entitled to vote at the Annual General Meeting of Stockholders to be held at the Avila Beach Hotel, Penstraat 130, Willemstad, Curaçao, Netherlands Antilles on April 7, 2010, and any adjournment or postponement thereof.</w:t>
      </w:r>
    </w:p>
    <w:p>
      <w:pPr>
        <w:spacing w:after="0" w:line="200" w:lineRule="exact"/>
        <w:rPr>
          <w:sz w:val="20"/>
          <w:szCs w:val="20"/>
          <w:color w:val="auto"/>
        </w:rPr>
      </w:pPr>
    </w:p>
    <w:p>
      <w:pPr>
        <w:spacing w:after="0" w:line="318" w:lineRule="exact"/>
        <w:rPr>
          <w:sz w:val="20"/>
          <w:szCs w:val="20"/>
          <w:color w:val="auto"/>
        </w:rPr>
      </w:pPr>
    </w:p>
    <w:p>
      <w:pPr>
        <w:ind w:firstLine="432"/>
        <w:spacing w:after="0" w:line="268" w:lineRule="auto"/>
        <w:rPr>
          <w:sz w:val="20"/>
          <w:szCs w:val="20"/>
          <w:color w:val="auto"/>
        </w:rPr>
      </w:pPr>
      <w:r>
        <w:rPr>
          <w:rFonts w:ascii="Arial" w:cs="Arial" w:eastAsia="Arial" w:hAnsi="Arial"/>
          <w:sz w:val="18"/>
          <w:szCs w:val="18"/>
          <w:color w:val="auto"/>
        </w:rPr>
        <w:t>THIS PROXY, WHEN PROPERLY EXECUTED, WILL BE VOTED AS DIRECTED BY THE UNDERSIGNED. IF NO SUCH DIRECTIONS ARE MADE, THIS PROXY WILL BE VOTED FOR ITEMS 1, 2, 3, 4 AND 5.</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Changes/Comments: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sectPr>
      <w:pgSz w:w="11900" w:h="16838" w:orient="portrait"/>
      <w:cols w:equalWidth="0" w:num="1">
        <w:col w:w="11080"/>
      </w:cols>
      <w:pgMar w:left="360" w:top="4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lvl w:ilvl="1">
      <w:lvlJc w:val="left"/>
      <w:lvlText w:val="(%2)"/>
      <w:numFmt w:val="decimal"/>
      <w:start w:val="1"/>
    </w:lvl>
  </w:abstractNum>
  <w:abstractNum w:abstractNumId="3">
    <w:nsid w:val="2F305DEF"/>
    <w:multiLevelType w:val="hybridMultilevel"/>
    <w:lvl w:ilvl="0">
      <w:lvlJc w:val="left"/>
      <w:lvlText w:val="☐"/>
      <w:numFmt w:val="bullet"/>
      <w:start w:val="1"/>
    </w:lvl>
    <w:lvl w:ilvl="1">
      <w:lvlJc w:val="left"/>
      <w:lvlText w:val="(%2)"/>
      <w:numFmt w:val="decimal"/>
      <w:start w:val="5"/>
    </w:lvl>
  </w:abstractNum>
  <w:abstractNum w:abstractNumId="4">
    <w:nsid w:val="25A70BF7"/>
    <w:multiLevelType w:val="hybridMultilevel"/>
    <w:lvl w:ilvl="0">
      <w:lvlJc w:val="left"/>
      <w:lvlText w:val="☐"/>
      <w:numFmt w:val="bullet"/>
      <w:start w:val="1"/>
    </w:lvl>
    <w:lvl w:ilvl="1">
      <w:lvlJc w:val="left"/>
      <w:lvlText w:val="(%2)"/>
      <w:numFmt w:val="decimal"/>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decimal"/>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4"/>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lvl w:ilvl="1">
      <w:lvlJc w:val="left"/>
      <w:lvlText w:val="•"/>
      <w:numFmt w:val="bullet"/>
      <w:start w:val="1"/>
    </w:lvl>
  </w:abstractNum>
  <w:abstractNum w:abstractNumId="16">
    <w:nsid w:val="6B94764"/>
    <w:multiLevelType w:val="hybridMultilevel"/>
    <w:lvl w:ilvl="0">
      <w:lvlJc w:val="left"/>
      <w:lvlText w:val="•"/>
      <w:numFmt w:val="bullet"/>
      <w:start w:val="1"/>
    </w:lvl>
    <w:lvl w:ilvl="1">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lvl w:ilvl="1">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lvl w:ilvl="1">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lvl w:ilvl="1">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decimal"/>
      <w:start w:val="1"/>
    </w:lvl>
  </w:abstractNum>
  <w:abstractNum w:abstractNumId="38">
    <w:nsid w:val="7FFFCA11"/>
    <w:multiLevelType w:val="hybridMultilevel"/>
    <w:lvl w:ilvl="0">
      <w:lvlJc w:val="left"/>
      <w:lvlText w:val="(%1)"/>
      <w:numFmt w:val="decimal"/>
      <w:start w:val="8"/>
    </w:lvl>
  </w:abstractNum>
  <w:abstractNum w:abstractNumId="39">
    <w:nsid w:val="1A27709E"/>
    <w:multiLevelType w:val="hybridMultilevel"/>
    <w:lvl w:ilvl="0">
      <w:lvlJc w:val="left"/>
      <w:lvlText w:val="(%1)"/>
      <w:numFmt w:val="decimal"/>
      <w:start w:val="12"/>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3"/>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1)"/>
      <w:numFmt w:val="lowerRoman"/>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decimal"/>
      <w:start w:val="1"/>
    </w:lvl>
    <w:lvl w:ilvl="1">
      <w:lvlJc w:val="left"/>
      <w:lvlText w:val="%2."/>
      <w:numFmt w:val="decimal"/>
      <w:start w:val="2"/>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4"/>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1)"/>
      <w:numFmt w:val="decimal"/>
      <w:start w:val="2"/>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decimal"/>
      <w:start w:val="3"/>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5"/>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lowerLetter"/>
      <w:start w:val="2"/>
    </w:lvl>
  </w:abstractNum>
  <w:abstractNum w:abstractNumId="79">
    <w:nsid w:val="3FA62ACA"/>
    <w:multiLevelType w:val="hybridMultilevel"/>
    <w:lvl w:ilvl="0">
      <w:lvlJc w:val="left"/>
      <w:lvlText w:val="%1."/>
      <w:numFmt w:val="decimal"/>
      <w:start w:val="6"/>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lowerRoman"/>
      <w:start w:val="1"/>
    </w:lvl>
  </w:abstractNum>
  <w:abstractNum w:abstractNumId="82">
    <w:nsid w:val="71C91298"/>
    <w:multiLevelType w:val="hybridMultilevel"/>
    <w:lvl w:ilvl="0">
      <w:lvlJc w:val="left"/>
      <w:lvlText w:val="(%1)"/>
      <w:numFmt w:val="upperLetter"/>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1)"/>
      <w:numFmt w:val="lowerLetter"/>
      <w:start w:val="2"/>
    </w:lvl>
  </w:abstractNum>
  <w:abstractNum w:abstractNumId="86">
    <w:nsid w:val="5092CA79"/>
    <w:multiLevelType w:val="hybridMultilevel"/>
    <w:lvl w:ilvl="0">
      <w:lvlJc w:val="left"/>
      <w:lvlText w:val="%1."/>
      <w:numFmt w:val="decimal"/>
      <w:start w:val="8"/>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lowerLetter"/>
      <w:start w:val="2"/>
    </w:lvl>
  </w:abstractNum>
  <w:abstractNum w:abstractNumId="89">
    <w:nsid w:val="288F1A34"/>
    <w:multiLevelType w:val="hybridMultilevel"/>
    <w:lvl w:ilvl="0">
      <w:lvlJc w:val="left"/>
      <w:lvlText w:val="%1."/>
      <w:numFmt w:val="decimal"/>
      <w:start w:val="9"/>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2">
    <w:nsid w:val="97E1B4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93">
    <w:nsid w:val="51088277"/>
    <w:multiLevelType w:val="hybridMultilevel"/>
    <w:lvl w:ilvl="0">
      <w:lvlJc w:val="left"/>
      <w:lvlText w:val="%1."/>
      <w:numFmt w:val="decimal"/>
      <w:start w:val="14"/>
    </w:lvl>
  </w:abstractNum>
  <w:abstractNum w:abstractNumId="94">
    <w:nsid w:val="1CA0C5FA"/>
    <w:multiLevelType w:val="hybridMultilevel"/>
    <w:lvl w:ilvl="0">
      <w:lvlJc w:val="left"/>
      <w:lvlText w:val="%1."/>
      <w:numFmt w:val="decimal"/>
      <w:start w:val="15"/>
    </w:lvl>
  </w:abstractNum>
  <w:abstractNum w:abstractNumId="95">
    <w:nsid w:val="53584BCB"/>
    <w:multiLevelType w:val="hybridMultilevel"/>
    <w:lvl w:ilvl="0">
      <w:lvlJc w:val="left"/>
      <w:lvlText w:val="(%1)"/>
      <w:numFmt w:val="decimal"/>
      <w:start w:val="1"/>
    </w:lvl>
    <w:lvl w:ilvl="1">
      <w:lvlJc w:val="left"/>
      <w:lvlText w:val="%2."/>
      <w:numFmt w:val="decimal"/>
      <w:start w:val="17"/>
    </w:lvl>
  </w:abstractNum>
  <w:abstractNum w:abstractNumId="96">
    <w:nsid w:val="415E286C"/>
    <w:multiLevelType w:val="hybridMultilevel"/>
    <w:lvl w:ilvl="0">
      <w:lvlJc w:val="left"/>
      <w:lvlText w:val="(%1)"/>
      <w:numFmt w:val="lowerRoman"/>
      <w:start w:val="2"/>
    </w:lvl>
    <w:lvl w:ilvl="1">
      <w:lvlJc w:val="left"/>
      <w:lvlText w:val="%2."/>
      <w:numFmt w:val="decimal"/>
      <w:start w:val="21"/>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decimal"/>
      <w:start w:val="2"/>
    </w:lvl>
  </w:abstractNum>
  <w:abstractNum w:abstractNumId="99">
    <w:nsid w:val="45E6D486"/>
    <w:multiLevelType w:val="hybridMultilevel"/>
    <w:lvl w:ilvl="0">
      <w:lvlJc w:val="left"/>
      <w:lvlText w:val="(%1)"/>
      <w:numFmt w:val="lowerRoman"/>
      <w:start w:val="2"/>
    </w:lvl>
  </w:abstractNum>
  <w:abstractNum w:abstractNumId="100">
    <w:nsid w:val="5C10FE21"/>
    <w:multiLevelType w:val="hybridMultilevel"/>
    <w:lvl w:ilvl="0">
      <w:lvlJc w:val="left"/>
      <w:lvlText w:val="%1."/>
      <w:numFmt w:val="decimal"/>
      <w:start w:val="3"/>
    </w:lvl>
  </w:abstractNum>
  <w:abstractNum w:abstractNumId="101">
    <w:nsid w:val="E7FFA2B"/>
    <w:multiLevelType w:val="hybridMultilevel"/>
    <w:lvl w:ilvl="0">
      <w:lvlJc w:val="left"/>
      <w:lvlText w:val="%1."/>
      <w:numFmt w:val="decimal"/>
      <w:start w:val="4"/>
    </w:lvl>
  </w:abstractNum>
  <w:abstractNum w:abstractNumId="102">
    <w:nsid w:val="3C5991AA"/>
    <w:multiLevelType w:val="hybridMultilevel"/>
    <w:lvl w:ilvl="0">
      <w:lvlJc w:val="left"/>
      <w:lvlText w:val="(%1)"/>
      <w:numFmt w:val="lowerRoman"/>
      <w:start w:val="1"/>
    </w:lvl>
  </w:abstractNum>
  <w:abstractNum w:abstractNumId="103">
    <w:nsid w:val="4BD8591A"/>
    <w:multiLevelType w:val="hybridMultilevel"/>
    <w:lvl w:ilvl="0">
      <w:lvlJc w:val="left"/>
      <w:lvlText w:val="(%1)"/>
      <w:numFmt w:val="lowerRoman"/>
      <w:start w:val="2"/>
    </w:lvl>
  </w:abstractNum>
  <w:abstractNum w:abstractNumId="104">
    <w:nsid w:val="78DF6A55"/>
    <w:multiLevelType w:val="hybridMultilevel"/>
    <w:lvl w:ilvl="0">
      <w:lvlJc w:val="left"/>
      <w:lvlText w:val="%1."/>
      <w:numFmt w:val="decimal"/>
      <w:start w:val="5"/>
    </w:lvl>
  </w:abstractNum>
  <w:abstractNum w:abstractNumId="105">
    <w:nsid w:val="39B7AAA2"/>
    <w:multiLevelType w:val="hybridMultilevel"/>
    <w:lvl w:ilvl="0">
      <w:lvlJc w:val="left"/>
      <w:lvlText w:val="%1."/>
      <w:numFmt w:val="decimal"/>
      <w:start w:val="6"/>
    </w:lvl>
  </w:abstractNum>
  <w:abstractNum w:abstractNumId="106">
    <w:nsid w:val="2B0D8DBE"/>
    <w:multiLevelType w:val="hybridMultilevel"/>
    <w:lvl w:ilvl="0">
      <w:lvlJc w:val="left"/>
      <w:lvlText w:val="%1."/>
      <w:numFmt w:val="decimal"/>
      <w:start w:val="7"/>
    </w:lvl>
  </w:abstractNum>
  <w:abstractNum w:abstractNumId="107">
    <w:nsid w:val="6C80EC70"/>
    <w:multiLevelType w:val="hybridMultilevel"/>
    <w:lvl w:ilvl="0">
      <w:lvlJc w:val="left"/>
      <w:lvlText w:val="%1."/>
      <w:numFmt w:val="decimal"/>
      <w:start w:val="8"/>
    </w:lvl>
  </w:abstractNum>
  <w:abstractNum w:abstractNumId="108">
    <w:nsid w:val="379E21B5"/>
    <w:multiLevelType w:val="hybridMultilevel"/>
    <w:lvl w:ilvl="0">
      <w:lvlJc w:val="left"/>
      <w:lvlText w:val="(%1)"/>
      <w:numFmt w:val="lowerRoman"/>
      <w:start w:val="1"/>
    </w:lvl>
  </w:abstractNum>
  <w:abstractNum w:abstractNumId="109">
    <w:nsid w:val="69E373"/>
    <w:multiLevelType w:val="hybridMultilevel"/>
    <w:lvl w:ilvl="0">
      <w:lvlJc w:val="left"/>
      <w:lvlText w:val="%1"/>
      <w:numFmt w:val="decimal"/>
      <w:start w:val="1"/>
    </w:lvl>
    <w:lvl w:ilvl="1">
      <w:lvlJc w:val="left"/>
      <w:lvlText w:val="(%2)"/>
      <w:numFmt w:val="lowerRoman"/>
      <w:start w:val="3"/>
    </w:lvl>
  </w:abstractNum>
  <w:abstractNum w:abstractNumId="110">
    <w:nsid w:val="2C27173B"/>
    <w:multiLevelType w:val="hybridMultilevel"/>
    <w:lvl w:ilvl="0">
      <w:lvlJc w:val="left"/>
      <w:lvlText w:val="%1."/>
      <w:numFmt w:val="decimal"/>
      <w:start w:val="9"/>
    </w:lvl>
    <w:lvl w:ilvl="1">
      <w:lvlJc w:val="left"/>
      <w:lvlText w:val="%2"/>
      <w:numFmt w:val="lowerRoman"/>
      <w:start w:val="1"/>
    </w:lvl>
  </w:abstractNum>
  <w:abstractNum w:abstractNumId="111">
    <w:nsid w:val="4C9B0904"/>
    <w:multiLevelType w:val="hybridMultilevel"/>
    <w:lvl w:ilvl="0">
      <w:lvlJc w:val="left"/>
      <w:lvlText w:val="(%1)"/>
      <w:numFmt w:val="lowerRoman"/>
      <w:start w:val="1"/>
    </w:lvl>
  </w:abstractNum>
  <w:abstractNum w:abstractNumId="112">
    <w:nsid w:val="6AA7B75C"/>
    <w:multiLevelType w:val="hybridMultilevel"/>
    <w:lvl w:ilvl="0">
      <w:lvlJc w:val="left"/>
      <w:lvlText w:val="%1."/>
      <w:numFmt w:val="decimal"/>
      <w:start w:val="10"/>
    </w:lvl>
  </w:abstractNum>
  <w:abstractNum w:abstractNumId="113">
    <w:nsid w:val="1DF029D3"/>
    <w:multiLevelType w:val="hybridMultilevel"/>
    <w:lvl w:ilvl="0">
      <w:lvlJc w:val="left"/>
      <w:lvlText w:val="%1."/>
      <w:numFmt w:val="decimal"/>
      <w:start w:val="11"/>
    </w:lvl>
  </w:abstractNum>
  <w:abstractNum w:abstractNumId="114">
    <w:nsid w:val="5675FF36"/>
    <w:multiLevelType w:val="hybridMultilevel"/>
    <w:lvl w:ilvl="0">
      <w:lvlJc w:val="left"/>
      <w:lvlText w:val="%1."/>
      <w:numFmt w:val="decimal"/>
      <w:start w:val="12"/>
    </w:lvl>
  </w:abstractNum>
  <w:abstractNum w:abstractNumId="115">
    <w:nsid w:val="3DD15094"/>
    <w:multiLevelType w:val="hybridMultilevel"/>
    <w:lvl w:ilvl="0">
      <w:lvlJc w:val="left"/>
      <w:lvlText w:val="%1."/>
      <w:numFmt w:val="decimal"/>
      <w:start w:val="13"/>
    </w:lvl>
  </w:abstractNum>
  <w:abstractNum w:abstractNumId="116">
    <w:nsid w:val="3DB012B3"/>
    <w:multiLevelType w:val="hybridMultilevel"/>
    <w:lvl w:ilvl="0">
      <w:lvlJc w:val="left"/>
      <w:lvlText w:val="%1."/>
      <w:numFmt w:val="decimal"/>
      <w:start w:val="14"/>
    </w:lvl>
  </w:abstractNum>
  <w:abstractNum w:abstractNumId="117">
    <w:nsid w:val="2708C9AF"/>
    <w:multiLevelType w:val="hybridMultilevel"/>
    <w:lvl w:ilvl="0">
      <w:lvlJc w:val="left"/>
      <w:lvlText w:val="%1."/>
      <w:numFmt w:val="decimal"/>
      <w:start w:val="15"/>
    </w:lvl>
  </w:abstractNum>
  <w:abstractNum w:abstractNumId="118">
    <w:nsid w:val="5B25ACE2"/>
    <w:multiLevelType w:val="hybridMultilevel"/>
    <w:lvl w:ilvl="0">
      <w:lvlJc w:val="left"/>
      <w:lvlText w:val="%1."/>
      <w:numFmt w:val="decimal"/>
      <w:start w:val="16"/>
    </w:lvl>
  </w:abstractNum>
  <w:abstractNum w:abstractNumId="119">
    <w:nsid w:val="175DFCF0"/>
    <w:multiLevelType w:val="hybridMultilevel"/>
    <w:lvl w:ilvl="0">
      <w:lvlJc w:val="left"/>
      <w:lvlText w:val="%1."/>
      <w:numFmt w:val="decimal"/>
      <w:start w:val="17"/>
    </w:lvl>
  </w:abstractNum>
  <w:abstractNum w:abstractNumId="120">
    <w:nsid w:val="4F97E3E4"/>
    <w:multiLevelType w:val="hybridMultilevel"/>
    <w:lvl w:ilvl="0">
      <w:lvlJc w:val="left"/>
      <w:lvlText w:val="%1."/>
      <w:numFmt w:val="decimal"/>
      <w:start w:val="18"/>
    </w:lvl>
  </w:abstractNum>
  <w:abstractNum w:abstractNumId="121">
    <w:nsid w:val="53B0A9E"/>
    <w:multiLevelType w:val="hybridMultilevel"/>
    <w:lvl w:ilvl="0">
      <w:lvlJc w:val="left"/>
      <w:lvlText w:val="%1."/>
      <w:numFmt w:val="decimal"/>
      <w:start w:val="19"/>
    </w:lvl>
  </w:abstractNum>
  <w:abstractNum w:abstractNumId="122">
    <w:nsid w:val="34FD6B4F"/>
    <w:multiLevelType w:val="hybridMultilevel"/>
    <w:lvl w:ilvl="0">
      <w:lvlJc w:val="left"/>
      <w:lvlText w:val="%1."/>
      <w:numFmt w:val="decimal"/>
      <w:start w:val="20"/>
    </w:lvl>
    <w:lvl w:ilvl="1">
      <w:lvlJc w:val="left"/>
      <w:lvlText w:val="(%2)"/>
      <w:numFmt w:val="lowerLetter"/>
      <w:start w:val="1"/>
    </w:lvl>
  </w:abstractNum>
  <w:abstractNum w:abstractNumId="123">
    <w:nsid w:val="5915FF32"/>
    <w:multiLevelType w:val="hybridMultilevel"/>
    <w:lvl w:ilvl="0">
      <w:lvlJc w:val="left"/>
      <w:lvlText w:val="%1."/>
      <w:numFmt w:val="decimal"/>
      <w:start w:val="22"/>
    </w:lvl>
  </w:abstractNum>
  <w:abstractNum w:abstractNumId="124">
    <w:nsid w:val="56438D15"/>
    <w:multiLevelType w:val="hybridMultilevel"/>
    <w:lvl w:ilvl="0">
      <w:lvlJc w:val="left"/>
      <w:lvlText w:val="%1."/>
      <w:numFmt w:val="decimal"/>
      <w:start w:val="23"/>
    </w:lvl>
  </w:abstractNum>
  <w:abstractNum w:abstractNumId="125">
    <w:nsid w:val="519E3149"/>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2019-12-10T03:05:20Z</dcterms:created>
  <dcterms:modified xsi:type="dcterms:W3CDTF">2019-12-10T03:05:20Z</dcterms:modified>
</cp:coreProperties>
</file>