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248285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243205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43"/>
          <w:szCs w:val="43"/>
          <w:b w:val="1"/>
          <w:bCs w:val="1"/>
          <w:color w:val="auto"/>
        </w:rPr>
        <w:t>SLB N.V. (SLB Limited)</w:t>
      </w:r>
    </w:p>
    <w:p>
      <w:pPr>
        <w:spacing w:after="0" w:line="48"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844" w:type="dxa"/>
        <w:tblCellMar>
          <w:top w:w="0" w:type="dxa"/>
          <w:left w:w="0" w:type="dxa"/>
          <w:bottom w:w="0" w:type="dxa"/>
          <w:right w:w="0" w:type="dxa"/>
        </w:tblCellMar>
      </w:tblPr>
      <w:tr>
        <w:trPr>
          <w:trHeight w:val="212"/>
        </w:trPr>
        <w:tc>
          <w:tcPr>
            <w:tcW w:w="3840" w:type="dxa"/>
            <w:vAlign w:val="bottom"/>
          </w:tcPr>
          <w:p>
            <w:pPr>
              <w:jc w:val="center"/>
              <w:ind w:right="1715"/>
              <w:spacing w:after="0"/>
              <w:rPr>
                <w:sz w:val="20"/>
                <w:szCs w:val="20"/>
                <w:color w:val="auto"/>
              </w:rPr>
            </w:pPr>
            <w:r>
              <w:rPr>
                <w:rFonts w:ascii="Arial" w:cs="Arial" w:eastAsia="Arial" w:hAnsi="Arial"/>
                <w:sz w:val="18"/>
                <w:szCs w:val="18"/>
                <w:b w:val="1"/>
                <w:bCs w:val="1"/>
                <w:color w:val="auto"/>
                <w:w w:val="99"/>
              </w:rPr>
              <w:t>Curaçao</w:t>
            </w:r>
          </w:p>
        </w:tc>
        <w:tc>
          <w:tcPr>
            <w:tcW w:w="2320" w:type="dxa"/>
            <w:vAlign w:val="bottom"/>
          </w:tcPr>
          <w:p>
            <w:pPr>
              <w:jc w:val="center"/>
              <w:ind w:right="362"/>
              <w:spacing w:after="0"/>
              <w:rPr>
                <w:sz w:val="20"/>
                <w:szCs w:val="20"/>
                <w:color w:val="auto"/>
              </w:rPr>
            </w:pPr>
            <w:r>
              <w:rPr>
                <w:rFonts w:ascii="Arial" w:cs="Arial" w:eastAsia="Arial" w:hAnsi="Arial"/>
                <w:sz w:val="18"/>
                <w:szCs w:val="18"/>
                <w:b w:val="1"/>
                <w:bCs w:val="1"/>
                <w:color w:val="auto"/>
                <w:w w:val="99"/>
              </w:rPr>
              <w:t>1-4601</w:t>
            </w:r>
          </w:p>
        </w:tc>
        <w:tc>
          <w:tcPr>
            <w:tcW w:w="2860" w:type="dxa"/>
            <w:vAlign w:val="bottom"/>
          </w:tcPr>
          <w:p>
            <w:pPr>
              <w:jc w:val="center"/>
              <w:ind w:left="1578"/>
              <w:spacing w:after="0"/>
              <w:rPr>
                <w:sz w:val="20"/>
                <w:szCs w:val="20"/>
                <w:color w:val="auto"/>
              </w:rPr>
            </w:pPr>
            <w:r>
              <w:rPr>
                <w:rFonts w:ascii="Arial" w:cs="Arial" w:eastAsia="Arial" w:hAnsi="Arial"/>
                <w:sz w:val="18"/>
                <w:szCs w:val="18"/>
                <w:b w:val="1"/>
                <w:bCs w:val="1"/>
                <w:color w:val="auto"/>
                <w:w w:val="99"/>
              </w:rPr>
              <w:t>52-0684746</w:t>
            </w:r>
          </w:p>
        </w:tc>
      </w:tr>
      <w:tr>
        <w:trPr>
          <w:trHeight w:val="162"/>
        </w:trPr>
        <w:tc>
          <w:tcPr>
            <w:tcW w:w="3840" w:type="dxa"/>
            <w:vAlign w:val="bottom"/>
          </w:tcPr>
          <w:p>
            <w:pPr>
              <w:jc w:val="center"/>
              <w:ind w:right="1695"/>
              <w:spacing w:after="0"/>
              <w:rPr>
                <w:sz w:val="20"/>
                <w:szCs w:val="20"/>
                <w:color w:val="auto"/>
              </w:rPr>
            </w:pPr>
            <w:r>
              <w:rPr>
                <w:rFonts w:ascii="Arial" w:cs="Arial" w:eastAsia="Arial" w:hAnsi="Arial"/>
                <w:sz w:val="14"/>
                <w:szCs w:val="14"/>
                <w:b w:val="1"/>
                <w:bCs w:val="1"/>
                <w:color w:val="auto"/>
              </w:rPr>
              <w:t>(State or other jurisdiction of</w:t>
            </w:r>
          </w:p>
        </w:tc>
        <w:tc>
          <w:tcPr>
            <w:tcW w:w="2320" w:type="dxa"/>
            <w:vAlign w:val="bottom"/>
          </w:tcPr>
          <w:p>
            <w:pPr>
              <w:jc w:val="center"/>
              <w:ind w:right="362"/>
              <w:spacing w:after="0"/>
              <w:rPr>
                <w:sz w:val="20"/>
                <w:szCs w:val="20"/>
                <w:color w:val="auto"/>
              </w:rPr>
            </w:pPr>
            <w:r>
              <w:rPr>
                <w:rFonts w:ascii="Arial" w:cs="Arial" w:eastAsia="Arial" w:hAnsi="Arial"/>
                <w:sz w:val="14"/>
                <w:szCs w:val="14"/>
                <w:b w:val="1"/>
                <w:bCs w:val="1"/>
                <w:color w:val="auto"/>
              </w:rPr>
              <w:t>(Commission</w:t>
            </w:r>
          </w:p>
        </w:tc>
        <w:tc>
          <w:tcPr>
            <w:tcW w:w="2860" w:type="dxa"/>
            <w:vAlign w:val="bottom"/>
          </w:tcPr>
          <w:p>
            <w:pPr>
              <w:jc w:val="center"/>
              <w:ind w:left="1558"/>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3840" w:type="dxa"/>
            <w:vAlign w:val="bottom"/>
          </w:tcPr>
          <w:p>
            <w:pPr>
              <w:jc w:val="center"/>
              <w:ind w:right="1695"/>
              <w:spacing w:after="0"/>
              <w:rPr>
                <w:sz w:val="20"/>
                <w:szCs w:val="20"/>
                <w:color w:val="auto"/>
              </w:rPr>
            </w:pPr>
            <w:r>
              <w:rPr>
                <w:rFonts w:ascii="Arial" w:cs="Arial" w:eastAsia="Arial" w:hAnsi="Arial"/>
                <w:sz w:val="14"/>
                <w:szCs w:val="14"/>
                <w:b w:val="1"/>
                <w:bCs w:val="1"/>
                <w:color w:val="auto"/>
              </w:rPr>
              <w:t>incorporation or organization)</w:t>
            </w:r>
          </w:p>
        </w:tc>
        <w:tc>
          <w:tcPr>
            <w:tcW w:w="2320" w:type="dxa"/>
            <w:vAlign w:val="bottom"/>
          </w:tcPr>
          <w:p>
            <w:pPr>
              <w:jc w:val="center"/>
              <w:ind w:right="362"/>
              <w:spacing w:after="0"/>
              <w:rPr>
                <w:sz w:val="20"/>
                <w:szCs w:val="20"/>
                <w:color w:val="auto"/>
              </w:rPr>
            </w:pPr>
            <w:r>
              <w:rPr>
                <w:rFonts w:ascii="Arial" w:cs="Arial" w:eastAsia="Arial" w:hAnsi="Arial"/>
                <w:sz w:val="14"/>
                <w:szCs w:val="14"/>
                <w:b w:val="1"/>
                <w:bCs w:val="1"/>
                <w:color w:val="auto"/>
              </w:rPr>
              <w:t>File Number)</w:t>
            </w:r>
          </w:p>
        </w:tc>
        <w:tc>
          <w:tcPr>
            <w:tcW w:w="2860" w:type="dxa"/>
            <w:vAlign w:val="bottom"/>
          </w:tcPr>
          <w:p>
            <w:pPr>
              <w:jc w:val="center"/>
              <w:ind w:left="1558"/>
              <w:spacing w:after="0"/>
              <w:rPr>
                <w:sz w:val="20"/>
                <w:szCs w:val="20"/>
                <w:color w:val="auto"/>
              </w:rPr>
            </w:pPr>
            <w:r>
              <w:rPr>
                <w:rFonts w:ascii="Arial" w:cs="Arial" w:eastAsia="Arial" w:hAnsi="Arial"/>
                <w:sz w:val="14"/>
                <w:szCs w:val="14"/>
                <w:b w:val="1"/>
                <w:bCs w:val="1"/>
                <w:color w:val="auto"/>
              </w:rPr>
              <w:t>Identification No.)</w:t>
            </w:r>
          </w:p>
        </w:tc>
      </w:tr>
      <w:tr>
        <w:trPr>
          <w:trHeight w:val="415"/>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9"/>
              </w:rPr>
              <w:t>42 rue Saint-Dominique</w:t>
            </w:r>
          </w:p>
        </w:tc>
        <w:tc>
          <w:tcPr>
            <w:tcW w:w="23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60"/>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9"/>
              </w:rPr>
              <w:t>Paris, France</w:t>
            </w:r>
          </w:p>
        </w:tc>
        <w:tc>
          <w:tcPr>
            <w:tcW w:w="2320" w:type="dxa"/>
            <w:vAlign w:val="bottom"/>
          </w:tcPr>
          <w:p>
            <w:pPr>
              <w:spacing w:after="0"/>
              <w:rPr>
                <w:sz w:val="22"/>
                <w:szCs w:val="22"/>
                <w:color w:val="auto"/>
              </w:rPr>
            </w:pPr>
          </w:p>
        </w:tc>
        <w:tc>
          <w:tcPr>
            <w:tcW w:w="2860" w:type="dxa"/>
            <w:vAlign w:val="bottom"/>
          </w:tcPr>
          <w:p>
            <w:pPr>
              <w:jc w:val="center"/>
              <w:ind w:right="118"/>
              <w:spacing w:after="0"/>
              <w:rPr>
                <w:sz w:val="20"/>
                <w:szCs w:val="20"/>
                <w:color w:val="auto"/>
              </w:rPr>
            </w:pPr>
            <w:r>
              <w:rPr>
                <w:rFonts w:ascii="Arial" w:cs="Arial" w:eastAsia="Arial" w:hAnsi="Arial"/>
                <w:sz w:val="18"/>
                <w:szCs w:val="18"/>
                <w:b w:val="1"/>
                <w:bCs w:val="1"/>
                <w:color w:val="auto"/>
                <w:w w:val="99"/>
              </w:rPr>
              <w:t>75007</w:t>
            </w:r>
          </w:p>
        </w:tc>
      </w:tr>
      <w:tr>
        <w:trPr>
          <w:trHeight w:val="374"/>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rPr>
              <w:t>5599 San Felipe</w:t>
            </w:r>
          </w:p>
        </w:tc>
        <w:tc>
          <w:tcPr>
            <w:tcW w:w="23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60"/>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9"/>
              </w:rPr>
              <w:t>Houston, Texas, U.S.A.</w:t>
            </w:r>
          </w:p>
        </w:tc>
        <w:tc>
          <w:tcPr>
            <w:tcW w:w="2320" w:type="dxa"/>
            <w:vAlign w:val="bottom"/>
          </w:tcPr>
          <w:p>
            <w:pPr>
              <w:spacing w:after="0"/>
              <w:rPr>
                <w:sz w:val="22"/>
                <w:szCs w:val="22"/>
                <w:color w:val="auto"/>
              </w:rPr>
            </w:pPr>
          </w:p>
        </w:tc>
        <w:tc>
          <w:tcPr>
            <w:tcW w:w="2860" w:type="dxa"/>
            <w:vAlign w:val="bottom"/>
          </w:tcPr>
          <w:p>
            <w:pPr>
              <w:jc w:val="center"/>
              <w:ind w:right="118"/>
              <w:spacing w:after="0"/>
              <w:rPr>
                <w:sz w:val="20"/>
                <w:szCs w:val="20"/>
                <w:color w:val="auto"/>
              </w:rPr>
            </w:pPr>
            <w:r>
              <w:rPr>
                <w:rFonts w:ascii="Arial" w:cs="Arial" w:eastAsia="Arial" w:hAnsi="Arial"/>
                <w:sz w:val="18"/>
                <w:szCs w:val="18"/>
                <w:b w:val="1"/>
                <w:bCs w:val="1"/>
                <w:color w:val="auto"/>
                <w:w w:val="99"/>
              </w:rPr>
              <w:t>77056</w:t>
            </w:r>
          </w:p>
        </w:tc>
      </w:tr>
      <w:tr>
        <w:trPr>
          <w:trHeight w:val="374"/>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9"/>
              </w:rPr>
              <w:t>Parkstraat 83</w:t>
            </w:r>
          </w:p>
        </w:tc>
        <w:tc>
          <w:tcPr>
            <w:tcW w:w="23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6"/>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rPr>
              <w:t>The Hague, The Netherlands</w:t>
            </w:r>
          </w:p>
        </w:tc>
        <w:tc>
          <w:tcPr>
            <w:tcW w:w="2320" w:type="dxa"/>
            <w:vAlign w:val="bottom"/>
          </w:tcPr>
          <w:p>
            <w:pPr>
              <w:spacing w:after="0"/>
              <w:rPr>
                <w:sz w:val="19"/>
                <w:szCs w:val="19"/>
                <w:color w:val="auto"/>
              </w:rPr>
            </w:pPr>
          </w:p>
        </w:tc>
        <w:tc>
          <w:tcPr>
            <w:tcW w:w="2860" w:type="dxa"/>
            <w:vAlign w:val="bottom"/>
          </w:tcPr>
          <w:p>
            <w:pPr>
              <w:jc w:val="center"/>
              <w:ind w:right="98"/>
              <w:spacing w:after="0"/>
              <w:rPr>
                <w:sz w:val="20"/>
                <w:szCs w:val="20"/>
                <w:color w:val="auto"/>
              </w:rPr>
            </w:pPr>
            <w:r>
              <w:rPr>
                <w:rFonts w:ascii="Arial" w:cs="Arial" w:eastAsia="Arial" w:hAnsi="Arial"/>
                <w:sz w:val="18"/>
                <w:szCs w:val="18"/>
                <w:b w:val="1"/>
                <w:bCs w:val="1"/>
                <w:color w:val="auto"/>
                <w:w w:val="98"/>
              </w:rPr>
              <w:t>2514 JG</w:t>
            </w:r>
          </w:p>
        </w:tc>
      </w:tr>
      <w:tr>
        <w:trPr>
          <w:trHeight w:val="196"/>
        </w:trPr>
        <w:tc>
          <w:tcPr>
            <w:tcW w:w="3840" w:type="dxa"/>
            <w:vAlign w:val="bottom"/>
          </w:tcPr>
          <w:p>
            <w:pPr>
              <w:jc w:val="center"/>
              <w:spacing w:after="0"/>
              <w:rPr>
                <w:sz w:val="20"/>
                <w:szCs w:val="20"/>
                <w:color w:val="auto"/>
              </w:rPr>
            </w:pPr>
            <w:r>
              <w:rPr>
                <w:rFonts w:ascii="Arial" w:cs="Arial" w:eastAsia="Arial" w:hAnsi="Arial"/>
                <w:sz w:val="14"/>
                <w:szCs w:val="14"/>
                <w:b w:val="1"/>
                <w:bCs w:val="1"/>
                <w:color w:val="auto"/>
              </w:rPr>
              <w:t>(Addresses of principal executive offices)</w:t>
            </w:r>
          </w:p>
        </w:tc>
        <w:tc>
          <w:tcPr>
            <w:tcW w:w="2320" w:type="dxa"/>
            <w:vAlign w:val="bottom"/>
          </w:tcPr>
          <w:p>
            <w:pPr>
              <w:spacing w:after="0"/>
              <w:rPr>
                <w:sz w:val="17"/>
                <w:szCs w:val="17"/>
                <w:color w:val="auto"/>
              </w:rPr>
            </w:pPr>
          </w:p>
        </w:tc>
        <w:tc>
          <w:tcPr>
            <w:tcW w:w="2860" w:type="dxa"/>
            <w:vAlign w:val="bottom"/>
          </w:tcPr>
          <w:p>
            <w:pPr>
              <w:jc w:val="center"/>
              <w:ind w:right="98"/>
              <w:spacing w:after="0"/>
              <w:rPr>
                <w:sz w:val="20"/>
                <w:szCs w:val="20"/>
                <w:color w:val="auto"/>
              </w:rPr>
            </w:pPr>
            <w:r>
              <w:rPr>
                <w:rFonts w:ascii="Arial" w:cs="Arial" w:eastAsia="Arial" w:hAnsi="Arial"/>
                <w:sz w:val="14"/>
                <w:szCs w:val="14"/>
                <w:b w:val="1"/>
                <w:bCs w:val="1"/>
                <w:color w:val="auto"/>
              </w:rPr>
              <w:t>(Zip Codes)</w:t>
            </w:r>
          </w:p>
        </w:tc>
      </w:tr>
    </w:tbl>
    <w:p>
      <w:pPr>
        <w:spacing w:after="0" w:line="172"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Dianne B. Ralston</w:t>
      </w:r>
    </w:p>
    <w:p>
      <w:pPr>
        <w:spacing w:after="0" w:line="9"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Chief Legal Officer and Secretary</w:t>
      </w:r>
    </w:p>
    <w:p>
      <w:pPr>
        <w:jc w:val="center"/>
        <w:ind w:right="-103"/>
        <w:spacing w:after="0"/>
        <w:rPr>
          <w:sz w:val="20"/>
          <w:szCs w:val="20"/>
          <w:color w:val="auto"/>
        </w:rPr>
      </w:pPr>
      <w:r>
        <w:rPr>
          <w:rFonts w:ascii="Arial" w:cs="Arial" w:eastAsia="Arial" w:hAnsi="Arial"/>
          <w:sz w:val="18"/>
          <w:szCs w:val="18"/>
          <w:b w:val="1"/>
          <w:bCs w:val="1"/>
          <w:color w:val="auto"/>
        </w:rPr>
        <w:t>(713) 513-2000</w:t>
      </w:r>
    </w:p>
    <w:p>
      <w:pPr>
        <w:spacing w:after="0" w:line="1"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left="4"/>
        <w:spacing w:after="0" w:line="271"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59" w:lineRule="exact"/>
        <w:rPr>
          <w:sz w:val="24"/>
          <w:szCs w:val="24"/>
          <w:color w:val="auto"/>
        </w:rPr>
      </w:pPr>
    </w:p>
    <w:p>
      <w:pPr>
        <w:ind w:left="424" w:right="140" w:hanging="424"/>
        <w:spacing w:after="0" w:line="271" w:lineRule="auto"/>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2025 to December 31, 2025.</w:t>
      </w:r>
    </w:p>
    <w:p>
      <w:pPr>
        <w:spacing w:after="0" w:line="59"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13q-1 under the Securities Exchange Act (17 CFR 240.13q-1)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206375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4"/>
          </w:cols>
          <w:pgMar w:left="436" w:top="393" w:right="55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Items 1.01 and 1.02 Conflict Minerals Disclosure and Report; Exhibit</w:t>
      </w:r>
    </w:p>
    <w:p>
      <w:pPr>
        <w:spacing w:after="0" w:line="10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102" w:lineRule="exact"/>
        <w:rPr>
          <w:sz w:val="20"/>
          <w:szCs w:val="20"/>
          <w:color w:val="auto"/>
        </w:rPr>
      </w:pPr>
    </w:p>
    <w:p>
      <w:pPr>
        <w:ind w:left="4" w:right="100" w:firstLine="440"/>
        <w:spacing w:after="0" w:line="247" w:lineRule="auto"/>
        <w:rPr>
          <w:sz w:val="20"/>
          <w:szCs w:val="20"/>
          <w:color w:val="auto"/>
        </w:rPr>
      </w:pPr>
      <w:r>
        <w:rPr>
          <w:rFonts w:ascii="Arial" w:cs="Arial" w:eastAsia="Arial" w:hAnsi="Arial"/>
          <w:sz w:val="18"/>
          <w:szCs w:val="18"/>
          <w:color w:val="auto"/>
        </w:rPr>
        <w:t>In accordance with Rule 13p-1 under the Securities Exchange Act of 1934, as amended, SLB Limited (the “Company”) has filed this Specialized Disclosure Report and the Conflict Minerals Report attached hereto as Exhibit 1.01 for the year ended December 31, 2025. Both of these documents are publicly available on the Company’s website at: https://www.slb.com/about/who-we-are/conflict-minerals.*</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3 – Exhibits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3.01 Exhibits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Exhibit 1.01 – Conflict Minerals Report as required by Item 1.01 and 1.02 of this Form.</w:t>
      </w:r>
    </w:p>
    <w:p>
      <w:pPr>
        <w:spacing w:after="0" w:line="2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5" w:lineRule="exact"/>
        <w:rPr>
          <w:sz w:val="20"/>
          <w:szCs w:val="20"/>
          <w:color w:val="auto"/>
        </w:rPr>
      </w:pPr>
    </w:p>
    <w:p>
      <w:pPr>
        <w:ind w:left="424" w:hanging="424"/>
        <w:spacing w:after="0" w:line="271"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reference to the Company’s website is provided for convenience only, and its contents are not incorporated by reference into this Form SD and the Conflict Minerals Report, nor deemed filed with the Securities and Exchange Commission.</w:t>
      </w:r>
    </w:p>
    <w:p>
      <w:pPr>
        <w:sectPr>
          <w:pgSz w:w="11900" w:h="16838" w:orient="portrait"/>
          <w:cols w:equalWidth="0" w:num="1">
            <w:col w:w="11004"/>
          </w:cols>
          <w:pgMar w:left="436" w:top="269" w:right="45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SLB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Abdellah Merad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Abdellah Merad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Core Services &amp; Equipment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May 21, 2026</w:t>
      </w:r>
    </w:p>
    <w:p>
      <w:pPr>
        <w:sectPr>
          <w:pgSz w:w="11900" w:h="16838" w:orient="portrait"/>
          <w:cols w:equalWidth="0" w:num="1">
            <w:col w:w="10860"/>
          </w:cols>
          <w:pgMar w:left="440" w:top="269"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SLB - For Year Ending December 31, 2025</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Overview</w:t>
      </w:r>
    </w:p>
    <w:p>
      <w:pPr>
        <w:spacing w:after="0" w:line="21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This report has been prepared by the management of SLB Limited (herein referred to as “SLB,” the “Company,” “we,” “us,” or “our”) pursuant to Rule 13p-1 and Form SD promulgated under the Securities Exchange Act of 1934, as amended, for the reporting period from January 1, 2025, to December 31, 2025.</w:t>
      </w:r>
    </w:p>
    <w:p>
      <w:pPr>
        <w:spacing w:after="0" w:line="169"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SLB is a global technology company focused on driving energy innovation for a balanced planet. With a global presence in more than 100 countries and employees representing almost twice as many nationalities, SLB works each day on innovating oil and gas, delivering digital at scale, decarbonizing industries, and developing and scaling new energy systems that accelerate the energy transition.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12"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For the 2025 calendar year, SLB determined that tin, tungsten, tantalum, and/or gold (3TGs) were necessary to the functionality or production of some products that were manufactured or contracted to be manufactured. Therefore, SLB conducted a reasonable country of origin inquiry in good faith to determine whether any of the 3TGs in its products originated from Conflict-Affected and High-Risk Areas (CAHRAs), such as the Democratic Republic of the Congo (DRC) or an adjoining country (collectively referred to as the “Covered Countries”).</w:t>
      </w:r>
    </w:p>
    <w:p>
      <w:pPr>
        <w:spacing w:after="0" w:line="17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Based on the country of origin data, SLB believes some of its products could contain 3TGs that may have originated in the Covered Countries and, therefore, in accordance with Section 1502 of the Dodd-Frank Wall Street Reform and Consumer Protection Act (from here on referred to “Section 1502 of the Dodd-Frank Act” or “the Rule”), due diligence was performed on the source and chain of custody of the 3TGs in question to determine whether its products are “conflict free or responsibly sourced.” The Company designed its due diligence measures to conform, in all material respects, with the internationally recognized due diligence framework of the Organization for Economic Co-Operation and Development (OECD) Due Diligence Guidance for Responsible Supply Chains of Minerals from Conflict-Affected and High-Risk Areas and the related supplements for gold, tin, tantalum, and tungsten (the “OECD Guidance”).</w:t>
      </w:r>
    </w:p>
    <w:p>
      <w:pPr>
        <w:spacing w:after="0" w:line="18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SLB is committed to complying with the requirements of the Rule and upholding responsible sourcing practices. As such, the Company has put into place a robust due diligence program to ensure its contributions to upholding human rights and responsible practices across the supply chain.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Conflict Minerals Program &amp; Policy</w:t>
      </w:r>
    </w:p>
    <w:p>
      <w:pPr>
        <w:spacing w:after="0" w:line="104"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The Company has actively engaged with its customers and suppliers for several years with respect to the use of conflict minerals. SLB adopted a conflict minerals policy (the “Conflict Minerals Policy”) articulating the conflict minerals supply chain due diligence process and the Company’s commitments to reporting obligations regarding conflict minerals. The Conflict Minerals Policy is available online, and can be found here: https://www.slb.com/about/who-we-are/conflict-minerals.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Products</w:t>
      </w:r>
    </w:p>
    <w:p>
      <w:pPr>
        <w:spacing w:after="0" w:line="10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Only some of SLB’s products fall in scope of the Rule, as they contain (or may contain) one or more of the 3TGs. The following list is an example of products that contain, or may contain, 3TGs:</w:t>
      </w:r>
    </w:p>
    <w:p>
      <w:pPr>
        <w:spacing w:after="0" w:line="46"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Permanent multiphase meters; subsea safety valves; oil, gas and core analysis laboratory equipment; perforating hardware and accessories; downhole drilling tools; solids and pressure control equipment for drilling fluids systems; equipment for chemical packages; data acquisition equipment for drilling operations; surface and downhole completions tools; artificial lift pumps; stimulation pumping and cementing equipment; groundwater monitoring products; drilling equipment packages; blowout preventers; drilling risers, top drives; draw works; complete wellhead and Christmas tree systems for</w:t>
      </w:r>
    </w:p>
    <w:p>
      <w:pPr>
        <w:sectPr>
          <w:pgSz w:w="11900" w:h="16838" w:orient="portrait"/>
          <w:cols w:equalWidth="0" w:num="1">
            <w:col w:w="11020"/>
          </w:cols>
          <w:pgMar w:left="440" w:top="122" w:right="439" w:bottom="1440" w:gutter="0" w:footer="0" w:header="0"/>
        </w:sectPr>
      </w:pPr>
    </w:p>
    <w:bookmarkStart w:id="4" w:name="page5"/>
    <w:bookmarkEnd w:id="4"/>
    <w:p>
      <w:pPr>
        <w:jc w:val="both"/>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onshore and offshore applications; subsea production systems and manifolds; Umbilical and cable systems and aftermarket parts; valves; actuators; chokes and aftermarket parts; heaters; dehydration and desalting units; gas conditioning units; membrane separation systems; water processing systems; and electronic controls.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Reasonable Country of Origin Inquiry</w:t>
      </w:r>
    </w:p>
    <w:p>
      <w:pPr>
        <w:spacing w:after="0" w:line="10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To determine whether necessary 3TGs in products originated in Conflict-Affected and High-Risk Areas, SLB retained a third-party service provider to assist us in reviewing the supply chain and identifying risks. The Company provided a list composed of suppliers and parts associated with the in-scope products to its third-party service provider for upload to its third-party service provider’s platform.</w:t>
      </w:r>
    </w:p>
    <w:p>
      <w:pPr>
        <w:spacing w:after="0" w:line="16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To trace materials, and demonstrate transparency procured by the supply chain, SLB utilized the Conflict Minerals Reporting Template (CMRT) Version 6.5 or higher to conduct a survey of all in-scope suppliers. The CMRT was developed to facilitate disclosure and communication of information regarding smelters and refiners that provide material to a manufacturer’s supply chain. It includes questions about a direct supplier’s conflict minerals policy, its due diligence process, and information about its supply chain such as the names and locations of smelters/refiners as well as the origin of 3TGs used by those facilities.</w:t>
      </w:r>
    </w:p>
    <w:p>
      <w:pPr>
        <w:spacing w:after="0" w:line="17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During the supplier survey, the Company contacted suppliers via its third-party service provider’s platform, a software-as-a-service (SaaS) platform provided by the third-party service provider that enables its users to complete and track supplier communications, and allows suppliers to upload completed CMRTs directly to the platform for validation, assessment and management. The third-party service provider’s platform also provides functionality that meets the OECD Guidance process expectations by evaluating the quality of each supplier response and assigning a health score based on the supplier’s declaration of process engagement. Additionally, the metrics provided in this report, as well as the step-by-step process for supplier engagement and upstream due diligence investigations, are managed through this platform.</w:t>
      </w:r>
    </w:p>
    <w:p>
      <w:pPr>
        <w:spacing w:after="0" w:line="18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Via the third-party service provider’s platform and team, the Company then requested that all identified suppliers complete a CMRT. Training and education to guide suppliers on best practices and the use of this template was included. The third-party service provider monitored and tracked all communications in the third-party service provider’s platform for future reporting and transparency. SLB directly contacted many suppliers that were unresponsive to the third-party service provider’s communications during the diligence process and requested these suppliers complete the CMRT and submit it to the third-party service provider.</w:t>
      </w:r>
    </w:p>
    <w:p>
      <w:pPr>
        <w:spacing w:after="0" w:line="176"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The Company’s program continues to include automated data validation on all submitted CMRTs. Data validation aims to increase the accuracy of submissions and identify any contradictory answers in the CMRT. This data validation is based on questions within the declaration tab of the CMRT, which helps identify areas that require further classification or risk assessment, as well as understand the due diligence efforts of Tier 1 suppliers. The results of this data validation contribute to the program’s health assessment and are shared with the suppliers to ensure they understand areas that require clarification or improvement.</w:t>
      </w:r>
    </w:p>
    <w:p>
      <w:pPr>
        <w:spacing w:after="0" w:line="17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All submitted forms are accepted so that data is retained, but they are classified as valid or invalid based on a set criteria of validation errors. Suppliers are contacted by the third-party service provider regarding invalid forms and are encouraged to correct validated errors to resubmit a valid form. Suppliers are also provided with guidance on how to correct these validation errors in the form of feedback to their CMRT submission, training courses, and direct engagement help through the third-party service provider’s multilingual supplier experience team.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For reporting year 2025, there were 2,844 suppliers in scope of the conflict minerals program and 2,092 provided a completed CMRT.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SLB’s total response rate for this reporting year was 76.40%.</w:t>
      </w:r>
    </w:p>
    <w:p>
      <w:pPr>
        <w:sectPr>
          <w:pgSz w:w="11900" w:h="16838" w:orient="portrait"/>
          <w:cols w:equalWidth="0" w:num="1">
            <w:col w:w="11000"/>
          </w:cols>
          <w:pgMar w:left="440" w:top="269" w:right="4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Due Diligence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of Due Diligence</w:t>
      </w:r>
    </w:p>
    <w:p>
      <w:pPr>
        <w:spacing w:after="0" w:line="10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SLB designed its due diligence measures to conform, in all material respects, with the framework in the OECD Guidance and the related supplements. The program aligns with the five steps for due diligence that are described by the OECD Guidance and the Company continues to evaluate market expectations for data collection and reporting to achieve continuous improvement opportunities.</w:t>
      </w:r>
    </w:p>
    <w:p>
      <w:pPr>
        <w:spacing w:after="0" w:line="16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Due diligence requires the Company’s necessary reliance on data provided by direct suppliers and third-party audit programs. There is a risk of incomplete or inaccurate data as the process cannot be fully owned by the Company. However, through active risk identification, and risk assessment, as well as continued outreach and process validation, risk gaps can be mitigated. This aligns with industry standards and market expectations for downstream companies’ due diligence.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Performed</w:t>
      </w:r>
    </w:p>
    <w:p>
      <w:pPr>
        <w:spacing w:after="0" w:line="117" w:lineRule="exact"/>
        <w:rPr>
          <w:sz w:val="20"/>
          <w:szCs w:val="20"/>
          <w:color w:val="auto"/>
        </w:rPr>
      </w:pPr>
    </w:p>
    <w:p>
      <w:pPr>
        <w:ind w:right="5800" w:firstLine="428"/>
        <w:spacing w:after="0" w:line="360" w:lineRule="auto"/>
        <w:tabs>
          <w:tab w:leader="none" w:pos="97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Establish Strong Company Management Systems </w:t>
      </w:r>
      <w:r>
        <w:rPr>
          <w:rFonts w:ascii="Arial" w:cs="Arial" w:eastAsia="Arial" w:hAnsi="Arial"/>
          <w:sz w:val="18"/>
          <w:szCs w:val="18"/>
          <w:u w:val="single" w:color="auto"/>
          <w:color w:val="auto"/>
        </w:rPr>
        <w:t>Internal Compliance Team</w:t>
      </w:r>
    </w:p>
    <w:p>
      <w:pPr>
        <w:spacing w:after="0" w:line="247" w:lineRule="auto"/>
        <w:rPr>
          <w:sz w:val="20"/>
          <w:szCs w:val="20"/>
          <w:color w:val="auto"/>
        </w:rPr>
      </w:pPr>
      <w:r>
        <w:rPr>
          <w:rFonts w:ascii="Arial" w:cs="Arial" w:eastAsia="Arial" w:hAnsi="Arial"/>
          <w:sz w:val="18"/>
          <w:szCs w:val="18"/>
          <w:color w:val="auto"/>
        </w:rPr>
        <w:t>SLB established a cross-functional core team consisting of representatives of the business lines, planning and supply chain, legal, compliance, sustainability, manufacturing, and information technology functions. The core team is responsible for implementing the conflict minerals compliance strategy and briefing their respective Division Presidents or, in certain cases, Basin Presidents, about the results of these due diligence efforts on a regular basis.</w:t>
      </w:r>
    </w:p>
    <w:p>
      <w:pPr>
        <w:spacing w:after="0" w:line="174" w:lineRule="exact"/>
        <w:rPr>
          <w:sz w:val="20"/>
          <w:szCs w:val="20"/>
          <w:color w:val="auto"/>
        </w:rPr>
      </w:pPr>
    </w:p>
    <w:p>
      <w:pPr>
        <w:ind w:right="580"/>
        <w:spacing w:after="0" w:line="253" w:lineRule="auto"/>
        <w:rPr>
          <w:sz w:val="20"/>
          <w:szCs w:val="20"/>
          <w:color w:val="auto"/>
        </w:rPr>
      </w:pPr>
      <w:r>
        <w:rPr>
          <w:rFonts w:ascii="Arial" w:cs="Arial" w:eastAsia="Arial" w:hAnsi="Arial"/>
          <w:sz w:val="18"/>
          <w:szCs w:val="18"/>
          <w:color w:val="auto"/>
        </w:rPr>
        <w:t>The Company also uses a third-party service provider to assist with evaluating supply chain information regarding 3TGs, identifying potential risks, and in the development and implementation of additional due diligence steps that the Company will undertake with suppliers and/or respective stakeholders in regards to conflict minerals.</w:t>
      </w:r>
    </w:p>
    <w:p>
      <w:pPr>
        <w:spacing w:after="0" w:line="16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Company leverages the third-party service provider ‘s platform in order to work with dedicated program specialists who support SLB’s conflict minerals program. The Company communicates regularly with the third-party service provider’s team in order to receive updates on program status. Each member of the third-party service provider’s customer success team is trained in conflict minerals compliance and understands the intricacies of reporting templates such as CMRT and conflict minerals reports, as well as Section 1502 of the Dodd-Frank Act.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Control Systems</w:t>
      </w:r>
    </w:p>
    <w:p>
      <w:pPr>
        <w:spacing w:after="0" w:line="10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Company expects all suppliers to have policies and procedures in place to ensure that 3TGs used in the production of the products sold to SLB are “conflict free or responsibly sourced.” This means that the products should not contain minerals (3TGs) sourced from areas that have been identified to be in the presence of widespread human rights abuses and violations of law either directly or indirectly. The Company expects direct suppliers to provide information on the origin of the 3TGs contained in components and materials supplied, including sources of 3TGs that are supplied to them from lower-tier suppliers.</w:t>
      </w:r>
    </w:p>
    <w:p>
      <w:pPr>
        <w:spacing w:after="0" w:line="176"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Additionally, we have (a) adopted various processes related to our conflict minerals compliance efforts and determinations; (b) adopted standardized data templates for all Divisions to promote consistency across various information technology systems; (c) adopted a procedure in our engineering design and manufacturing systems that requires the recording of necessary conflict mineral contents of newly-developed parts included in our products; (d) adopted an electronic repository to retain relevant documentation concerning our conflict minerals compliance efforts and determinations. In addition, certain employees from our planning and supply chain, legal, engineering, manufacturing, sustaining, sales, finance, and compliance functions are targeted for annual training.</w:t>
      </w:r>
    </w:p>
    <w:p>
      <w:pPr>
        <w:sectPr>
          <w:pgSz w:w="11900" w:h="16838" w:orient="portrait"/>
          <w:cols w:equalWidth="0" w:num="1">
            <w:col w:w="11000"/>
          </w:cols>
          <w:pgMar w:left="440" w:top="269"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Supplier Engagement</w:t>
      </w:r>
    </w:p>
    <w:p>
      <w:pPr>
        <w:spacing w:after="0" w:line="10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SLB has a strong relationship with Tier 1 direct suppliers. As an important part of the supply chain, SLB has leveraged processes and educational opportunities in order to ensure all suppliers have access to a free platform to upload their CMRTs, help desk support, and other multilingual resources. SLB’s suppliers are able to leverage the third-party service provider ‘s team of supplier support specialists to ensure they receive appropriate support and understand how to properly fill a CMRT. Suppliers are provided guidance in their native language by the third-party service provider, if needed.</w:t>
      </w:r>
    </w:p>
    <w:p>
      <w:pPr>
        <w:spacing w:after="0" w:line="17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As a downstream company, we are several tiers removed from conflict mineral smelters/refiners. We, therefore, must rely on information from industry sources to compare and assess due diligence responses, identify smelters/refiners in our supply chains and improve our ongoing due diligence efforts. We implemented a supply chain transparency system through the use of due diligence tools developed by the Responsible Minerals Initiative (“RMI”), including the RMI Conflict Minerals Reporting Template (“RMI Template”), which is designed to identify the smelters/refiners that process the conflict minerals in a company’s supply chain. We also support our suppliers’ use of validation, certification and audit programs on smelters/refiners upstream in our supply chain, such as:</w:t>
      </w:r>
    </w:p>
    <w:p>
      <w:pPr>
        <w:spacing w:after="0" w:line="84"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Responsible Minerals Assurance Process (“RMAP”) developed by RMI,</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ITRI Tin Supply Chain Initiative,</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Tungsten Industry – Conflict Mineral Council Framework,</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London Bullion Market Association (“LBMA”), and</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Responsible Jewellery Council (“RJC”).</w:t>
      </w:r>
    </w:p>
    <w:p>
      <w:pPr>
        <w:spacing w:after="0" w:line="21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Company engages with suppliers directly to request a valid (free of validated errors) CMRT for the products that they supply to the Company. Feedback from this engagement process has allowed the Company to oversee improvements in supplier responses and supplier compliance for this initiative.</w:t>
      </w:r>
    </w:p>
    <w:p>
      <w:pPr>
        <w:spacing w:after="0" w:line="169" w:lineRule="exact"/>
        <w:rPr>
          <w:sz w:val="20"/>
          <w:szCs w:val="20"/>
          <w:color w:val="auto"/>
        </w:rPr>
      </w:pPr>
    </w:p>
    <w:p>
      <w:pPr>
        <w:ind w:right="320"/>
        <w:spacing w:after="0" w:line="242" w:lineRule="auto"/>
        <w:rPr>
          <w:sz w:val="20"/>
          <w:szCs w:val="20"/>
          <w:color w:val="auto"/>
        </w:rPr>
      </w:pPr>
      <w:r>
        <w:rPr>
          <w:rFonts w:ascii="Arial" w:cs="Arial" w:eastAsia="Arial" w:hAnsi="Arial"/>
          <w:sz w:val="18"/>
          <w:szCs w:val="18"/>
          <w:color w:val="auto"/>
        </w:rPr>
        <w:t>Additionally, SLB’s Conflict Minerals Policy is included in supplier contracts, requiring new suppliers to read and accept the policy as a requirement of doing business with SLB. The Company continues to place a strong emphasis on supplier education and training. To accomplish this, the third-party service provider’s online resources are leveraged, and all in-scope suppliers have been provided with access to their library of conflict minerals training and support resources. Also, the third-party service provider’s automated feedback process that notifies suppliers of risks associated with their CMRT submission serves to educate suppliers of certain conflict minerals’ risks.</w:t>
      </w:r>
    </w:p>
    <w:p>
      <w:pPr>
        <w:spacing w:after="0" w:line="17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Company believes that the combination of the SLB Code of Conduct, Conflict Minerals Policy, and direct engagement with suppliers for conflict minerals training and support constitute a strong supplier engagement program.</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Grievance Mechanisms</w:t>
      </w:r>
    </w:p>
    <w:p>
      <w:pPr>
        <w:spacing w:after="0" w:line="10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Company established multiple longstanding grievance mechanisms as described in our Code of Conduct whereby employees and others can anonymously report violations of SLB’s policies, including conflict minerals. We communicate these mechanisms to our employees at various times.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Violations or grievances at the industry level can be reported to the RMI directly as well. This can be done at: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http://www.responsiblemineralsinitiative.org/responsible-minerals-assurance-process/grievance-mechanism/.</w:t>
      </w:r>
    </w:p>
    <w:p>
      <w:pPr>
        <w:sectPr>
          <w:pgSz w:w="11900" w:h="16838" w:orient="portrait"/>
          <w:cols w:equalWidth="0" w:num="1">
            <w:col w:w="10940"/>
          </w:cols>
          <w:pgMar w:left="440" w:top="269" w:right="519" w:bottom="1440" w:gutter="0" w:footer="0" w:header="0"/>
        </w:sectPr>
      </w:pPr>
    </w:p>
    <w:bookmarkStart w:id="7" w:name="page8"/>
    <w:bookmarkEnd w:id="7"/>
    <w:p>
      <w:pPr>
        <w:ind w:right="5840" w:firstLine="428"/>
        <w:spacing w:after="0" w:line="396" w:lineRule="auto"/>
        <w:tabs>
          <w:tab w:leader="none" w:pos="97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Identifying &amp; Assessing Risk in the Supply Chain </w:t>
      </w:r>
      <w:r>
        <w:rPr>
          <w:rFonts w:ascii="Arial" w:cs="Arial" w:eastAsia="Arial" w:hAnsi="Arial"/>
          <w:sz w:val="18"/>
          <w:szCs w:val="18"/>
          <w:u w:val="single" w:color="auto"/>
          <w:color w:val="auto"/>
        </w:rPr>
        <w:t>Supplier Risk Evaluation</w:t>
      </w:r>
    </w:p>
    <w:p>
      <w:pPr>
        <w:spacing w:after="0" w:line="4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order to identify and assess the risks in our supply chain, we first identified products for sale that we manufactured or contracted to manufacture in 2025 that contained, or that may have contained, necessary conflict minerals. We have adopted a procedure in our engineering design and manufacturing system that is reasonably designed to identify each necessary conflict mineral included in our products. In cases where we determined that a necessary conflict mineral was contained in one of our parts, we identified that specific mineral and flagged both the part and finished product containing that part in our system. If, after our initial research, we were unable to determine whether a necessary conflict mineral was included in a part, we considered that part to be in scope of the Rule, and such part was internally flagged for additional research. For each new part developed or manufactured in 2025, the engineers and métiers in charge of providing materials for such part were required to indicate any necessary conflict minerals included in the part. Where we determined that a newly-developed part contained a necessary conflict mineral and that the finished product was in scope of the Rule, we included that part in our further information-gathering efforts. We then identified our Tier 1 suppliers that supplied us with the parts and products considered to be within the scope of the Rule.</w:t>
      </w:r>
    </w:p>
    <w:p>
      <w:pPr>
        <w:spacing w:after="0" w:line="18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Because we are several tiers removed from mining operations and smelters/refiners, we must rely on our suppliers to provide information regarding the source and presence of necessary conflict minerals in our products.</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Risks associated with Tier 1 suppliers’ due diligence processes were assessed by their declaration responses on a CMRT, which the third-party service provider’s platform identifies automatically based on established criteria. These risks are addressed by the third-party service provider’s staff and members of the Company’s core team, who engage with suppliers to gather pertinent data and ask for corrective actions if needed, performing an overall assessment of the supplier’s conformity status, which is referred to as “conflict minerals status.”</w:t>
      </w:r>
    </w:p>
    <w:p>
      <w:pPr>
        <w:spacing w:after="0" w:line="15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Risks at the supplier level may include non-responsive suppliers or incomplete CMRTs. In cases where a company-level CMRT (such as when a company declares there are no 3TGs in any of its products) is submitted, SLB is unable to determine if all of the specified smelters/refiners were used for 3TGs in the products supplied to the Company.</w:t>
      </w:r>
    </w:p>
    <w:p>
      <w:pPr>
        <w:spacing w:after="0" w:line="16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third-party service provider’s supplier risk assessment (flagging suppliers’ risk as high, medium, low) identifies problematic suppliers in a company’s supply chain. The risk assessment is derived from the smelter validation process, which establishes risk at the smelter level via an analysis that takes into account multiple conflict minerals factors.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Smelter/Refiners Risk Evaluation</w:t>
      </w:r>
    </w:p>
    <w:p>
      <w:pPr>
        <w:spacing w:after="0" w:line="104"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Other supply chain risks were identified by assessing the due diligence practices and audit status of smelters/refiners identified in the supply chain by upstream suppliers that listed mineral processing facilities on their CMRT declarations. The third-party service provider’s smelter validation program compared listed facilities into the list of smelters/refiners consolidated by the RMI to ensure that the facilities met the recognized definition of a 3TGs processing facility that was operational during the 2025 calendar year.</w:t>
      </w:r>
    </w:p>
    <w:p>
      <w:pPr>
        <w:spacing w:after="0" w:line="174"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The third-party service provider determined if the smelter had been audited against a standard in conformance with the OECD Guidance, such as the RMAP. SLB does not have a direct relationship with smelters/refiners, and does not perform direct audits of these entities within their pre-supply chain. Smelters that are conformant to RMAP audit standards are considered to have their sourcing validated as “conflict free or responsibly sourced.” In cases where the smelter/refiner’s due diligence practices have not been audited against the RMAP standard or they are considered non-conformant by RMAP, further due diligence steps are followed to notify suppliers reporting these facilities. Smelters/refiners are actively monitored to proactively identify other risks pertaining to conflict minerals.</w:t>
      </w:r>
    </w:p>
    <w:p>
      <w:pPr>
        <w:sectPr>
          <w:pgSz w:w="11900" w:h="16838" w:orient="portrait"/>
          <w:cols w:equalWidth="0" w:num="1">
            <w:col w:w="11000"/>
          </w:cols>
          <w:pgMar w:left="440" w:top="269" w:right="459" w:bottom="1440" w:gutter="0" w:footer="0" w:header="0"/>
        </w:sectPr>
      </w:pPr>
    </w:p>
    <w:bookmarkStart w:id="8" w:name="page9"/>
    <w:bookmarkEnd w:id="8"/>
    <w:p>
      <w:pPr>
        <w:ind w:right="2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facility that meets the definition of a smelter or refiner of a 3TG mineral is assessed according to red-flag indicators defined in the OECD Guidance. The third -party service provider uses numerous factors to determine the level of risk that each smelter poses to the supply chain by identifying red flags. These factors include:</w:t>
      </w:r>
    </w:p>
    <w:p>
      <w:pPr>
        <w:spacing w:after="0" w:line="74" w:lineRule="exact"/>
        <w:rPr>
          <w:sz w:val="20"/>
          <w:szCs w:val="20"/>
          <w:color w:val="auto"/>
        </w:rPr>
      </w:pPr>
    </w:p>
    <w:p>
      <w:pPr>
        <w:ind w:left="1420" w:hanging="331"/>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Geographic proximity to Conflict-Affected and High-Risk Areas.</w:t>
      </w:r>
    </w:p>
    <w:p>
      <w:pPr>
        <w:spacing w:after="0" w:line="117" w:lineRule="exact"/>
        <w:rPr>
          <w:rFonts w:ascii="Arial" w:cs="Arial" w:eastAsia="Arial" w:hAnsi="Arial"/>
          <w:sz w:val="18"/>
          <w:szCs w:val="18"/>
          <w:color w:val="auto"/>
        </w:rPr>
      </w:pPr>
    </w:p>
    <w:p>
      <w:pPr>
        <w:ind w:left="1420" w:hanging="331"/>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Known mineral source country of origin.</w:t>
      </w:r>
    </w:p>
    <w:p>
      <w:pPr>
        <w:spacing w:after="0" w:line="117" w:lineRule="exact"/>
        <w:rPr>
          <w:rFonts w:ascii="Arial" w:cs="Arial" w:eastAsia="Arial" w:hAnsi="Arial"/>
          <w:sz w:val="18"/>
          <w:szCs w:val="18"/>
          <w:color w:val="auto"/>
        </w:rPr>
      </w:pPr>
    </w:p>
    <w:p>
      <w:pPr>
        <w:ind w:left="1420" w:hanging="331"/>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RMAP audit status.</w:t>
      </w:r>
    </w:p>
    <w:p>
      <w:pPr>
        <w:spacing w:after="0" w:line="117" w:lineRule="exact"/>
        <w:rPr>
          <w:rFonts w:ascii="Arial" w:cs="Arial" w:eastAsia="Arial" w:hAnsi="Arial"/>
          <w:sz w:val="18"/>
          <w:szCs w:val="18"/>
          <w:color w:val="auto"/>
        </w:rPr>
      </w:pPr>
    </w:p>
    <w:p>
      <w:pPr>
        <w:ind w:left="1420" w:hanging="331"/>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Credible evidence of unethical or conflict sourcing.</w:t>
      </w:r>
    </w:p>
    <w:p>
      <w:pPr>
        <w:spacing w:after="0" w:line="117" w:lineRule="exact"/>
        <w:rPr>
          <w:rFonts w:ascii="Arial" w:cs="Arial" w:eastAsia="Arial" w:hAnsi="Arial"/>
          <w:sz w:val="18"/>
          <w:szCs w:val="18"/>
          <w:color w:val="auto"/>
        </w:rPr>
      </w:pPr>
    </w:p>
    <w:p>
      <w:pPr>
        <w:ind w:left="1420" w:hanging="331"/>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Peer assessments conducted by credible third-party sources.</w:t>
      </w:r>
    </w:p>
    <w:p>
      <w:pPr>
        <w:spacing w:after="0" w:line="117" w:lineRule="exact"/>
        <w:rPr>
          <w:rFonts w:ascii="Arial" w:cs="Arial" w:eastAsia="Arial" w:hAnsi="Arial"/>
          <w:sz w:val="18"/>
          <w:szCs w:val="18"/>
          <w:color w:val="auto"/>
        </w:rPr>
      </w:pPr>
    </w:p>
    <w:p>
      <w:pPr>
        <w:ind w:left="1420" w:hanging="331"/>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Sanctions risks.</w:t>
      </w:r>
    </w:p>
    <w:p>
      <w:pPr>
        <w:spacing w:after="0" w:line="212"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Risk mitigation activities are initiated whenever a supplier’s CMRT reports facilities of concern. Through the third-party service provider, suppliers with submissions that included any smelters of concern were immediately provided with feedback instructing suppliers to take their own independent risk mitigation actions. Examples include the submission of a product-specific CMRT to better identify the connection to products that they supply to SLB. Additional escalation may have been necessary to address any continued sourcing from these smelters of concern. Suppliers are given clear performance objectives within reasonable timeframes with the ultimate goal of progressive elimination of these smelters of concern from the supply chain.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addition, suppliers are guided to the educational materials on mitigating the risks identified through the data collection process.</w:t>
      </w:r>
    </w:p>
    <w:p>
      <w:pPr>
        <w:spacing w:after="0" w:line="212"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Suppliers are also evaluated on program strength, which assists in making key risk mitigation decisions as the program progresses. The criteria used to evaluate the strength of the program is based on certain questions in the CMRT related to the suppliers’ conflict minerals practices and policies.</w:t>
      </w:r>
    </w:p>
    <w:p>
      <w:pPr>
        <w:spacing w:after="0" w:line="74" w:lineRule="exact"/>
        <w:rPr>
          <w:sz w:val="20"/>
          <w:szCs w:val="20"/>
          <w:color w:val="auto"/>
        </w:rPr>
      </w:pPr>
    </w:p>
    <w:p>
      <w:pPr>
        <w:ind w:left="960" w:hanging="532"/>
        <w:spacing w:after="0"/>
        <w:tabs>
          <w:tab w:leader="none" w:pos="9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Design &amp; Implement A Strategy to Respond to Risks</w:t>
      </w:r>
    </w:p>
    <w:p>
      <w:pPr>
        <w:spacing w:after="0" w:line="10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Together with the third-party service provider, SLB developed processes to assess and respond to the risks identified in the supply chain. SLB has created a risk management plan, through which the conflict minerals program is implemented, managed, and monitored. As the program progresses, escalations are sent to non-responsive suppliers to outline the importance of a response via CMRTs and to outline the required cooperation for compliance to the conflict minerals rules and the Company’s expectations.</w:t>
      </w:r>
    </w:p>
    <w:p>
      <w:pPr>
        <w:spacing w:after="0" w:line="17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For any smelters/refiners known to source conflict minerals from Covered Countries, as well as smelters/refiners located in any Covered Country with unknown sources of conflict minerals, SLB has provided feedback to its suppliers through the third-party service provider, instructing suppliers to take their own independent risk analysis and mitigation actions. Additionally, in 2025, we will continually engage with our Tier 1 suppliers, who may have sourced from such smelters/refiners, to use certified smelters or pursue an alternative source of conflict minerals, and participate in the RMI to support industry efforts to achieve supply chain transparency.</w:t>
      </w:r>
    </w:p>
    <w:p>
      <w:pPr>
        <w:spacing w:after="0" w:line="17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Feedback on supplier submissions is given directly to suppliers and educational resources are provided to assist suppliers in corrective action methods or to improve their internal programs. In cases where suppliers have continuously been non -responsive or are not committed to corrective action plans, the Company will utilize available actions to respond to non-compliant suppliers as part of its overall procurement strategy. The results of the program and risk assessment are shared with the core team and the respective Division or Basin Presidents to ensure transparency within the Company.</w:t>
      </w:r>
    </w:p>
    <w:p>
      <w:pPr>
        <w:spacing w:after="0" w:line="82" w:lineRule="exact"/>
        <w:rPr>
          <w:sz w:val="20"/>
          <w:szCs w:val="20"/>
          <w:color w:val="auto"/>
        </w:rPr>
      </w:pPr>
    </w:p>
    <w:p>
      <w:pPr>
        <w:ind w:left="960" w:hanging="532"/>
        <w:spacing w:after="0"/>
        <w:tabs>
          <w:tab w:leader="none" w:pos="9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Carry Out Independent Third-Party Audit of Supply Chain Due Diligence at Identified Points in the Supply Chain</w:t>
      </w:r>
    </w:p>
    <w:p>
      <w:pPr>
        <w:spacing w:after="0" w:line="10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SLB does not have a direct relationship with any 3TG smelters/refiners and does not perform or direct audits of these entities within the supply chain. Instead, the Company relies on third-party audits of smelters/refiners (industry recognized audit/assessment programs). As an example, RMAP uses independent private-sector auditors, and audits the source, including the mines of origin, and the chain of custody of the conflict minerals used by smelters/refiners that agree to participate in the program.</w:t>
      </w:r>
    </w:p>
    <w:p>
      <w:pPr>
        <w:sectPr>
          <w:pgSz w:w="11900" w:h="16838" w:orient="portrait"/>
          <w:cols w:equalWidth="0" w:num="1">
            <w:col w:w="10920"/>
          </w:cols>
          <w:pgMar w:left="440" w:top="269" w:right="539" w:bottom="1440" w:gutter="0" w:footer="0" w:header="0"/>
        </w:sectPr>
      </w:pPr>
    </w:p>
    <w:bookmarkStart w:id="9" w:name="page10"/>
    <w:bookmarkEnd w:id="9"/>
    <w:p>
      <w:pPr>
        <w:ind w:right="40"/>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third-party service provider aids us in verifying the information provided by our suppliers with respect to the smelters/refiners that they source from, and to review and confirm the validity of the RMAP, RJC, and LBMA certifications of those smelters/refiners. The third-party service provider directly engages smelters/refiners that are not currently enrolled in an industry recognized audit/assessment program to encourage their participation and for those smelters/refiners already conformant to the corresponding program’s standards, the third-party service provider thanks them for their efforts on behalf of its compliance partners.</w:t>
      </w:r>
    </w:p>
    <w:p>
      <w:pPr>
        <w:spacing w:after="0" w:line="82" w:lineRule="exact"/>
        <w:rPr>
          <w:sz w:val="20"/>
          <w:szCs w:val="20"/>
          <w:color w:val="auto"/>
        </w:rPr>
      </w:pPr>
    </w:p>
    <w:p>
      <w:pPr>
        <w:ind w:left="960" w:hanging="532"/>
        <w:spacing w:after="0"/>
        <w:tabs>
          <w:tab w:leader="none" w:pos="9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Report Annually on Supply Chain Due Diligence</w:t>
      </w:r>
    </w:p>
    <w:p>
      <w:pPr>
        <w:spacing w:after="0" w:line="104"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SLB has published the Form SD for the year ended December 31, 2025. This report is available on the Company’s website at https://www.slb.com/who-we-are/guiding-principles/corporate-accountability/conflict-minerals. Information found on or accessed through this website is not considered part of this report and is not incorporated by reference herein. SLB has also publicly filed a Form SD and this report with the U.S. Securities and Exchange Commission (SEC).</w:t>
      </w:r>
    </w:p>
    <w:p>
      <w:pPr>
        <w:spacing w:after="0" w:line="17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Company will continue to expand efforts both for transparency through the data collection process and risk evaluation, as well as the disclosure of efforts through the form of public reports.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Due Diligence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Supply Chain Outreach Results</w:t>
      </w:r>
    </w:p>
    <w:p>
      <w:pPr>
        <w:spacing w:after="0" w:line="10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Supply chain outreach is required to identify the upstream sources of origin of tin, tantalum, tungsten, and gold. Following the industry standard process, CMRTs are sent to and requested from Tier 1 suppliers, who are expected to follow this process until the smelter and refiner sources are identified. The following is the result of the outreach conducted by SLB for the 2025 reporting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Supply Chain Outreach Metrics</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80" w:type="dxa"/>
            <w:vAlign w:val="bottom"/>
          </w:tcPr>
          <w:p>
            <w:pPr>
              <w:ind w:left="320"/>
              <w:spacing w:after="0"/>
              <w:rPr>
                <w:sz w:val="20"/>
                <w:szCs w:val="20"/>
                <w:color w:val="auto"/>
              </w:rPr>
            </w:pPr>
            <w:r>
              <w:rPr>
                <w:rFonts w:ascii="Arial" w:cs="Arial" w:eastAsia="Arial" w:hAnsi="Arial"/>
                <w:sz w:val="14"/>
                <w:szCs w:val="14"/>
                <w:color w:val="auto"/>
              </w:rPr>
              <w:t>Response</w:t>
            </w:r>
          </w:p>
        </w:tc>
      </w:tr>
      <w:tr>
        <w:trPr>
          <w:trHeight w:val="171"/>
        </w:trPr>
        <w:tc>
          <w:tcPr>
            <w:tcW w:w="3460" w:type="dxa"/>
            <w:vAlign w:val="bottom"/>
          </w:tcPr>
          <w:p>
            <w:pPr>
              <w:spacing w:after="0"/>
              <w:rPr>
                <w:sz w:val="20"/>
                <w:szCs w:val="20"/>
                <w:color w:val="auto"/>
              </w:rPr>
            </w:pPr>
            <w:r>
              <w:rPr>
                <w:rFonts w:ascii="Arial" w:cs="Arial" w:eastAsia="Arial" w:hAnsi="Arial"/>
                <w:sz w:val="14"/>
                <w:szCs w:val="14"/>
                <w:color w:val="auto"/>
              </w:rPr>
              <w:t>Number of in-scope suppliers</w:t>
            </w:r>
          </w:p>
        </w:tc>
        <w:tc>
          <w:tcPr>
            <w:tcW w:w="2840" w:type="dxa"/>
            <w:vAlign w:val="bottom"/>
          </w:tcPr>
          <w:p>
            <w:pPr>
              <w:jc w:val="right"/>
              <w:ind w:right="219"/>
              <w:spacing w:after="0"/>
              <w:rPr>
                <w:sz w:val="20"/>
                <w:szCs w:val="20"/>
                <w:color w:val="auto"/>
              </w:rPr>
            </w:pPr>
            <w:r>
              <w:rPr>
                <w:rFonts w:ascii="Arial" w:cs="Arial" w:eastAsia="Arial" w:hAnsi="Arial"/>
                <w:sz w:val="14"/>
                <w:szCs w:val="14"/>
                <w:color w:val="auto"/>
              </w:rPr>
              <w:t>Reporting Year</w:t>
            </w:r>
          </w:p>
        </w:tc>
        <w:tc>
          <w:tcPr>
            <w:tcW w:w="1180" w:type="dxa"/>
            <w:vAlign w:val="bottom"/>
          </w:tcPr>
          <w:p>
            <w:pPr>
              <w:ind w:left="520"/>
              <w:spacing w:after="0"/>
              <w:rPr>
                <w:sz w:val="20"/>
                <w:szCs w:val="20"/>
                <w:color w:val="auto"/>
              </w:rPr>
            </w:pPr>
            <w:r>
              <w:rPr>
                <w:rFonts w:ascii="Arial" w:cs="Arial" w:eastAsia="Arial" w:hAnsi="Arial"/>
                <w:sz w:val="14"/>
                <w:szCs w:val="14"/>
                <w:color w:val="auto"/>
              </w:rPr>
              <w:t>rate</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2,844</w:t>
            </w:r>
          </w:p>
        </w:tc>
        <w:tc>
          <w:tcPr>
            <w:tcW w:w="28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2025</w:t>
            </w:r>
          </w:p>
        </w:tc>
        <w:tc>
          <w:tcPr>
            <w:tcW w:w="1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76.40%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Upstream Data Transparency</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Appendix A includes all smelters/refiners that suppliers listed in completed CMRTs that met the recognized definition of a 3TGs processing facility and were operational during the 2025 calendar year. As is a common practice when requests are sent upstream in the supply chain, those who purchase materials from smelters may not be able to discern exactly which company’s product lines the materials may end up in. As a result, those providing the smelters/refiners have the practice to list all smelters/refiners they may purchase from within the reporting period. Therefore, the smelters/refiners (as sources) listed in Appendix A are likely to be more comprehensive than the list of smelters/refiners which actually processed the 3TGs contained in the Company’s products.</w:t>
      </w:r>
    </w:p>
    <w:p>
      <w:pPr>
        <w:spacing w:after="0" w:line="179"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Suppliers that identified these specific smelters of concern on their CMRT were contacted in accordance with the OECD Guidance, as stipulated in the previous sections.</w:t>
      </w:r>
    </w:p>
    <w:p>
      <w:pPr>
        <w:sectPr>
          <w:pgSz w:w="11900" w:h="16838" w:orient="portrait"/>
          <w:cols w:equalWidth="0" w:num="1">
            <w:col w:w="10980"/>
          </w:cols>
          <w:pgMar w:left="440" w:top="269" w:right="4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20"/>
                <w:szCs w:val="20"/>
                <w:color w:val="auto"/>
              </w:rPr>
            </w:pPr>
            <w:r>
              <w:rPr>
                <w:rFonts w:ascii="Arial" w:cs="Arial" w:eastAsia="Arial" w:hAnsi="Arial"/>
                <w:sz w:val="14"/>
                <w:szCs w:val="14"/>
                <w:color w:val="auto"/>
              </w:rPr>
              <w:t>Status</w:t>
            </w:r>
          </w:p>
        </w:tc>
        <w:tc>
          <w:tcPr>
            <w:tcW w:w="4500" w:type="dxa"/>
            <w:vAlign w:val="bottom"/>
          </w:tcPr>
          <w:p>
            <w:pPr>
              <w:ind w:left="2120"/>
              <w:spacing w:after="0"/>
              <w:rPr>
                <w:sz w:val="20"/>
                <w:szCs w:val="20"/>
                <w:color w:val="auto"/>
              </w:rPr>
            </w:pPr>
            <w:r>
              <w:rPr>
                <w:rFonts w:ascii="Arial" w:cs="Arial" w:eastAsia="Arial" w:hAnsi="Arial"/>
                <w:sz w:val="14"/>
                <w:szCs w:val="14"/>
                <w:color w:val="auto"/>
              </w:rPr>
              <w:t>Number of identified smelters/refiners</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RMAP Conformant</w:t>
            </w:r>
          </w:p>
        </w:tc>
        <w:tc>
          <w:tcPr>
            <w:tcW w:w="4500" w:type="dxa"/>
            <w:vAlign w:val="bottom"/>
          </w:tcPr>
          <w:p>
            <w:pPr>
              <w:ind w:left="2120"/>
              <w:spacing w:after="0"/>
              <w:rPr>
                <w:sz w:val="20"/>
                <w:szCs w:val="20"/>
                <w:color w:val="auto"/>
              </w:rPr>
            </w:pPr>
            <w:r>
              <w:rPr>
                <w:rFonts w:ascii="Arial" w:cs="Arial" w:eastAsia="Arial" w:hAnsi="Arial"/>
                <w:sz w:val="18"/>
                <w:szCs w:val="18"/>
                <w:color w:val="auto"/>
              </w:rPr>
              <w:t>207</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RMAP Active</w:t>
            </w:r>
          </w:p>
        </w:tc>
        <w:tc>
          <w:tcPr>
            <w:tcW w:w="4500" w:type="dxa"/>
            <w:vAlign w:val="bottom"/>
          </w:tcPr>
          <w:p>
            <w:pPr>
              <w:ind w:left="2120"/>
              <w:spacing w:after="0"/>
              <w:rPr>
                <w:sz w:val="20"/>
                <w:szCs w:val="20"/>
                <w:color w:val="auto"/>
              </w:rPr>
            </w:pPr>
            <w:r>
              <w:rPr>
                <w:rFonts w:ascii="Arial" w:cs="Arial" w:eastAsia="Arial" w:hAnsi="Arial"/>
                <w:sz w:val="18"/>
                <w:szCs w:val="18"/>
                <w:color w:val="auto"/>
              </w:rPr>
              <w:t>9</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Not Enrolled</w:t>
            </w:r>
          </w:p>
        </w:tc>
        <w:tc>
          <w:tcPr>
            <w:tcW w:w="4500" w:type="dxa"/>
            <w:vAlign w:val="bottom"/>
          </w:tcPr>
          <w:p>
            <w:pPr>
              <w:ind w:left="2120"/>
              <w:spacing w:after="0"/>
              <w:rPr>
                <w:sz w:val="20"/>
                <w:szCs w:val="20"/>
                <w:color w:val="auto"/>
              </w:rPr>
            </w:pPr>
            <w:r>
              <w:rPr>
                <w:rFonts w:ascii="Arial" w:cs="Arial" w:eastAsia="Arial" w:hAnsi="Arial"/>
                <w:sz w:val="18"/>
                <w:szCs w:val="18"/>
                <w:color w:val="auto"/>
              </w:rPr>
              <w:t>83</w:t>
            </w:r>
          </w:p>
        </w:tc>
      </w:tr>
      <w:tr>
        <w:trPr>
          <w:trHeight w:val="239"/>
        </w:trPr>
        <w:tc>
          <w:tcPr>
            <w:tcW w:w="3620" w:type="dxa"/>
            <w:vAlign w:val="bottom"/>
          </w:tcPr>
          <w:p>
            <w:pPr>
              <w:spacing w:after="0"/>
              <w:rPr>
                <w:sz w:val="20"/>
                <w:szCs w:val="20"/>
                <w:color w:val="auto"/>
              </w:rPr>
            </w:pPr>
            <w:r>
              <w:rPr>
                <w:rFonts w:ascii="Arial" w:cs="Arial" w:eastAsia="Arial" w:hAnsi="Arial"/>
                <w:sz w:val="18"/>
                <w:szCs w:val="18"/>
                <w:color w:val="auto"/>
              </w:rPr>
              <w:t>Non-Conformant</w:t>
            </w:r>
          </w:p>
        </w:tc>
        <w:tc>
          <w:tcPr>
            <w:tcW w:w="4500" w:type="dxa"/>
            <w:vAlign w:val="bottom"/>
          </w:tcPr>
          <w:p>
            <w:pPr>
              <w:ind w:left="2120"/>
              <w:spacing w:after="0"/>
              <w:rPr>
                <w:sz w:val="20"/>
                <w:szCs w:val="20"/>
                <w:color w:val="auto"/>
              </w:rPr>
            </w:pPr>
            <w:r>
              <w:rPr>
                <w:rFonts w:ascii="Arial" w:cs="Arial" w:eastAsia="Arial" w:hAnsi="Arial"/>
                <w:sz w:val="18"/>
                <w:szCs w:val="18"/>
                <w:color w:val="auto"/>
              </w:rPr>
              <w:t>38</w:t>
            </w:r>
          </w:p>
        </w:tc>
      </w:tr>
    </w:tbl>
    <w:p>
      <w:pPr>
        <w:spacing w:after="0" w:line="3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Country of Origin</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Appendix B includes an aggregated list of countries of origin from which the reported facilities collectively source 3TGs, based on reasonable identification of country of origin data obtained via the third-party service provider’s supply chain database (or other reasonable country of origin data, in the scenario SLB decides to use alternative data sources). As mentioned in the above section, it is understood that overreporting might occur which could result in Appendix B having more countries than those strictly relevant to the Company’s products.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Steps to Be Taken to Mitigate Risk</w:t>
      </w:r>
    </w:p>
    <w:p>
      <w:pPr>
        <w:spacing w:after="0" w:line="104"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SLB has taken, or intends to take, the following steps to improve the due diligence conducted to further mitigate any risk that the necessary 3TGs in the Company’s products could originate from CAHRAs:</w:t>
      </w:r>
    </w:p>
    <w:p>
      <w:pPr>
        <w:spacing w:after="0" w:line="59" w:lineRule="exact"/>
        <w:rPr>
          <w:sz w:val="20"/>
          <w:szCs w:val="20"/>
          <w:color w:val="auto"/>
        </w:rPr>
      </w:pPr>
    </w:p>
    <w:p>
      <w:pPr>
        <w:ind w:left="1420" w:right="20" w:hanging="331"/>
        <w:spacing w:after="0" w:line="271"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Engage with suppliers more closely, and provide more information and training resources regarding responsible sourcing of 3TGs.</w:t>
      </w:r>
    </w:p>
    <w:p>
      <w:pPr>
        <w:spacing w:after="0" w:line="59" w:lineRule="exact"/>
        <w:rPr>
          <w:rFonts w:ascii="Arial" w:cs="Arial" w:eastAsia="Arial" w:hAnsi="Arial"/>
          <w:sz w:val="18"/>
          <w:szCs w:val="18"/>
          <w:color w:val="auto"/>
        </w:rPr>
      </w:pPr>
    </w:p>
    <w:p>
      <w:pPr>
        <w:ind w:left="1420" w:right="460" w:hanging="331"/>
        <w:spacing w:after="0" w:line="271"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Encourage suppliers to have due diligence procedures in place for their supply chains to improve the content of the responses from such suppliers.</w:t>
      </w:r>
    </w:p>
    <w:p>
      <w:pPr>
        <w:spacing w:after="0" w:line="59" w:lineRule="exact"/>
        <w:rPr>
          <w:rFonts w:ascii="Arial" w:cs="Arial" w:eastAsia="Arial" w:hAnsi="Arial"/>
          <w:sz w:val="18"/>
          <w:szCs w:val="18"/>
          <w:color w:val="auto"/>
        </w:rPr>
      </w:pPr>
    </w:p>
    <w:p>
      <w:pPr>
        <w:ind w:left="1420" w:right="60" w:hanging="331"/>
        <w:spacing w:after="0" w:line="271"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evaluate conflict minerals risk in all products procured from third parties, including products manufactured or contracted to be manufactured by recently-acquired companies.</w:t>
      </w:r>
    </w:p>
    <w:p>
      <w:pPr>
        <w:sectPr>
          <w:pgSz w:w="11900" w:h="16838" w:orient="portrait"/>
          <w:cols w:equalWidth="0" w:num="1">
            <w:col w:w="11020"/>
          </w:cols>
          <w:pgMar w:left="440" w:top="270" w:right="4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 Smelter List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80" w:type="dxa"/>
            <w:vAlign w:val="bottom"/>
          </w:tcPr>
          <w:p>
            <w:pPr>
              <w:spacing w:after="0"/>
              <w:rPr>
                <w:sz w:val="16"/>
                <w:szCs w:val="16"/>
                <w:color w:val="auto"/>
              </w:rPr>
            </w:pPr>
          </w:p>
        </w:tc>
        <w:tc>
          <w:tcPr>
            <w:tcW w:w="4500" w:type="dxa"/>
            <w:vAlign w:val="bottom"/>
          </w:tcPr>
          <w:p>
            <w:pPr>
              <w:ind w:left="1760"/>
              <w:spacing w:after="0"/>
              <w:rPr>
                <w:sz w:val="20"/>
                <w:szCs w:val="20"/>
                <w:color w:val="auto"/>
              </w:rPr>
            </w:pPr>
            <w:r>
              <w:rPr>
                <w:rFonts w:ascii="Arial" w:cs="Arial" w:eastAsia="Arial" w:hAnsi="Arial"/>
                <w:sz w:val="14"/>
                <w:szCs w:val="14"/>
                <w:b w:val="1"/>
                <w:bCs w:val="1"/>
                <w:color w:val="auto"/>
              </w:rPr>
              <w:t>Smelter Name</w:t>
            </w:r>
          </w:p>
        </w:tc>
        <w:tc>
          <w:tcPr>
            <w:tcW w:w="120" w:type="dxa"/>
            <w:vAlign w:val="bottom"/>
          </w:tcPr>
          <w:p>
            <w:pPr>
              <w:spacing w:after="0"/>
              <w:rPr>
                <w:sz w:val="16"/>
                <w:szCs w:val="16"/>
                <w:color w:val="auto"/>
              </w:rPr>
            </w:pPr>
          </w:p>
        </w:tc>
        <w:tc>
          <w:tcPr>
            <w:tcW w:w="2320" w:type="dxa"/>
            <w:vAlign w:val="bottom"/>
            <w:gridSpan w:val="2"/>
          </w:tcPr>
          <w:p>
            <w:pPr>
              <w:ind w:left="240"/>
              <w:spacing w:after="0"/>
              <w:rPr>
                <w:sz w:val="20"/>
                <w:szCs w:val="20"/>
                <w:color w:val="auto"/>
              </w:rPr>
            </w:pPr>
            <w:r>
              <w:rPr>
                <w:rFonts w:ascii="Arial" w:cs="Arial" w:eastAsia="Arial" w:hAnsi="Arial"/>
                <w:sz w:val="14"/>
                <w:szCs w:val="14"/>
                <w:b w:val="1"/>
                <w:bCs w:val="1"/>
                <w:color w:val="auto"/>
              </w:rPr>
              <w:t>Smelter Facility Location</w:t>
            </w: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Smelter ID</w:t>
            </w:r>
          </w:p>
        </w:tc>
        <w:tc>
          <w:tcPr>
            <w:tcW w:w="100" w:type="dxa"/>
            <w:vAlign w:val="bottom"/>
          </w:tcPr>
          <w:p>
            <w:pPr>
              <w:spacing w:after="0"/>
              <w:rPr>
                <w:sz w:val="16"/>
                <w:szCs w:val="16"/>
                <w:color w:val="auto"/>
              </w:rPr>
            </w:pPr>
          </w:p>
        </w:tc>
        <w:tc>
          <w:tcPr>
            <w:tcW w:w="2100" w:type="dxa"/>
            <w:vAlign w:val="bottom"/>
          </w:tcPr>
          <w:p>
            <w:pPr>
              <w:ind w:left="400"/>
              <w:spacing w:after="0"/>
              <w:rPr>
                <w:sz w:val="20"/>
                <w:szCs w:val="20"/>
                <w:color w:val="auto"/>
              </w:rPr>
            </w:pPr>
            <w:r>
              <w:rPr>
                <w:rFonts w:ascii="Arial" w:cs="Arial" w:eastAsia="Arial" w:hAnsi="Arial"/>
                <w:sz w:val="14"/>
                <w:szCs w:val="14"/>
                <w:b w:val="1"/>
                <w:bCs w:val="1"/>
                <w:color w:val="auto"/>
              </w:rPr>
              <w:t>RMAP Audit Status</w:t>
            </w:r>
          </w:p>
        </w:tc>
      </w:tr>
      <w:tr>
        <w:trPr>
          <w:trHeight w:val="226"/>
        </w:trPr>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Tin</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Jiangxi New Nanshan Technology Ltd.</w:t>
            </w:r>
          </w:p>
        </w:tc>
        <w:tc>
          <w:tcPr>
            <w:tcW w:w="120" w:type="dxa"/>
            <w:vAlign w:val="bottom"/>
          </w:tcPr>
          <w:p>
            <w:pPr>
              <w:spacing w:after="0"/>
              <w:rPr>
                <w:sz w:val="19"/>
                <w:szCs w:val="19"/>
                <w:color w:val="auto"/>
              </w:rPr>
            </w:pPr>
          </w:p>
        </w:tc>
        <w:tc>
          <w:tcPr>
            <w:tcW w:w="2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China</w:t>
            </w:r>
          </w:p>
        </w:tc>
        <w:tc>
          <w:tcPr>
            <w:tcW w:w="120" w:type="dxa"/>
            <w:vAlign w:val="bottom"/>
          </w:tcPr>
          <w:p>
            <w:pPr>
              <w:spacing w:after="0"/>
              <w:rPr>
                <w:sz w:val="19"/>
                <w:szCs w:val="19"/>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CID001231</w:t>
            </w:r>
          </w:p>
        </w:tc>
        <w:tc>
          <w:tcPr>
            <w:tcW w:w="100" w:type="dxa"/>
            <w:vAlign w:val="bottom"/>
          </w:tcPr>
          <w:p>
            <w:pPr>
              <w:spacing w:after="0"/>
              <w:rPr>
                <w:sz w:val="19"/>
                <w:szCs w:val="19"/>
                <w:color w:val="auto"/>
              </w:rPr>
            </w:pPr>
          </w:p>
        </w:tc>
        <w:tc>
          <w:tcPr>
            <w:tcW w:w="2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Active</w:t>
            </w:r>
          </w:p>
        </w:tc>
      </w:tr>
      <w:tr>
        <w:trPr>
          <w:trHeight w:val="255"/>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CRM Fundicao De Metais E Comercio De</w:t>
            </w:r>
          </w:p>
        </w:tc>
        <w:tc>
          <w:tcPr>
            <w:tcW w:w="2440" w:type="dxa"/>
            <w:vAlign w:val="bottom"/>
            <w:gridSpan w:val="3"/>
          </w:tcPr>
          <w:p>
            <w:pPr>
              <w:ind w:left="120"/>
              <w:spacing w:after="0"/>
              <w:rPr>
                <w:sz w:val="20"/>
                <w:szCs w:val="20"/>
                <w:color w:val="auto"/>
              </w:rPr>
            </w:pPr>
            <w:r>
              <w:rPr>
                <w:rFonts w:ascii="Arial" w:cs="Arial" w:eastAsia="Arial" w:hAnsi="Arial"/>
                <w:sz w:val="18"/>
                <w:szCs w:val="18"/>
                <w:color w:val="auto"/>
              </w:rPr>
              <w:t>Brazil</w:t>
            </w:r>
          </w:p>
        </w:tc>
        <w:tc>
          <w:tcPr>
            <w:tcW w:w="1000" w:type="dxa"/>
            <w:vAlign w:val="bottom"/>
          </w:tcPr>
          <w:p>
            <w:pPr>
              <w:spacing w:after="0"/>
              <w:rPr>
                <w:sz w:val="20"/>
                <w:szCs w:val="20"/>
                <w:color w:val="auto"/>
              </w:rPr>
            </w:pPr>
            <w:r>
              <w:rPr>
                <w:rFonts w:ascii="Arial" w:cs="Arial" w:eastAsia="Arial" w:hAnsi="Arial"/>
                <w:sz w:val="18"/>
                <w:szCs w:val="18"/>
                <w:color w:val="auto"/>
              </w:rPr>
              <w:t>CID003486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Active</w:t>
            </w:r>
          </w:p>
        </w:tc>
      </w:tr>
      <w:tr>
        <w:trPr>
          <w:trHeight w:val="239"/>
        </w:trPr>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Equipamentos Eletronicos Do Brasil Ltda</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PT Artha Cipta Langgeng</w:t>
            </w:r>
          </w:p>
        </w:tc>
        <w:tc>
          <w:tcPr>
            <w:tcW w:w="2440" w:type="dxa"/>
            <w:vAlign w:val="bottom"/>
            <w:gridSpan w:val="3"/>
          </w:tcPr>
          <w:p>
            <w:pPr>
              <w:ind w:left="120"/>
              <w:spacing w:after="0"/>
              <w:rPr>
                <w:sz w:val="20"/>
                <w:szCs w:val="20"/>
                <w:color w:val="auto"/>
              </w:rPr>
            </w:pPr>
            <w:r>
              <w:rPr>
                <w:rFonts w:ascii="Arial" w:cs="Arial" w:eastAsia="Arial" w:hAnsi="Arial"/>
                <w:sz w:val="18"/>
                <w:szCs w:val="18"/>
                <w:color w:val="auto"/>
              </w:rPr>
              <w:t>Indonesia</w:t>
            </w:r>
          </w:p>
        </w:tc>
        <w:tc>
          <w:tcPr>
            <w:tcW w:w="1000" w:type="dxa"/>
            <w:vAlign w:val="bottom"/>
          </w:tcPr>
          <w:p>
            <w:pPr>
              <w:spacing w:after="0"/>
              <w:rPr>
                <w:sz w:val="20"/>
                <w:szCs w:val="20"/>
                <w:color w:val="auto"/>
              </w:rPr>
            </w:pPr>
            <w:r>
              <w:rPr>
                <w:rFonts w:ascii="Arial" w:cs="Arial" w:eastAsia="Arial" w:hAnsi="Arial"/>
                <w:sz w:val="18"/>
                <w:szCs w:val="18"/>
                <w:color w:val="auto"/>
              </w:rPr>
              <w:t>CID001399</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Active</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Uzbek Refractory and Heat-Resistant Metals</w:t>
            </w:r>
          </w:p>
        </w:tc>
        <w:tc>
          <w:tcPr>
            <w:tcW w:w="2440" w:type="dxa"/>
            <w:vAlign w:val="bottom"/>
            <w:gridSpan w:val="3"/>
          </w:tcPr>
          <w:p>
            <w:pPr>
              <w:ind w:left="120"/>
              <w:spacing w:after="0"/>
              <w:rPr>
                <w:sz w:val="20"/>
                <w:szCs w:val="20"/>
                <w:color w:val="auto"/>
              </w:rPr>
            </w:pPr>
            <w:r>
              <w:rPr>
                <w:rFonts w:ascii="Arial" w:cs="Arial" w:eastAsia="Arial" w:hAnsi="Arial"/>
                <w:sz w:val="18"/>
                <w:szCs w:val="18"/>
                <w:color w:val="auto"/>
              </w:rPr>
              <w:t>Uzbekistan</w:t>
            </w:r>
          </w:p>
        </w:tc>
        <w:tc>
          <w:tcPr>
            <w:tcW w:w="1000" w:type="dxa"/>
            <w:vAlign w:val="bottom"/>
          </w:tcPr>
          <w:p>
            <w:pPr>
              <w:spacing w:after="0"/>
              <w:rPr>
                <w:sz w:val="20"/>
                <w:szCs w:val="20"/>
                <w:color w:val="auto"/>
              </w:rPr>
            </w:pPr>
            <w:r>
              <w:rPr>
                <w:rFonts w:ascii="Arial" w:cs="Arial" w:eastAsia="Arial" w:hAnsi="Arial"/>
                <w:sz w:val="18"/>
                <w:szCs w:val="18"/>
                <w:color w:val="auto"/>
              </w:rPr>
              <w:t>CID002660</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Active</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Conecsus LLC</w:t>
            </w:r>
          </w:p>
        </w:tc>
        <w:tc>
          <w:tcPr>
            <w:tcW w:w="2440" w:type="dxa"/>
            <w:vAlign w:val="bottom"/>
            <w:gridSpan w:val="3"/>
          </w:tcPr>
          <w:p>
            <w:pPr>
              <w:ind w:left="120"/>
              <w:spacing w:after="0"/>
              <w:rPr>
                <w:sz w:val="20"/>
                <w:szCs w:val="20"/>
                <w:color w:val="auto"/>
              </w:rPr>
            </w:pPr>
            <w:r>
              <w:rPr>
                <w:rFonts w:ascii="Arial" w:cs="Arial" w:eastAsia="Arial" w:hAnsi="Arial"/>
                <w:sz w:val="18"/>
                <w:szCs w:val="18"/>
                <w:color w:val="auto"/>
              </w:rPr>
              <w:t>United States Of America</w:t>
            </w:r>
          </w:p>
        </w:tc>
        <w:tc>
          <w:tcPr>
            <w:tcW w:w="1000" w:type="dxa"/>
            <w:vAlign w:val="bottom"/>
          </w:tcPr>
          <w:p>
            <w:pPr>
              <w:spacing w:after="0"/>
              <w:rPr>
                <w:sz w:val="20"/>
                <w:szCs w:val="20"/>
                <w:color w:val="auto"/>
              </w:rPr>
            </w:pPr>
            <w:r>
              <w:rPr>
                <w:rFonts w:ascii="Arial" w:cs="Arial" w:eastAsia="Arial" w:hAnsi="Arial"/>
                <w:sz w:val="18"/>
                <w:szCs w:val="18"/>
                <w:color w:val="auto"/>
              </w:rPr>
              <w:t>CID003504</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Active</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SOLEIL METALS (Chala One Plant)</w:t>
            </w:r>
          </w:p>
        </w:tc>
        <w:tc>
          <w:tcPr>
            <w:tcW w:w="2440" w:type="dxa"/>
            <w:vAlign w:val="bottom"/>
            <w:gridSpan w:val="3"/>
          </w:tcPr>
          <w:p>
            <w:pPr>
              <w:ind w:left="120"/>
              <w:spacing w:after="0"/>
              <w:rPr>
                <w:sz w:val="20"/>
                <w:szCs w:val="20"/>
                <w:color w:val="auto"/>
              </w:rPr>
            </w:pPr>
            <w:r>
              <w:rPr>
                <w:rFonts w:ascii="Arial" w:cs="Arial" w:eastAsia="Arial" w:hAnsi="Arial"/>
                <w:sz w:val="18"/>
                <w:szCs w:val="18"/>
                <w:color w:val="auto"/>
              </w:rPr>
              <w:t>Peru</w:t>
            </w:r>
          </w:p>
        </w:tc>
        <w:tc>
          <w:tcPr>
            <w:tcW w:w="1000" w:type="dxa"/>
            <w:vAlign w:val="bottom"/>
          </w:tcPr>
          <w:p>
            <w:pPr>
              <w:spacing w:after="0"/>
              <w:rPr>
                <w:sz w:val="20"/>
                <w:szCs w:val="20"/>
                <w:color w:val="auto"/>
              </w:rPr>
            </w:pPr>
            <w:r>
              <w:rPr>
                <w:rFonts w:ascii="Arial" w:cs="Arial" w:eastAsia="Arial" w:hAnsi="Arial"/>
                <w:sz w:val="18"/>
                <w:szCs w:val="18"/>
                <w:color w:val="auto"/>
              </w:rPr>
              <w:t>CID004704</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Active</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SOLEIL METALS (YAKARI Plant)</w:t>
            </w:r>
          </w:p>
        </w:tc>
        <w:tc>
          <w:tcPr>
            <w:tcW w:w="2440" w:type="dxa"/>
            <w:vAlign w:val="bottom"/>
            <w:gridSpan w:val="3"/>
          </w:tcPr>
          <w:p>
            <w:pPr>
              <w:ind w:left="120"/>
              <w:spacing w:after="0"/>
              <w:rPr>
                <w:sz w:val="20"/>
                <w:szCs w:val="20"/>
                <w:color w:val="auto"/>
              </w:rPr>
            </w:pPr>
            <w:r>
              <w:rPr>
                <w:rFonts w:ascii="Arial" w:cs="Arial" w:eastAsia="Arial" w:hAnsi="Arial"/>
                <w:sz w:val="18"/>
                <w:szCs w:val="18"/>
                <w:color w:val="auto"/>
              </w:rPr>
              <w:t>Peru</w:t>
            </w:r>
          </w:p>
        </w:tc>
        <w:tc>
          <w:tcPr>
            <w:tcW w:w="1000" w:type="dxa"/>
            <w:vAlign w:val="bottom"/>
          </w:tcPr>
          <w:p>
            <w:pPr>
              <w:spacing w:after="0"/>
              <w:rPr>
                <w:sz w:val="20"/>
                <w:szCs w:val="20"/>
                <w:color w:val="auto"/>
              </w:rPr>
            </w:pPr>
            <w:r>
              <w:rPr>
                <w:rFonts w:ascii="Arial" w:cs="Arial" w:eastAsia="Arial" w:hAnsi="Arial"/>
                <w:sz w:val="18"/>
                <w:szCs w:val="18"/>
                <w:color w:val="auto"/>
              </w:rPr>
              <w:t>CID004705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Active</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Jiangxi Sanshi Nonferrous Metals Co., Ltd</w:t>
            </w:r>
          </w:p>
        </w:tc>
        <w:tc>
          <w:tcPr>
            <w:tcW w:w="2440" w:type="dxa"/>
            <w:vAlign w:val="bottom"/>
            <w:gridSpan w:val="3"/>
          </w:tcPr>
          <w:p>
            <w:pPr>
              <w:ind w:left="120"/>
              <w:spacing w:after="0"/>
              <w:rPr>
                <w:sz w:val="20"/>
                <w:szCs w:val="20"/>
                <w:color w:val="auto"/>
              </w:rPr>
            </w:pPr>
            <w:r>
              <w:rPr>
                <w:rFonts w:ascii="Arial" w:cs="Arial" w:eastAsia="Arial" w:hAnsi="Arial"/>
                <w:sz w:val="18"/>
                <w:szCs w:val="18"/>
                <w:color w:val="auto"/>
              </w:rPr>
              <w:t>China</w:t>
            </w:r>
          </w:p>
        </w:tc>
        <w:tc>
          <w:tcPr>
            <w:tcW w:w="1000" w:type="dxa"/>
            <w:vAlign w:val="bottom"/>
          </w:tcPr>
          <w:p>
            <w:pPr>
              <w:spacing w:after="0"/>
              <w:rPr>
                <w:sz w:val="20"/>
                <w:szCs w:val="20"/>
                <w:color w:val="auto"/>
              </w:rPr>
            </w:pPr>
            <w:r>
              <w:rPr>
                <w:rFonts w:ascii="Arial" w:cs="Arial" w:eastAsia="Arial" w:hAnsi="Arial"/>
                <w:sz w:val="18"/>
                <w:szCs w:val="18"/>
                <w:color w:val="auto"/>
              </w:rPr>
              <w:t>CID004813</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Active</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Minera Titán del Perú SRL (MTP) - Belen Plant</w:t>
            </w:r>
          </w:p>
        </w:tc>
        <w:tc>
          <w:tcPr>
            <w:tcW w:w="2440" w:type="dxa"/>
            <w:vAlign w:val="bottom"/>
            <w:gridSpan w:val="3"/>
          </w:tcPr>
          <w:p>
            <w:pPr>
              <w:ind w:left="120"/>
              <w:spacing w:after="0"/>
              <w:rPr>
                <w:sz w:val="20"/>
                <w:szCs w:val="20"/>
                <w:color w:val="auto"/>
              </w:rPr>
            </w:pPr>
            <w:r>
              <w:rPr>
                <w:rFonts w:ascii="Arial" w:cs="Arial" w:eastAsia="Arial" w:hAnsi="Arial"/>
                <w:sz w:val="18"/>
                <w:szCs w:val="18"/>
                <w:color w:val="auto"/>
              </w:rPr>
              <w:t>Peru</w:t>
            </w:r>
          </w:p>
        </w:tc>
        <w:tc>
          <w:tcPr>
            <w:tcW w:w="1000" w:type="dxa"/>
            <w:vAlign w:val="bottom"/>
          </w:tcPr>
          <w:p>
            <w:pPr>
              <w:spacing w:after="0"/>
              <w:rPr>
                <w:sz w:val="20"/>
                <w:szCs w:val="20"/>
                <w:color w:val="auto"/>
              </w:rPr>
            </w:pPr>
            <w:r>
              <w:rPr>
                <w:rFonts w:ascii="Arial" w:cs="Arial" w:eastAsia="Arial" w:hAnsi="Arial"/>
                <w:sz w:val="18"/>
                <w:szCs w:val="18"/>
                <w:color w:val="auto"/>
              </w:rPr>
              <w:t>CID005014</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Active</w:t>
            </w:r>
          </w:p>
        </w:tc>
      </w:tr>
      <w:tr>
        <w:trPr>
          <w:trHeight w:val="288"/>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HwaSeong CJ CO., LTD.</w:t>
            </w:r>
          </w:p>
        </w:tc>
        <w:tc>
          <w:tcPr>
            <w:tcW w:w="2440" w:type="dxa"/>
            <w:vAlign w:val="bottom"/>
            <w:gridSpan w:val="3"/>
          </w:tcPr>
          <w:p>
            <w:pPr>
              <w:ind w:left="120"/>
              <w:spacing w:after="0"/>
              <w:rPr>
                <w:sz w:val="20"/>
                <w:szCs w:val="20"/>
                <w:color w:val="auto"/>
              </w:rPr>
            </w:pPr>
            <w:r>
              <w:rPr>
                <w:rFonts w:ascii="Arial" w:cs="Arial" w:eastAsia="Arial" w:hAnsi="Arial"/>
                <w:sz w:val="18"/>
                <w:szCs w:val="18"/>
                <w:color w:val="auto"/>
              </w:rPr>
              <w:t>Korea, Republic Of</w:t>
            </w:r>
          </w:p>
        </w:tc>
        <w:tc>
          <w:tcPr>
            <w:tcW w:w="1000" w:type="dxa"/>
            <w:vAlign w:val="bottom"/>
          </w:tcPr>
          <w:p>
            <w:pPr>
              <w:spacing w:after="0"/>
              <w:rPr>
                <w:sz w:val="20"/>
                <w:szCs w:val="20"/>
                <w:color w:val="auto"/>
              </w:rPr>
            </w:pPr>
            <w:r>
              <w:rPr>
                <w:rFonts w:ascii="Arial" w:cs="Arial" w:eastAsia="Arial" w:hAnsi="Arial"/>
                <w:sz w:val="18"/>
                <w:szCs w:val="18"/>
                <w:color w:val="auto"/>
              </w:rPr>
              <w:t>CID000778</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Communication</w:t>
            </w:r>
          </w:p>
        </w:tc>
      </w:tr>
      <w:tr>
        <w:trPr>
          <w:trHeight w:val="203"/>
        </w:trPr>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Suspended - Not</w:t>
            </w:r>
          </w:p>
        </w:tc>
      </w:tr>
      <w:tr>
        <w:trPr>
          <w:trHeight w:val="239"/>
        </w:trPr>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Interested</w:t>
            </w:r>
          </w:p>
        </w:tc>
      </w:tr>
      <w:tr>
        <w:trPr>
          <w:trHeight w:val="27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Sabin Metal Corp.</w:t>
            </w:r>
          </w:p>
        </w:tc>
        <w:tc>
          <w:tcPr>
            <w:tcW w:w="2440" w:type="dxa"/>
            <w:vAlign w:val="bottom"/>
            <w:gridSpan w:val="3"/>
          </w:tcPr>
          <w:p>
            <w:pPr>
              <w:ind w:left="120"/>
              <w:spacing w:after="0"/>
              <w:rPr>
                <w:sz w:val="20"/>
                <w:szCs w:val="20"/>
                <w:color w:val="auto"/>
              </w:rPr>
            </w:pPr>
            <w:r>
              <w:rPr>
                <w:rFonts w:ascii="Arial" w:cs="Arial" w:eastAsia="Arial" w:hAnsi="Arial"/>
                <w:sz w:val="18"/>
                <w:szCs w:val="18"/>
                <w:color w:val="auto"/>
              </w:rPr>
              <w:t>United States Of America</w:t>
            </w:r>
          </w:p>
        </w:tc>
        <w:tc>
          <w:tcPr>
            <w:tcW w:w="1000" w:type="dxa"/>
            <w:vAlign w:val="bottom"/>
          </w:tcPr>
          <w:p>
            <w:pPr>
              <w:spacing w:after="0"/>
              <w:rPr>
                <w:sz w:val="20"/>
                <w:szCs w:val="20"/>
                <w:color w:val="auto"/>
              </w:rPr>
            </w:pPr>
            <w:r>
              <w:rPr>
                <w:rFonts w:ascii="Arial" w:cs="Arial" w:eastAsia="Arial" w:hAnsi="Arial"/>
                <w:sz w:val="18"/>
                <w:szCs w:val="18"/>
                <w:color w:val="auto"/>
              </w:rPr>
              <w:t>CID001546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Communication</w:t>
            </w:r>
          </w:p>
        </w:tc>
      </w:tr>
      <w:tr>
        <w:trPr>
          <w:trHeight w:val="203"/>
        </w:trPr>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Suspended - Not</w:t>
            </w:r>
          </w:p>
        </w:tc>
      </w:tr>
      <w:tr>
        <w:trPr>
          <w:trHeight w:val="239"/>
        </w:trPr>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Interested</w:t>
            </w:r>
          </w:p>
        </w:tc>
      </w:tr>
      <w:tr>
        <w:trPr>
          <w:trHeight w:val="27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Samwon Metals Corp.</w:t>
            </w:r>
          </w:p>
        </w:tc>
        <w:tc>
          <w:tcPr>
            <w:tcW w:w="2440" w:type="dxa"/>
            <w:vAlign w:val="bottom"/>
            <w:gridSpan w:val="3"/>
          </w:tcPr>
          <w:p>
            <w:pPr>
              <w:ind w:left="120"/>
              <w:spacing w:after="0"/>
              <w:rPr>
                <w:sz w:val="20"/>
                <w:szCs w:val="20"/>
                <w:color w:val="auto"/>
              </w:rPr>
            </w:pPr>
            <w:r>
              <w:rPr>
                <w:rFonts w:ascii="Arial" w:cs="Arial" w:eastAsia="Arial" w:hAnsi="Arial"/>
                <w:sz w:val="18"/>
                <w:szCs w:val="18"/>
                <w:color w:val="auto"/>
              </w:rPr>
              <w:t>Korea, Republic Of</w:t>
            </w:r>
          </w:p>
        </w:tc>
        <w:tc>
          <w:tcPr>
            <w:tcW w:w="1000" w:type="dxa"/>
            <w:vAlign w:val="bottom"/>
          </w:tcPr>
          <w:p>
            <w:pPr>
              <w:spacing w:after="0"/>
              <w:rPr>
                <w:sz w:val="20"/>
                <w:szCs w:val="20"/>
                <w:color w:val="auto"/>
              </w:rPr>
            </w:pPr>
            <w:r>
              <w:rPr>
                <w:rFonts w:ascii="Arial" w:cs="Arial" w:eastAsia="Arial" w:hAnsi="Arial"/>
                <w:sz w:val="18"/>
                <w:szCs w:val="18"/>
                <w:color w:val="auto"/>
              </w:rPr>
              <w:t>CID001562</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Communication</w:t>
            </w:r>
          </w:p>
        </w:tc>
      </w:tr>
      <w:tr>
        <w:trPr>
          <w:trHeight w:val="203"/>
        </w:trPr>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Suspended - Not</w:t>
            </w:r>
          </w:p>
        </w:tc>
      </w:tr>
      <w:tr>
        <w:trPr>
          <w:trHeight w:val="239"/>
        </w:trPr>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Interested</w:t>
            </w:r>
          </w:p>
        </w:tc>
      </w:tr>
      <w:tr>
        <w:trPr>
          <w:trHeight w:val="274"/>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Jiangxi Minmetals Gao’an Non-ferrous Metals Co., Ltd.</w:t>
            </w:r>
          </w:p>
        </w:tc>
        <w:tc>
          <w:tcPr>
            <w:tcW w:w="2440" w:type="dxa"/>
            <w:vAlign w:val="bottom"/>
            <w:gridSpan w:val="3"/>
          </w:tcPr>
          <w:p>
            <w:pPr>
              <w:ind w:left="120"/>
              <w:spacing w:after="0"/>
              <w:rPr>
                <w:sz w:val="20"/>
                <w:szCs w:val="20"/>
                <w:color w:val="auto"/>
              </w:rPr>
            </w:pPr>
            <w:r>
              <w:rPr>
                <w:rFonts w:ascii="Arial" w:cs="Arial" w:eastAsia="Arial" w:hAnsi="Arial"/>
                <w:sz w:val="18"/>
                <w:szCs w:val="18"/>
                <w:color w:val="auto"/>
              </w:rPr>
              <w:t>China</w:t>
            </w:r>
          </w:p>
        </w:tc>
        <w:tc>
          <w:tcPr>
            <w:tcW w:w="1000" w:type="dxa"/>
            <w:vAlign w:val="bottom"/>
          </w:tcPr>
          <w:p>
            <w:pPr>
              <w:spacing w:after="0"/>
              <w:rPr>
                <w:sz w:val="20"/>
                <w:szCs w:val="20"/>
                <w:color w:val="auto"/>
              </w:rPr>
            </w:pPr>
            <w:r>
              <w:rPr>
                <w:rFonts w:ascii="Arial" w:cs="Arial" w:eastAsia="Arial" w:hAnsi="Arial"/>
                <w:sz w:val="18"/>
                <w:szCs w:val="18"/>
                <w:color w:val="auto"/>
              </w:rPr>
              <w:t>CID002313</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Communication</w:t>
            </w:r>
          </w:p>
        </w:tc>
      </w:tr>
      <w:tr>
        <w:trPr>
          <w:trHeight w:val="203"/>
        </w:trPr>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Suspended - Not</w:t>
            </w:r>
          </w:p>
        </w:tc>
      </w:tr>
      <w:tr>
        <w:trPr>
          <w:trHeight w:val="239"/>
        </w:trPr>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Interested</w:t>
            </w:r>
          </w:p>
        </w:tc>
      </w:tr>
      <w:tr>
        <w:trPr>
          <w:trHeight w:val="27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Pease &amp; Curren</w:t>
            </w:r>
          </w:p>
        </w:tc>
        <w:tc>
          <w:tcPr>
            <w:tcW w:w="2440" w:type="dxa"/>
            <w:vAlign w:val="bottom"/>
            <w:gridSpan w:val="3"/>
          </w:tcPr>
          <w:p>
            <w:pPr>
              <w:ind w:left="120"/>
              <w:spacing w:after="0"/>
              <w:rPr>
                <w:sz w:val="20"/>
                <w:szCs w:val="20"/>
                <w:color w:val="auto"/>
              </w:rPr>
            </w:pPr>
            <w:r>
              <w:rPr>
                <w:rFonts w:ascii="Arial" w:cs="Arial" w:eastAsia="Arial" w:hAnsi="Arial"/>
                <w:sz w:val="18"/>
                <w:szCs w:val="18"/>
                <w:color w:val="auto"/>
              </w:rPr>
              <w:t>United States Of America</w:t>
            </w:r>
          </w:p>
        </w:tc>
        <w:tc>
          <w:tcPr>
            <w:tcW w:w="1000" w:type="dxa"/>
            <w:vAlign w:val="bottom"/>
          </w:tcPr>
          <w:p>
            <w:pPr>
              <w:spacing w:after="0"/>
              <w:rPr>
                <w:sz w:val="20"/>
                <w:szCs w:val="20"/>
                <w:color w:val="auto"/>
              </w:rPr>
            </w:pPr>
            <w:r>
              <w:rPr>
                <w:rFonts w:ascii="Arial" w:cs="Arial" w:eastAsia="Arial" w:hAnsi="Arial"/>
                <w:sz w:val="18"/>
                <w:szCs w:val="18"/>
                <w:color w:val="auto"/>
              </w:rPr>
              <w:t>CID002872</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Communication</w:t>
            </w:r>
          </w:p>
        </w:tc>
      </w:tr>
      <w:tr>
        <w:trPr>
          <w:trHeight w:val="203"/>
        </w:trPr>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Suspended - Not</w:t>
            </w:r>
          </w:p>
        </w:tc>
      </w:tr>
      <w:tr>
        <w:trPr>
          <w:trHeight w:val="239"/>
        </w:trPr>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Interested</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A.L.M.T. Corp.</w:t>
            </w:r>
          </w:p>
        </w:tc>
        <w:tc>
          <w:tcPr>
            <w:tcW w:w="2440" w:type="dxa"/>
            <w:vAlign w:val="bottom"/>
            <w:gridSpan w:val="3"/>
          </w:tcPr>
          <w:p>
            <w:pPr>
              <w:ind w:left="120"/>
              <w:spacing w:after="0"/>
              <w:rPr>
                <w:sz w:val="20"/>
                <w:szCs w:val="20"/>
                <w:color w:val="auto"/>
              </w:rPr>
            </w:pPr>
            <w:r>
              <w:rPr>
                <w:rFonts w:ascii="Arial" w:cs="Arial" w:eastAsia="Arial" w:hAnsi="Arial"/>
                <w:sz w:val="18"/>
                <w:szCs w:val="18"/>
                <w:color w:val="auto"/>
              </w:rPr>
              <w:t>Japan</w:t>
            </w:r>
          </w:p>
        </w:tc>
        <w:tc>
          <w:tcPr>
            <w:tcW w:w="1000" w:type="dxa"/>
            <w:vAlign w:val="bottom"/>
          </w:tcPr>
          <w:p>
            <w:pPr>
              <w:spacing w:after="0"/>
              <w:rPr>
                <w:sz w:val="20"/>
                <w:szCs w:val="20"/>
                <w:color w:val="auto"/>
              </w:rPr>
            </w:pPr>
            <w:r>
              <w:rPr>
                <w:rFonts w:ascii="Arial" w:cs="Arial" w:eastAsia="Arial" w:hAnsi="Arial"/>
                <w:sz w:val="18"/>
                <w:szCs w:val="18"/>
                <w:color w:val="auto"/>
              </w:rPr>
              <w:t>CID000004</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Advanced Chemical Company</w:t>
            </w:r>
          </w:p>
        </w:tc>
        <w:tc>
          <w:tcPr>
            <w:tcW w:w="2440" w:type="dxa"/>
            <w:vAlign w:val="bottom"/>
            <w:gridSpan w:val="3"/>
          </w:tcPr>
          <w:p>
            <w:pPr>
              <w:ind w:left="120"/>
              <w:spacing w:after="0"/>
              <w:rPr>
                <w:sz w:val="20"/>
                <w:szCs w:val="20"/>
                <w:color w:val="auto"/>
              </w:rPr>
            </w:pPr>
            <w:r>
              <w:rPr>
                <w:rFonts w:ascii="Arial" w:cs="Arial" w:eastAsia="Arial" w:hAnsi="Arial"/>
                <w:sz w:val="18"/>
                <w:szCs w:val="18"/>
                <w:color w:val="auto"/>
              </w:rPr>
              <w:t>United States Of America</w:t>
            </w:r>
          </w:p>
        </w:tc>
        <w:tc>
          <w:tcPr>
            <w:tcW w:w="1000" w:type="dxa"/>
            <w:vAlign w:val="bottom"/>
          </w:tcPr>
          <w:p>
            <w:pPr>
              <w:spacing w:after="0"/>
              <w:rPr>
                <w:sz w:val="20"/>
                <w:szCs w:val="20"/>
                <w:color w:val="auto"/>
              </w:rPr>
            </w:pPr>
            <w:r>
              <w:rPr>
                <w:rFonts w:ascii="Arial" w:cs="Arial" w:eastAsia="Arial" w:hAnsi="Arial"/>
                <w:sz w:val="18"/>
                <w:szCs w:val="18"/>
                <w:color w:val="auto"/>
              </w:rPr>
              <w:t>CID000015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Aida Chemical Industries Co., Ltd.</w:t>
            </w:r>
          </w:p>
        </w:tc>
        <w:tc>
          <w:tcPr>
            <w:tcW w:w="2440" w:type="dxa"/>
            <w:vAlign w:val="bottom"/>
            <w:gridSpan w:val="3"/>
          </w:tcPr>
          <w:p>
            <w:pPr>
              <w:ind w:left="120"/>
              <w:spacing w:after="0"/>
              <w:rPr>
                <w:sz w:val="20"/>
                <w:szCs w:val="20"/>
                <w:color w:val="auto"/>
              </w:rPr>
            </w:pPr>
            <w:r>
              <w:rPr>
                <w:rFonts w:ascii="Arial" w:cs="Arial" w:eastAsia="Arial" w:hAnsi="Arial"/>
                <w:sz w:val="18"/>
                <w:szCs w:val="18"/>
                <w:color w:val="auto"/>
              </w:rPr>
              <w:t>Japan</w:t>
            </w:r>
          </w:p>
        </w:tc>
        <w:tc>
          <w:tcPr>
            <w:tcW w:w="1000" w:type="dxa"/>
            <w:vAlign w:val="bottom"/>
          </w:tcPr>
          <w:p>
            <w:pPr>
              <w:spacing w:after="0"/>
              <w:rPr>
                <w:sz w:val="20"/>
                <w:szCs w:val="20"/>
                <w:color w:val="auto"/>
              </w:rPr>
            </w:pPr>
            <w:r>
              <w:rPr>
                <w:rFonts w:ascii="Arial" w:cs="Arial" w:eastAsia="Arial" w:hAnsi="Arial"/>
                <w:sz w:val="18"/>
                <w:szCs w:val="18"/>
                <w:color w:val="auto"/>
              </w:rPr>
              <w:t>CID000019</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Agosi AG</w:t>
            </w:r>
          </w:p>
        </w:tc>
        <w:tc>
          <w:tcPr>
            <w:tcW w:w="2440" w:type="dxa"/>
            <w:vAlign w:val="bottom"/>
            <w:gridSpan w:val="3"/>
          </w:tcPr>
          <w:p>
            <w:pPr>
              <w:ind w:left="120"/>
              <w:spacing w:after="0"/>
              <w:rPr>
                <w:sz w:val="20"/>
                <w:szCs w:val="20"/>
                <w:color w:val="auto"/>
              </w:rPr>
            </w:pPr>
            <w:r>
              <w:rPr>
                <w:rFonts w:ascii="Arial" w:cs="Arial" w:eastAsia="Arial" w:hAnsi="Arial"/>
                <w:sz w:val="18"/>
                <w:szCs w:val="18"/>
                <w:color w:val="auto"/>
              </w:rPr>
              <w:t>Germany</w:t>
            </w:r>
          </w:p>
        </w:tc>
        <w:tc>
          <w:tcPr>
            <w:tcW w:w="1000" w:type="dxa"/>
            <w:vAlign w:val="bottom"/>
          </w:tcPr>
          <w:p>
            <w:pPr>
              <w:spacing w:after="0"/>
              <w:rPr>
                <w:sz w:val="20"/>
                <w:szCs w:val="20"/>
                <w:color w:val="auto"/>
              </w:rPr>
            </w:pPr>
            <w:r>
              <w:rPr>
                <w:rFonts w:ascii="Arial" w:cs="Arial" w:eastAsia="Arial" w:hAnsi="Arial"/>
                <w:sz w:val="18"/>
                <w:szCs w:val="18"/>
                <w:color w:val="auto"/>
              </w:rPr>
              <w:t>CID000035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Almalyk Mining and Metallurgical Complex (AMMC)</w:t>
            </w:r>
          </w:p>
        </w:tc>
        <w:tc>
          <w:tcPr>
            <w:tcW w:w="2440" w:type="dxa"/>
            <w:vAlign w:val="bottom"/>
            <w:gridSpan w:val="3"/>
          </w:tcPr>
          <w:p>
            <w:pPr>
              <w:ind w:left="120"/>
              <w:spacing w:after="0"/>
              <w:rPr>
                <w:sz w:val="20"/>
                <w:szCs w:val="20"/>
                <w:color w:val="auto"/>
              </w:rPr>
            </w:pPr>
            <w:r>
              <w:rPr>
                <w:rFonts w:ascii="Arial" w:cs="Arial" w:eastAsia="Arial" w:hAnsi="Arial"/>
                <w:sz w:val="18"/>
                <w:szCs w:val="18"/>
                <w:color w:val="auto"/>
              </w:rPr>
              <w:t>Uzbekistan</w:t>
            </w:r>
          </w:p>
        </w:tc>
        <w:tc>
          <w:tcPr>
            <w:tcW w:w="1000" w:type="dxa"/>
            <w:vAlign w:val="bottom"/>
          </w:tcPr>
          <w:p>
            <w:pPr>
              <w:spacing w:after="0"/>
              <w:rPr>
                <w:sz w:val="20"/>
                <w:szCs w:val="20"/>
                <w:color w:val="auto"/>
              </w:rPr>
            </w:pPr>
            <w:r>
              <w:rPr>
                <w:rFonts w:ascii="Arial" w:cs="Arial" w:eastAsia="Arial" w:hAnsi="Arial"/>
                <w:sz w:val="18"/>
                <w:szCs w:val="18"/>
                <w:color w:val="auto"/>
              </w:rPr>
              <w:t>CID000041</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AngloGold Ashanti Corrego do Sitio Mineracao</w:t>
            </w:r>
          </w:p>
        </w:tc>
        <w:tc>
          <w:tcPr>
            <w:tcW w:w="2440" w:type="dxa"/>
            <w:vAlign w:val="bottom"/>
            <w:gridSpan w:val="3"/>
          </w:tcPr>
          <w:p>
            <w:pPr>
              <w:ind w:left="120"/>
              <w:spacing w:after="0"/>
              <w:rPr>
                <w:sz w:val="20"/>
                <w:szCs w:val="20"/>
                <w:color w:val="auto"/>
              </w:rPr>
            </w:pPr>
            <w:r>
              <w:rPr>
                <w:rFonts w:ascii="Arial" w:cs="Arial" w:eastAsia="Arial" w:hAnsi="Arial"/>
                <w:sz w:val="18"/>
                <w:szCs w:val="18"/>
                <w:color w:val="auto"/>
              </w:rPr>
              <w:t>Brazil</w:t>
            </w:r>
          </w:p>
        </w:tc>
        <w:tc>
          <w:tcPr>
            <w:tcW w:w="1000" w:type="dxa"/>
            <w:vAlign w:val="bottom"/>
          </w:tcPr>
          <w:p>
            <w:pPr>
              <w:spacing w:after="0"/>
              <w:rPr>
                <w:sz w:val="20"/>
                <w:szCs w:val="20"/>
                <w:color w:val="auto"/>
              </w:rPr>
            </w:pPr>
            <w:r>
              <w:rPr>
                <w:rFonts w:ascii="Arial" w:cs="Arial" w:eastAsia="Arial" w:hAnsi="Arial"/>
                <w:sz w:val="18"/>
                <w:szCs w:val="18"/>
                <w:color w:val="auto"/>
              </w:rPr>
              <w:t>CID000058</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bl>
    <w:p>
      <w:pPr>
        <w:sectPr>
          <w:pgSz w:w="11900" w:h="16838" w:orient="portrait"/>
          <w:cols w:equalWidth="0" w:num="1">
            <w:col w:w="11020"/>
          </w:cols>
          <w:pgMar w:left="440" w:top="269" w:right="4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80"/>
              <w:spacing w:after="0"/>
              <w:rPr>
                <w:sz w:val="20"/>
                <w:szCs w:val="20"/>
                <w:color w:val="auto"/>
              </w:rPr>
            </w:pPr>
            <w:r>
              <w:rPr>
                <w:rFonts w:ascii="Arial" w:cs="Arial" w:eastAsia="Arial" w:hAnsi="Arial"/>
                <w:sz w:val="18"/>
                <w:szCs w:val="18"/>
                <w:color w:val="auto"/>
              </w:rPr>
              <w:t>Argor-Heraeus S.A.</w:t>
            </w:r>
          </w:p>
        </w:tc>
        <w:tc>
          <w:tcPr>
            <w:tcW w:w="2440" w:type="dxa"/>
            <w:vAlign w:val="bottom"/>
          </w:tcPr>
          <w:p>
            <w:pPr>
              <w:ind w:left="240"/>
              <w:spacing w:after="0"/>
              <w:rPr>
                <w:sz w:val="20"/>
                <w:szCs w:val="20"/>
                <w:color w:val="auto"/>
              </w:rPr>
            </w:pPr>
            <w:r>
              <w:rPr>
                <w:rFonts w:ascii="Arial" w:cs="Arial" w:eastAsia="Arial" w:hAnsi="Arial"/>
                <w:sz w:val="18"/>
                <w:szCs w:val="18"/>
                <w:color w:val="auto"/>
              </w:rPr>
              <w:t>Switzerland</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CID000077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80"/>
              <w:spacing w:after="0"/>
              <w:rPr>
                <w:sz w:val="20"/>
                <w:szCs w:val="20"/>
                <w:color w:val="auto"/>
              </w:rPr>
            </w:pPr>
            <w:r>
              <w:rPr>
                <w:rFonts w:ascii="Arial" w:cs="Arial" w:eastAsia="Arial" w:hAnsi="Arial"/>
                <w:sz w:val="18"/>
                <w:szCs w:val="18"/>
                <w:color w:val="auto"/>
              </w:rPr>
              <w:t>Asahi Pretec Corp.</w:t>
            </w:r>
          </w:p>
        </w:tc>
        <w:tc>
          <w:tcPr>
            <w:tcW w:w="2440" w:type="dxa"/>
            <w:vAlign w:val="bottom"/>
          </w:tcPr>
          <w:p>
            <w:pPr>
              <w:ind w:left="240"/>
              <w:spacing w:after="0"/>
              <w:rPr>
                <w:sz w:val="20"/>
                <w:szCs w:val="20"/>
                <w:color w:val="auto"/>
              </w:rPr>
            </w:pPr>
            <w:r>
              <w:rPr>
                <w:rFonts w:ascii="Arial" w:cs="Arial" w:eastAsia="Arial" w:hAnsi="Arial"/>
                <w:sz w:val="18"/>
                <w:szCs w:val="18"/>
                <w:color w:val="auto"/>
              </w:rPr>
              <w:t>Japan</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CID000082</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80"/>
              <w:spacing w:after="0"/>
              <w:rPr>
                <w:sz w:val="20"/>
                <w:szCs w:val="20"/>
                <w:color w:val="auto"/>
              </w:rPr>
            </w:pPr>
            <w:r>
              <w:rPr>
                <w:rFonts w:ascii="Arial" w:cs="Arial" w:eastAsia="Arial" w:hAnsi="Arial"/>
                <w:sz w:val="18"/>
                <w:szCs w:val="18"/>
                <w:color w:val="auto"/>
              </w:rPr>
              <w:t>Asaka Riken Co., Ltd.</w:t>
            </w:r>
          </w:p>
        </w:tc>
        <w:tc>
          <w:tcPr>
            <w:tcW w:w="2440" w:type="dxa"/>
            <w:vAlign w:val="bottom"/>
          </w:tcPr>
          <w:p>
            <w:pPr>
              <w:ind w:left="240"/>
              <w:spacing w:after="0"/>
              <w:rPr>
                <w:sz w:val="20"/>
                <w:szCs w:val="20"/>
                <w:color w:val="auto"/>
              </w:rPr>
            </w:pPr>
            <w:r>
              <w:rPr>
                <w:rFonts w:ascii="Arial" w:cs="Arial" w:eastAsia="Arial" w:hAnsi="Arial"/>
                <w:sz w:val="18"/>
                <w:szCs w:val="18"/>
                <w:color w:val="auto"/>
              </w:rPr>
              <w:t>Japan</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CID000090</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460" w:type="dxa"/>
            <w:vAlign w:val="bottom"/>
          </w:tcPr>
          <w:p>
            <w:pPr>
              <w:ind w:left="80"/>
              <w:spacing w:after="0"/>
              <w:rPr>
                <w:sz w:val="20"/>
                <w:szCs w:val="20"/>
                <w:color w:val="auto"/>
              </w:rPr>
            </w:pPr>
            <w:r>
              <w:rPr>
                <w:rFonts w:ascii="Arial" w:cs="Arial" w:eastAsia="Arial" w:hAnsi="Arial"/>
                <w:sz w:val="18"/>
                <w:szCs w:val="18"/>
                <w:color w:val="auto"/>
              </w:rPr>
              <w:t>Kennametal Huntsville</w:t>
            </w:r>
          </w:p>
        </w:tc>
        <w:tc>
          <w:tcPr>
            <w:tcW w:w="2440" w:type="dxa"/>
            <w:vAlign w:val="bottom"/>
          </w:tcPr>
          <w:p>
            <w:pPr>
              <w:ind w:left="240"/>
              <w:spacing w:after="0"/>
              <w:rPr>
                <w:sz w:val="20"/>
                <w:szCs w:val="20"/>
                <w:color w:val="auto"/>
              </w:rPr>
            </w:pPr>
            <w:r>
              <w:rPr>
                <w:rFonts w:ascii="Arial" w:cs="Arial" w:eastAsia="Arial" w:hAnsi="Arial"/>
                <w:sz w:val="18"/>
                <w:szCs w:val="18"/>
                <w:color w:val="auto"/>
              </w:rPr>
              <w:t>United States Of America</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CID000105</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80"/>
              <w:spacing w:after="0"/>
              <w:rPr>
                <w:sz w:val="20"/>
                <w:szCs w:val="20"/>
                <w:color w:val="auto"/>
              </w:rPr>
            </w:pPr>
            <w:r>
              <w:rPr>
                <w:rFonts w:ascii="Arial" w:cs="Arial" w:eastAsia="Arial" w:hAnsi="Arial"/>
                <w:sz w:val="18"/>
                <w:szCs w:val="18"/>
                <w:color w:val="auto"/>
              </w:rPr>
              <w:t>Aurubis AG</w:t>
            </w:r>
          </w:p>
        </w:tc>
        <w:tc>
          <w:tcPr>
            <w:tcW w:w="2440" w:type="dxa"/>
            <w:vAlign w:val="bottom"/>
          </w:tcPr>
          <w:p>
            <w:pPr>
              <w:ind w:left="240"/>
              <w:spacing w:after="0"/>
              <w:rPr>
                <w:sz w:val="20"/>
                <w:szCs w:val="20"/>
                <w:color w:val="auto"/>
              </w:rPr>
            </w:pPr>
            <w:r>
              <w:rPr>
                <w:rFonts w:ascii="Arial" w:cs="Arial" w:eastAsia="Arial" w:hAnsi="Arial"/>
                <w:sz w:val="18"/>
                <w:szCs w:val="18"/>
                <w:color w:val="auto"/>
              </w:rPr>
              <w:t>Germany</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CID000113</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288"/>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80"/>
              <w:spacing w:after="0"/>
              <w:rPr>
                <w:sz w:val="20"/>
                <w:szCs w:val="20"/>
                <w:color w:val="auto"/>
              </w:rPr>
            </w:pPr>
            <w:r>
              <w:rPr>
                <w:rFonts w:ascii="Arial" w:cs="Arial" w:eastAsia="Arial" w:hAnsi="Arial"/>
                <w:sz w:val="18"/>
                <w:szCs w:val="18"/>
                <w:color w:val="auto"/>
              </w:rPr>
              <w:t>Bangko Sentral ng Pilipinas (Central Bank of the</w:t>
            </w:r>
          </w:p>
        </w:tc>
        <w:tc>
          <w:tcPr>
            <w:tcW w:w="2440" w:type="dxa"/>
            <w:vAlign w:val="bottom"/>
          </w:tcPr>
          <w:p>
            <w:pPr>
              <w:ind w:left="240"/>
              <w:spacing w:after="0"/>
              <w:rPr>
                <w:sz w:val="20"/>
                <w:szCs w:val="20"/>
                <w:color w:val="auto"/>
              </w:rPr>
            </w:pPr>
            <w:r>
              <w:rPr>
                <w:rFonts w:ascii="Arial" w:cs="Arial" w:eastAsia="Arial" w:hAnsi="Arial"/>
                <w:sz w:val="18"/>
                <w:szCs w:val="18"/>
                <w:color w:val="auto"/>
              </w:rPr>
              <w:t>Philippines</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CID000128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239"/>
        </w:trPr>
        <w:tc>
          <w:tcPr>
            <w:tcW w:w="800" w:type="dxa"/>
            <w:vAlign w:val="bottom"/>
          </w:tcPr>
          <w:p>
            <w:pPr>
              <w:spacing w:after="0"/>
              <w:rPr>
                <w:sz w:val="20"/>
                <w:szCs w:val="20"/>
                <w:color w:val="auto"/>
              </w:rPr>
            </w:pPr>
          </w:p>
        </w:tc>
        <w:tc>
          <w:tcPr>
            <w:tcW w:w="4460" w:type="dxa"/>
            <w:vAlign w:val="bottom"/>
          </w:tcPr>
          <w:p>
            <w:pPr>
              <w:ind w:left="80"/>
              <w:spacing w:after="0"/>
              <w:rPr>
                <w:sz w:val="20"/>
                <w:szCs w:val="20"/>
                <w:color w:val="auto"/>
              </w:rPr>
            </w:pPr>
            <w:r>
              <w:rPr>
                <w:rFonts w:ascii="Arial" w:cs="Arial" w:eastAsia="Arial" w:hAnsi="Arial"/>
                <w:sz w:val="18"/>
                <w:szCs w:val="18"/>
                <w:color w:val="auto"/>
              </w:rPr>
              <w:t>Philippines)</w:t>
            </w:r>
          </w:p>
        </w:tc>
        <w:tc>
          <w:tcPr>
            <w:tcW w:w="2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80"/>
              <w:spacing w:after="0"/>
              <w:rPr>
                <w:sz w:val="20"/>
                <w:szCs w:val="20"/>
                <w:color w:val="auto"/>
              </w:rPr>
            </w:pPr>
            <w:r>
              <w:rPr>
                <w:rFonts w:ascii="Arial" w:cs="Arial" w:eastAsia="Arial" w:hAnsi="Arial"/>
                <w:sz w:val="18"/>
                <w:szCs w:val="18"/>
                <w:color w:val="auto"/>
              </w:rPr>
              <w:t>Boliden Ronnskar</w:t>
            </w:r>
          </w:p>
        </w:tc>
        <w:tc>
          <w:tcPr>
            <w:tcW w:w="2440" w:type="dxa"/>
            <w:vAlign w:val="bottom"/>
          </w:tcPr>
          <w:p>
            <w:pPr>
              <w:ind w:left="240"/>
              <w:spacing w:after="0"/>
              <w:rPr>
                <w:sz w:val="20"/>
                <w:szCs w:val="20"/>
                <w:color w:val="auto"/>
              </w:rPr>
            </w:pPr>
            <w:r>
              <w:rPr>
                <w:rFonts w:ascii="Arial" w:cs="Arial" w:eastAsia="Arial" w:hAnsi="Arial"/>
                <w:sz w:val="18"/>
                <w:szCs w:val="18"/>
                <w:color w:val="auto"/>
              </w:rPr>
              <w:t>Sweden</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CID000157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80"/>
              <w:spacing w:after="0"/>
              <w:rPr>
                <w:sz w:val="20"/>
                <w:szCs w:val="20"/>
                <w:color w:val="auto"/>
              </w:rPr>
            </w:pPr>
            <w:r>
              <w:rPr>
                <w:rFonts w:ascii="Arial" w:cs="Arial" w:eastAsia="Arial" w:hAnsi="Arial"/>
                <w:sz w:val="18"/>
                <w:szCs w:val="18"/>
                <w:color w:val="auto"/>
              </w:rPr>
              <w:t>C. Hafner GmbH + Co. KG</w:t>
            </w:r>
          </w:p>
        </w:tc>
        <w:tc>
          <w:tcPr>
            <w:tcW w:w="2440" w:type="dxa"/>
            <w:vAlign w:val="bottom"/>
          </w:tcPr>
          <w:p>
            <w:pPr>
              <w:ind w:left="240"/>
              <w:spacing w:after="0"/>
              <w:rPr>
                <w:sz w:val="20"/>
                <w:szCs w:val="20"/>
                <w:color w:val="auto"/>
              </w:rPr>
            </w:pPr>
            <w:r>
              <w:rPr>
                <w:rFonts w:ascii="Arial" w:cs="Arial" w:eastAsia="Arial" w:hAnsi="Arial"/>
                <w:sz w:val="18"/>
                <w:szCs w:val="18"/>
                <w:color w:val="auto"/>
              </w:rPr>
              <w:t>Germany</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CID000176</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80"/>
              <w:spacing w:after="0"/>
              <w:rPr>
                <w:sz w:val="20"/>
                <w:szCs w:val="20"/>
                <w:color w:val="auto"/>
              </w:rPr>
            </w:pPr>
            <w:r>
              <w:rPr>
                <w:rFonts w:ascii="Arial" w:cs="Arial" w:eastAsia="Arial" w:hAnsi="Arial"/>
                <w:sz w:val="18"/>
                <w:szCs w:val="18"/>
                <w:color w:val="auto"/>
              </w:rPr>
              <w:t>CCR Refinery - Glencore Canada Corporation</w:t>
            </w:r>
          </w:p>
        </w:tc>
        <w:tc>
          <w:tcPr>
            <w:tcW w:w="2440" w:type="dxa"/>
            <w:vAlign w:val="bottom"/>
          </w:tcPr>
          <w:p>
            <w:pPr>
              <w:ind w:left="240"/>
              <w:spacing w:after="0"/>
              <w:rPr>
                <w:sz w:val="20"/>
                <w:szCs w:val="20"/>
                <w:color w:val="auto"/>
              </w:rPr>
            </w:pPr>
            <w:r>
              <w:rPr>
                <w:rFonts w:ascii="Arial" w:cs="Arial" w:eastAsia="Arial" w:hAnsi="Arial"/>
                <w:sz w:val="18"/>
                <w:szCs w:val="18"/>
                <w:color w:val="auto"/>
              </w:rPr>
              <w:t>Canada</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CID000185</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460" w:type="dxa"/>
            <w:vAlign w:val="bottom"/>
          </w:tcPr>
          <w:p>
            <w:pPr>
              <w:ind w:left="80"/>
              <w:spacing w:after="0"/>
              <w:rPr>
                <w:sz w:val="20"/>
                <w:szCs w:val="20"/>
                <w:color w:val="auto"/>
              </w:rPr>
            </w:pPr>
            <w:r>
              <w:rPr>
                <w:rFonts w:ascii="Arial" w:cs="Arial" w:eastAsia="Arial" w:hAnsi="Arial"/>
                <w:sz w:val="18"/>
                <w:szCs w:val="18"/>
                <w:color w:val="auto"/>
              </w:rPr>
              <w:t>Guangdong Xianglu Tungsten Co., Ltd.</w:t>
            </w:r>
          </w:p>
        </w:tc>
        <w:tc>
          <w:tcPr>
            <w:tcW w:w="2440" w:type="dxa"/>
            <w:vAlign w:val="bottom"/>
          </w:tcPr>
          <w:p>
            <w:pPr>
              <w:ind w:left="240"/>
              <w:spacing w:after="0"/>
              <w:rPr>
                <w:sz w:val="20"/>
                <w:szCs w:val="20"/>
                <w:color w:val="auto"/>
              </w:rPr>
            </w:pPr>
            <w:r>
              <w:rPr>
                <w:rFonts w:ascii="Arial" w:cs="Arial" w:eastAsia="Arial" w:hAnsi="Arial"/>
                <w:sz w:val="18"/>
                <w:szCs w:val="18"/>
                <w:color w:val="auto"/>
              </w:rPr>
              <w:t>China</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CID000218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460" w:type="dxa"/>
            <w:vAlign w:val="bottom"/>
          </w:tcPr>
          <w:p>
            <w:pPr>
              <w:ind w:left="80"/>
              <w:spacing w:after="0"/>
              <w:rPr>
                <w:sz w:val="20"/>
                <w:szCs w:val="20"/>
                <w:color w:val="auto"/>
              </w:rPr>
            </w:pPr>
            <w:r>
              <w:rPr>
                <w:rFonts w:ascii="Arial" w:cs="Arial" w:eastAsia="Arial" w:hAnsi="Arial"/>
                <w:sz w:val="18"/>
                <w:szCs w:val="18"/>
                <w:color w:val="auto"/>
              </w:rPr>
              <w:t>Chenzhou Yunxiang Mining and Metallurgy Co., Ltd.</w:t>
            </w:r>
          </w:p>
        </w:tc>
        <w:tc>
          <w:tcPr>
            <w:tcW w:w="2440" w:type="dxa"/>
            <w:vAlign w:val="bottom"/>
          </w:tcPr>
          <w:p>
            <w:pPr>
              <w:ind w:left="240"/>
              <w:spacing w:after="0"/>
              <w:rPr>
                <w:sz w:val="20"/>
                <w:szCs w:val="20"/>
                <w:color w:val="auto"/>
              </w:rPr>
            </w:pPr>
            <w:r>
              <w:rPr>
                <w:rFonts w:ascii="Arial" w:cs="Arial" w:eastAsia="Arial" w:hAnsi="Arial"/>
                <w:sz w:val="18"/>
                <w:szCs w:val="18"/>
                <w:color w:val="auto"/>
              </w:rPr>
              <w:t>China</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CID000228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80"/>
              <w:spacing w:after="0"/>
              <w:rPr>
                <w:sz w:val="20"/>
                <w:szCs w:val="20"/>
                <w:color w:val="auto"/>
              </w:rPr>
            </w:pPr>
            <w:r>
              <w:rPr>
                <w:rFonts w:ascii="Arial" w:cs="Arial" w:eastAsia="Arial" w:hAnsi="Arial"/>
                <w:sz w:val="18"/>
                <w:szCs w:val="18"/>
                <w:color w:val="auto"/>
              </w:rPr>
              <w:t>Chimet S.p.A.</w:t>
            </w:r>
          </w:p>
        </w:tc>
        <w:tc>
          <w:tcPr>
            <w:tcW w:w="2440" w:type="dxa"/>
            <w:vAlign w:val="bottom"/>
          </w:tcPr>
          <w:p>
            <w:pPr>
              <w:ind w:left="240"/>
              <w:spacing w:after="0"/>
              <w:rPr>
                <w:sz w:val="20"/>
                <w:szCs w:val="20"/>
                <w:color w:val="auto"/>
              </w:rPr>
            </w:pPr>
            <w:r>
              <w:rPr>
                <w:rFonts w:ascii="Arial" w:cs="Arial" w:eastAsia="Arial" w:hAnsi="Arial"/>
                <w:sz w:val="18"/>
                <w:szCs w:val="18"/>
                <w:color w:val="auto"/>
              </w:rPr>
              <w:t>Italy</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CID000233</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460" w:type="dxa"/>
            <w:vAlign w:val="bottom"/>
          </w:tcPr>
          <w:p>
            <w:pPr>
              <w:ind w:left="80"/>
              <w:spacing w:after="0"/>
              <w:rPr>
                <w:sz w:val="20"/>
                <w:szCs w:val="20"/>
                <w:color w:val="auto"/>
              </w:rPr>
            </w:pPr>
            <w:r>
              <w:rPr>
                <w:rFonts w:ascii="Arial" w:cs="Arial" w:eastAsia="Arial" w:hAnsi="Arial"/>
                <w:sz w:val="18"/>
                <w:szCs w:val="18"/>
                <w:color w:val="auto"/>
              </w:rPr>
              <w:t>Chongyi Zhangyuan Tungsten Co., Ltd.</w:t>
            </w:r>
          </w:p>
        </w:tc>
        <w:tc>
          <w:tcPr>
            <w:tcW w:w="2440" w:type="dxa"/>
            <w:vAlign w:val="bottom"/>
          </w:tcPr>
          <w:p>
            <w:pPr>
              <w:ind w:left="240"/>
              <w:spacing w:after="0"/>
              <w:rPr>
                <w:sz w:val="20"/>
                <w:szCs w:val="20"/>
                <w:color w:val="auto"/>
              </w:rPr>
            </w:pPr>
            <w:r>
              <w:rPr>
                <w:rFonts w:ascii="Arial" w:cs="Arial" w:eastAsia="Arial" w:hAnsi="Arial"/>
                <w:sz w:val="18"/>
                <w:szCs w:val="18"/>
                <w:color w:val="auto"/>
              </w:rPr>
              <w:t>China</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CID000258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80"/>
              <w:spacing w:after="0"/>
              <w:rPr>
                <w:sz w:val="20"/>
                <w:szCs w:val="20"/>
                <w:color w:val="auto"/>
              </w:rPr>
            </w:pPr>
            <w:r>
              <w:rPr>
                <w:rFonts w:ascii="Arial" w:cs="Arial" w:eastAsia="Arial" w:hAnsi="Arial"/>
                <w:sz w:val="18"/>
                <w:szCs w:val="18"/>
                <w:color w:val="auto"/>
              </w:rPr>
              <w:t>Chugai Mining</w:t>
            </w:r>
          </w:p>
        </w:tc>
        <w:tc>
          <w:tcPr>
            <w:tcW w:w="2440" w:type="dxa"/>
            <w:vAlign w:val="bottom"/>
          </w:tcPr>
          <w:p>
            <w:pPr>
              <w:ind w:left="240"/>
              <w:spacing w:after="0"/>
              <w:rPr>
                <w:sz w:val="20"/>
                <w:szCs w:val="20"/>
                <w:color w:val="auto"/>
              </w:rPr>
            </w:pPr>
            <w:r>
              <w:rPr>
                <w:rFonts w:ascii="Arial" w:cs="Arial" w:eastAsia="Arial" w:hAnsi="Arial"/>
                <w:sz w:val="18"/>
                <w:szCs w:val="18"/>
                <w:color w:val="auto"/>
              </w:rPr>
              <w:t>Japan</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CID000264</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80"/>
              <w:spacing w:after="0"/>
              <w:rPr>
                <w:sz w:val="20"/>
                <w:szCs w:val="20"/>
                <w:color w:val="auto"/>
              </w:rPr>
            </w:pPr>
            <w:r>
              <w:rPr>
                <w:rFonts w:ascii="Arial" w:cs="Arial" w:eastAsia="Arial" w:hAnsi="Arial"/>
                <w:sz w:val="18"/>
                <w:szCs w:val="18"/>
                <w:color w:val="auto"/>
              </w:rPr>
              <w:t>Guangdong Rising Rare Metals-EO Materials Ltd.</w:t>
            </w:r>
          </w:p>
        </w:tc>
        <w:tc>
          <w:tcPr>
            <w:tcW w:w="2440" w:type="dxa"/>
            <w:vAlign w:val="bottom"/>
          </w:tcPr>
          <w:p>
            <w:pPr>
              <w:ind w:left="240"/>
              <w:spacing w:after="0"/>
              <w:rPr>
                <w:sz w:val="20"/>
                <w:szCs w:val="20"/>
                <w:color w:val="auto"/>
              </w:rPr>
            </w:pPr>
            <w:r>
              <w:rPr>
                <w:rFonts w:ascii="Arial" w:cs="Arial" w:eastAsia="Arial" w:hAnsi="Arial"/>
                <w:sz w:val="18"/>
                <w:szCs w:val="18"/>
                <w:color w:val="auto"/>
              </w:rPr>
              <w:t>China</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CID000291</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460" w:type="dxa"/>
            <w:vAlign w:val="bottom"/>
          </w:tcPr>
          <w:p>
            <w:pPr>
              <w:ind w:left="80"/>
              <w:spacing w:after="0"/>
              <w:rPr>
                <w:sz w:val="20"/>
                <w:szCs w:val="20"/>
                <w:color w:val="auto"/>
              </w:rPr>
            </w:pPr>
            <w:r>
              <w:rPr>
                <w:rFonts w:ascii="Arial" w:cs="Arial" w:eastAsia="Arial" w:hAnsi="Arial"/>
                <w:sz w:val="18"/>
                <w:szCs w:val="18"/>
                <w:color w:val="auto"/>
              </w:rPr>
              <w:t>Alpha Assembly Solutions Inc</w:t>
            </w:r>
          </w:p>
        </w:tc>
        <w:tc>
          <w:tcPr>
            <w:tcW w:w="2440" w:type="dxa"/>
            <w:vAlign w:val="bottom"/>
          </w:tcPr>
          <w:p>
            <w:pPr>
              <w:ind w:left="240"/>
              <w:spacing w:after="0"/>
              <w:rPr>
                <w:sz w:val="20"/>
                <w:szCs w:val="20"/>
                <w:color w:val="auto"/>
              </w:rPr>
            </w:pPr>
            <w:r>
              <w:rPr>
                <w:rFonts w:ascii="Arial" w:cs="Arial" w:eastAsia="Arial" w:hAnsi="Arial"/>
                <w:sz w:val="18"/>
                <w:szCs w:val="18"/>
                <w:color w:val="auto"/>
              </w:rPr>
              <w:t>United States Of America</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CID000292</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460" w:type="dxa"/>
            <w:vAlign w:val="bottom"/>
          </w:tcPr>
          <w:p>
            <w:pPr>
              <w:ind w:left="80"/>
              <w:spacing w:after="0"/>
              <w:rPr>
                <w:sz w:val="20"/>
                <w:szCs w:val="20"/>
                <w:color w:val="auto"/>
              </w:rPr>
            </w:pPr>
            <w:r>
              <w:rPr>
                <w:rFonts w:ascii="Arial" w:cs="Arial" w:eastAsia="Arial" w:hAnsi="Arial"/>
                <w:sz w:val="18"/>
                <w:szCs w:val="18"/>
                <w:color w:val="auto"/>
              </w:rPr>
              <w:t>PT Premium Tin Indonesia</w:t>
            </w:r>
          </w:p>
        </w:tc>
        <w:tc>
          <w:tcPr>
            <w:tcW w:w="2440" w:type="dxa"/>
            <w:vAlign w:val="bottom"/>
          </w:tcPr>
          <w:p>
            <w:pPr>
              <w:ind w:left="240"/>
              <w:spacing w:after="0"/>
              <w:rPr>
                <w:sz w:val="20"/>
                <w:szCs w:val="20"/>
                <w:color w:val="auto"/>
              </w:rPr>
            </w:pPr>
            <w:r>
              <w:rPr>
                <w:rFonts w:ascii="Arial" w:cs="Arial" w:eastAsia="Arial" w:hAnsi="Arial"/>
                <w:sz w:val="18"/>
                <w:szCs w:val="18"/>
                <w:color w:val="auto"/>
              </w:rPr>
              <w:t>Indonesia</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CID000313</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80"/>
              <w:spacing w:after="0"/>
              <w:rPr>
                <w:sz w:val="20"/>
                <w:szCs w:val="20"/>
                <w:color w:val="auto"/>
              </w:rPr>
            </w:pPr>
            <w:r>
              <w:rPr>
                <w:rFonts w:ascii="Arial" w:cs="Arial" w:eastAsia="Arial" w:hAnsi="Arial"/>
                <w:sz w:val="18"/>
                <w:szCs w:val="18"/>
                <w:color w:val="auto"/>
              </w:rPr>
              <w:t>DSC (Do Sung Corporation)</w:t>
            </w:r>
          </w:p>
        </w:tc>
        <w:tc>
          <w:tcPr>
            <w:tcW w:w="2440" w:type="dxa"/>
            <w:vAlign w:val="bottom"/>
          </w:tcPr>
          <w:p>
            <w:pPr>
              <w:ind w:left="240"/>
              <w:spacing w:after="0"/>
              <w:rPr>
                <w:sz w:val="20"/>
                <w:szCs w:val="20"/>
                <w:color w:val="auto"/>
              </w:rPr>
            </w:pPr>
            <w:r>
              <w:rPr>
                <w:rFonts w:ascii="Arial" w:cs="Arial" w:eastAsia="Arial" w:hAnsi="Arial"/>
                <w:sz w:val="18"/>
                <w:szCs w:val="18"/>
                <w:color w:val="auto"/>
              </w:rPr>
              <w:t>Korea, Republic Of</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CID000359</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80"/>
              <w:spacing w:after="0"/>
              <w:rPr>
                <w:sz w:val="20"/>
                <w:szCs w:val="20"/>
                <w:color w:val="auto"/>
              </w:rPr>
            </w:pPr>
            <w:r>
              <w:rPr>
                <w:rFonts w:ascii="Arial" w:cs="Arial" w:eastAsia="Arial" w:hAnsi="Arial"/>
                <w:sz w:val="18"/>
                <w:szCs w:val="18"/>
                <w:color w:val="auto"/>
              </w:rPr>
              <w:t>Dowa</w:t>
            </w:r>
          </w:p>
        </w:tc>
        <w:tc>
          <w:tcPr>
            <w:tcW w:w="2440" w:type="dxa"/>
            <w:vAlign w:val="bottom"/>
          </w:tcPr>
          <w:p>
            <w:pPr>
              <w:ind w:left="240"/>
              <w:spacing w:after="0"/>
              <w:rPr>
                <w:sz w:val="20"/>
                <w:szCs w:val="20"/>
                <w:color w:val="auto"/>
              </w:rPr>
            </w:pPr>
            <w:r>
              <w:rPr>
                <w:rFonts w:ascii="Arial" w:cs="Arial" w:eastAsia="Arial" w:hAnsi="Arial"/>
                <w:sz w:val="18"/>
                <w:szCs w:val="18"/>
                <w:color w:val="auto"/>
              </w:rPr>
              <w:t>Japan</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CID000401</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460" w:type="dxa"/>
            <w:vAlign w:val="bottom"/>
          </w:tcPr>
          <w:p>
            <w:pPr>
              <w:ind w:left="80"/>
              <w:spacing w:after="0"/>
              <w:rPr>
                <w:sz w:val="20"/>
                <w:szCs w:val="20"/>
                <w:color w:val="auto"/>
              </w:rPr>
            </w:pPr>
            <w:r>
              <w:rPr>
                <w:rFonts w:ascii="Arial" w:cs="Arial" w:eastAsia="Arial" w:hAnsi="Arial"/>
                <w:sz w:val="18"/>
                <w:szCs w:val="18"/>
                <w:color w:val="auto"/>
              </w:rPr>
              <w:t>Dowa</w:t>
            </w:r>
          </w:p>
        </w:tc>
        <w:tc>
          <w:tcPr>
            <w:tcW w:w="2440" w:type="dxa"/>
            <w:vAlign w:val="bottom"/>
          </w:tcPr>
          <w:p>
            <w:pPr>
              <w:ind w:left="240"/>
              <w:spacing w:after="0"/>
              <w:rPr>
                <w:sz w:val="20"/>
                <w:szCs w:val="20"/>
                <w:color w:val="auto"/>
              </w:rPr>
            </w:pPr>
            <w:r>
              <w:rPr>
                <w:rFonts w:ascii="Arial" w:cs="Arial" w:eastAsia="Arial" w:hAnsi="Arial"/>
                <w:sz w:val="18"/>
                <w:szCs w:val="18"/>
                <w:color w:val="auto"/>
              </w:rPr>
              <w:t>Japan</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CID000402</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80"/>
              <w:spacing w:after="0"/>
              <w:rPr>
                <w:sz w:val="20"/>
                <w:szCs w:val="20"/>
                <w:color w:val="auto"/>
              </w:rPr>
            </w:pPr>
            <w:r>
              <w:rPr>
                <w:rFonts w:ascii="Arial" w:cs="Arial" w:eastAsia="Arial" w:hAnsi="Arial"/>
                <w:sz w:val="18"/>
                <w:szCs w:val="18"/>
                <w:color w:val="auto"/>
              </w:rPr>
              <w:t>Eco-System Recycling Co., Ltd. East Plant</w:t>
            </w:r>
          </w:p>
        </w:tc>
        <w:tc>
          <w:tcPr>
            <w:tcW w:w="2440" w:type="dxa"/>
            <w:vAlign w:val="bottom"/>
          </w:tcPr>
          <w:p>
            <w:pPr>
              <w:ind w:left="240"/>
              <w:spacing w:after="0"/>
              <w:rPr>
                <w:sz w:val="20"/>
                <w:szCs w:val="20"/>
                <w:color w:val="auto"/>
              </w:rPr>
            </w:pPr>
            <w:r>
              <w:rPr>
                <w:rFonts w:ascii="Arial" w:cs="Arial" w:eastAsia="Arial" w:hAnsi="Arial"/>
                <w:sz w:val="18"/>
                <w:szCs w:val="18"/>
                <w:color w:val="auto"/>
              </w:rPr>
              <w:t>Japan</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CID000425</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274"/>
        </w:trPr>
        <w:tc>
          <w:tcPr>
            <w:tcW w:w="80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2440" w:type="dxa"/>
            <w:vAlign w:val="bottom"/>
          </w:tcPr>
          <w:p>
            <w:pPr>
              <w:ind w:left="240"/>
              <w:spacing w:after="0"/>
              <w:rPr>
                <w:sz w:val="20"/>
                <w:szCs w:val="20"/>
                <w:color w:val="auto"/>
              </w:rPr>
            </w:pPr>
            <w:r>
              <w:rPr>
                <w:rFonts w:ascii="Arial" w:cs="Arial" w:eastAsia="Arial" w:hAnsi="Arial"/>
                <w:sz w:val="18"/>
                <w:szCs w:val="18"/>
                <w:color w:val="auto"/>
              </w:rPr>
              <w:t>Bolivia (Plurinational State</w:t>
            </w:r>
          </w:p>
        </w:tc>
        <w:tc>
          <w:tcPr>
            <w:tcW w:w="11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9"/>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460" w:type="dxa"/>
            <w:vAlign w:val="bottom"/>
          </w:tcPr>
          <w:p>
            <w:pPr>
              <w:ind w:left="80"/>
              <w:spacing w:after="0"/>
              <w:rPr>
                <w:sz w:val="20"/>
                <w:szCs w:val="20"/>
                <w:color w:val="auto"/>
              </w:rPr>
            </w:pPr>
            <w:r>
              <w:rPr>
                <w:rFonts w:ascii="Arial" w:cs="Arial" w:eastAsia="Arial" w:hAnsi="Arial"/>
                <w:sz w:val="18"/>
                <w:szCs w:val="18"/>
                <w:color w:val="auto"/>
              </w:rPr>
              <w:t>EM Vinto</w:t>
            </w:r>
          </w:p>
        </w:tc>
        <w:tc>
          <w:tcPr>
            <w:tcW w:w="2440" w:type="dxa"/>
            <w:vAlign w:val="bottom"/>
          </w:tcPr>
          <w:p>
            <w:pPr>
              <w:ind w:left="420"/>
              <w:spacing w:after="0"/>
              <w:rPr>
                <w:sz w:val="20"/>
                <w:szCs w:val="20"/>
                <w:color w:val="auto"/>
              </w:rPr>
            </w:pPr>
            <w:r>
              <w:rPr>
                <w:rFonts w:ascii="Arial" w:cs="Arial" w:eastAsia="Arial" w:hAnsi="Arial"/>
                <w:sz w:val="18"/>
                <w:szCs w:val="18"/>
                <w:color w:val="auto"/>
              </w:rPr>
              <w:t>Of)</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CID000438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460" w:type="dxa"/>
            <w:vAlign w:val="bottom"/>
          </w:tcPr>
          <w:p>
            <w:pPr>
              <w:ind w:left="80"/>
              <w:spacing w:after="0"/>
              <w:rPr>
                <w:sz w:val="20"/>
                <w:szCs w:val="20"/>
                <w:color w:val="auto"/>
              </w:rPr>
            </w:pPr>
            <w:r>
              <w:rPr>
                <w:rFonts w:ascii="Arial" w:cs="Arial" w:eastAsia="Arial" w:hAnsi="Arial"/>
                <w:sz w:val="18"/>
                <w:szCs w:val="18"/>
                <w:color w:val="auto"/>
              </w:rPr>
              <w:t>Estanho de Rondonia S.A.</w:t>
            </w:r>
          </w:p>
        </w:tc>
        <w:tc>
          <w:tcPr>
            <w:tcW w:w="2440" w:type="dxa"/>
            <w:vAlign w:val="bottom"/>
          </w:tcPr>
          <w:p>
            <w:pPr>
              <w:ind w:left="240"/>
              <w:spacing w:after="0"/>
              <w:rPr>
                <w:sz w:val="20"/>
                <w:szCs w:val="20"/>
                <w:color w:val="auto"/>
              </w:rPr>
            </w:pPr>
            <w:r>
              <w:rPr>
                <w:rFonts w:ascii="Arial" w:cs="Arial" w:eastAsia="Arial" w:hAnsi="Arial"/>
                <w:sz w:val="18"/>
                <w:szCs w:val="18"/>
                <w:color w:val="auto"/>
              </w:rPr>
              <w:t>Brazil</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CID000448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80"/>
              <w:spacing w:after="0"/>
              <w:rPr>
                <w:sz w:val="20"/>
                <w:szCs w:val="20"/>
                <w:color w:val="auto"/>
              </w:rPr>
            </w:pPr>
            <w:r>
              <w:rPr>
                <w:rFonts w:ascii="Arial" w:cs="Arial" w:eastAsia="Arial" w:hAnsi="Arial"/>
                <w:sz w:val="18"/>
                <w:szCs w:val="18"/>
                <w:color w:val="auto"/>
              </w:rPr>
              <w:t>F&amp;X Electro-Materials Ltd.</w:t>
            </w:r>
          </w:p>
        </w:tc>
        <w:tc>
          <w:tcPr>
            <w:tcW w:w="2440" w:type="dxa"/>
            <w:vAlign w:val="bottom"/>
          </w:tcPr>
          <w:p>
            <w:pPr>
              <w:ind w:left="240"/>
              <w:spacing w:after="0"/>
              <w:rPr>
                <w:sz w:val="20"/>
                <w:szCs w:val="20"/>
                <w:color w:val="auto"/>
              </w:rPr>
            </w:pPr>
            <w:r>
              <w:rPr>
                <w:rFonts w:ascii="Arial" w:cs="Arial" w:eastAsia="Arial" w:hAnsi="Arial"/>
                <w:sz w:val="18"/>
                <w:szCs w:val="18"/>
                <w:color w:val="auto"/>
              </w:rPr>
              <w:t>China</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CID000460</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460" w:type="dxa"/>
            <w:vAlign w:val="bottom"/>
          </w:tcPr>
          <w:p>
            <w:pPr>
              <w:ind w:left="80"/>
              <w:spacing w:after="0"/>
              <w:rPr>
                <w:sz w:val="20"/>
                <w:szCs w:val="20"/>
                <w:color w:val="auto"/>
              </w:rPr>
            </w:pPr>
            <w:r>
              <w:rPr>
                <w:rFonts w:ascii="Arial" w:cs="Arial" w:eastAsia="Arial" w:hAnsi="Arial"/>
                <w:sz w:val="18"/>
                <w:szCs w:val="18"/>
                <w:color w:val="auto"/>
              </w:rPr>
              <w:t>Fenix Metals</w:t>
            </w:r>
          </w:p>
        </w:tc>
        <w:tc>
          <w:tcPr>
            <w:tcW w:w="2440" w:type="dxa"/>
            <w:vAlign w:val="bottom"/>
          </w:tcPr>
          <w:p>
            <w:pPr>
              <w:ind w:left="240"/>
              <w:spacing w:after="0"/>
              <w:rPr>
                <w:sz w:val="20"/>
                <w:szCs w:val="20"/>
                <w:color w:val="auto"/>
              </w:rPr>
            </w:pPr>
            <w:r>
              <w:rPr>
                <w:rFonts w:ascii="Arial" w:cs="Arial" w:eastAsia="Arial" w:hAnsi="Arial"/>
                <w:sz w:val="18"/>
                <w:szCs w:val="18"/>
                <w:color w:val="auto"/>
              </w:rPr>
              <w:t>Poland</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CID000468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460" w:type="dxa"/>
            <w:vAlign w:val="bottom"/>
          </w:tcPr>
          <w:p>
            <w:pPr>
              <w:ind w:left="80"/>
              <w:spacing w:after="0"/>
              <w:rPr>
                <w:sz w:val="20"/>
                <w:szCs w:val="20"/>
                <w:color w:val="auto"/>
              </w:rPr>
            </w:pPr>
            <w:r>
              <w:rPr>
                <w:rFonts w:ascii="Arial" w:cs="Arial" w:eastAsia="Arial" w:hAnsi="Arial"/>
                <w:sz w:val="18"/>
                <w:szCs w:val="18"/>
                <w:color w:val="auto"/>
              </w:rPr>
              <w:t>Gejiu Non-Ferrous Metal Processing Co., Ltd.</w:t>
            </w:r>
          </w:p>
        </w:tc>
        <w:tc>
          <w:tcPr>
            <w:tcW w:w="2440" w:type="dxa"/>
            <w:vAlign w:val="bottom"/>
          </w:tcPr>
          <w:p>
            <w:pPr>
              <w:ind w:left="240"/>
              <w:spacing w:after="0"/>
              <w:rPr>
                <w:sz w:val="20"/>
                <w:szCs w:val="20"/>
                <w:color w:val="auto"/>
              </w:rPr>
            </w:pPr>
            <w:r>
              <w:rPr>
                <w:rFonts w:ascii="Arial" w:cs="Arial" w:eastAsia="Arial" w:hAnsi="Arial"/>
                <w:sz w:val="18"/>
                <w:szCs w:val="18"/>
                <w:color w:val="auto"/>
              </w:rPr>
              <w:t>China</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CID000538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460" w:type="dxa"/>
            <w:vAlign w:val="bottom"/>
          </w:tcPr>
          <w:p>
            <w:pPr>
              <w:ind w:left="80"/>
              <w:spacing w:after="0"/>
              <w:rPr>
                <w:sz w:val="20"/>
                <w:szCs w:val="20"/>
                <w:color w:val="auto"/>
              </w:rPr>
            </w:pPr>
            <w:r>
              <w:rPr>
                <w:rFonts w:ascii="Arial" w:cs="Arial" w:eastAsia="Arial" w:hAnsi="Arial"/>
                <w:sz w:val="18"/>
                <w:szCs w:val="18"/>
                <w:color w:val="auto"/>
              </w:rPr>
              <w:t>Global Tungsten &amp; Powders LLC</w:t>
            </w:r>
          </w:p>
        </w:tc>
        <w:tc>
          <w:tcPr>
            <w:tcW w:w="2440" w:type="dxa"/>
            <w:vAlign w:val="bottom"/>
          </w:tcPr>
          <w:p>
            <w:pPr>
              <w:ind w:left="240"/>
              <w:spacing w:after="0"/>
              <w:rPr>
                <w:sz w:val="20"/>
                <w:szCs w:val="20"/>
                <w:color w:val="auto"/>
              </w:rPr>
            </w:pPr>
            <w:r>
              <w:rPr>
                <w:rFonts w:ascii="Arial" w:cs="Arial" w:eastAsia="Arial" w:hAnsi="Arial"/>
                <w:sz w:val="18"/>
                <w:szCs w:val="18"/>
                <w:color w:val="auto"/>
              </w:rPr>
              <w:t>United States Of America</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CID000568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80"/>
              <w:spacing w:after="0"/>
              <w:rPr>
                <w:sz w:val="20"/>
                <w:szCs w:val="20"/>
                <w:color w:val="auto"/>
              </w:rPr>
            </w:pPr>
            <w:r>
              <w:rPr>
                <w:rFonts w:ascii="Arial" w:cs="Arial" w:eastAsia="Arial" w:hAnsi="Arial"/>
                <w:sz w:val="18"/>
                <w:szCs w:val="18"/>
                <w:color w:val="auto"/>
              </w:rPr>
              <w:t>XIMEI RESOURCES (GUANGDONG) LIMITED</w:t>
            </w:r>
          </w:p>
        </w:tc>
        <w:tc>
          <w:tcPr>
            <w:tcW w:w="2440" w:type="dxa"/>
            <w:vAlign w:val="bottom"/>
          </w:tcPr>
          <w:p>
            <w:pPr>
              <w:ind w:left="240"/>
              <w:spacing w:after="0"/>
              <w:rPr>
                <w:sz w:val="20"/>
                <w:szCs w:val="20"/>
                <w:color w:val="auto"/>
              </w:rPr>
            </w:pPr>
            <w:r>
              <w:rPr>
                <w:rFonts w:ascii="Arial" w:cs="Arial" w:eastAsia="Arial" w:hAnsi="Arial"/>
                <w:sz w:val="18"/>
                <w:szCs w:val="18"/>
                <w:color w:val="auto"/>
              </w:rPr>
              <w:t>China</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CID000616</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80"/>
              <w:spacing w:after="0"/>
              <w:rPr>
                <w:sz w:val="20"/>
                <w:szCs w:val="20"/>
                <w:color w:val="auto"/>
              </w:rPr>
            </w:pPr>
            <w:r>
              <w:rPr>
                <w:rFonts w:ascii="Arial" w:cs="Arial" w:eastAsia="Arial" w:hAnsi="Arial"/>
                <w:sz w:val="18"/>
                <w:szCs w:val="18"/>
                <w:color w:val="auto"/>
              </w:rPr>
              <w:t>LT Metal Ltd.</w:t>
            </w:r>
          </w:p>
        </w:tc>
        <w:tc>
          <w:tcPr>
            <w:tcW w:w="2440" w:type="dxa"/>
            <w:vAlign w:val="bottom"/>
          </w:tcPr>
          <w:p>
            <w:pPr>
              <w:ind w:left="240"/>
              <w:spacing w:after="0"/>
              <w:rPr>
                <w:sz w:val="20"/>
                <w:szCs w:val="20"/>
                <w:color w:val="auto"/>
              </w:rPr>
            </w:pPr>
            <w:r>
              <w:rPr>
                <w:rFonts w:ascii="Arial" w:cs="Arial" w:eastAsia="Arial" w:hAnsi="Arial"/>
                <w:sz w:val="18"/>
                <w:szCs w:val="18"/>
                <w:color w:val="auto"/>
              </w:rPr>
              <w:t>Korea, Republic Of</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CID000689</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80"/>
              <w:spacing w:after="0"/>
              <w:rPr>
                <w:sz w:val="20"/>
                <w:szCs w:val="20"/>
                <w:color w:val="auto"/>
              </w:rPr>
            </w:pPr>
            <w:r>
              <w:rPr>
                <w:rFonts w:ascii="Arial" w:cs="Arial" w:eastAsia="Arial" w:hAnsi="Arial"/>
                <w:sz w:val="18"/>
                <w:szCs w:val="18"/>
                <w:color w:val="auto"/>
              </w:rPr>
              <w:t>Heimerle + Meule GmbH</w:t>
            </w:r>
          </w:p>
        </w:tc>
        <w:tc>
          <w:tcPr>
            <w:tcW w:w="2440" w:type="dxa"/>
            <w:vAlign w:val="bottom"/>
          </w:tcPr>
          <w:p>
            <w:pPr>
              <w:ind w:left="240"/>
              <w:spacing w:after="0"/>
              <w:rPr>
                <w:sz w:val="20"/>
                <w:szCs w:val="20"/>
                <w:color w:val="auto"/>
              </w:rPr>
            </w:pPr>
            <w:r>
              <w:rPr>
                <w:rFonts w:ascii="Arial" w:cs="Arial" w:eastAsia="Arial" w:hAnsi="Arial"/>
                <w:sz w:val="18"/>
                <w:szCs w:val="18"/>
                <w:color w:val="auto"/>
              </w:rPr>
              <w:t>Germany</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CID000694</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80"/>
              <w:spacing w:after="0"/>
              <w:rPr>
                <w:sz w:val="20"/>
                <w:szCs w:val="20"/>
                <w:color w:val="auto"/>
              </w:rPr>
            </w:pPr>
            <w:r>
              <w:rPr>
                <w:rFonts w:ascii="Arial" w:cs="Arial" w:eastAsia="Arial" w:hAnsi="Arial"/>
                <w:sz w:val="18"/>
                <w:szCs w:val="18"/>
                <w:color w:val="auto"/>
              </w:rPr>
              <w:t>Heraeus Metals Hong Kong Ltd.</w:t>
            </w:r>
          </w:p>
        </w:tc>
        <w:tc>
          <w:tcPr>
            <w:tcW w:w="2440" w:type="dxa"/>
            <w:vAlign w:val="bottom"/>
          </w:tcPr>
          <w:p>
            <w:pPr>
              <w:ind w:left="240"/>
              <w:spacing w:after="0"/>
              <w:rPr>
                <w:sz w:val="20"/>
                <w:szCs w:val="20"/>
                <w:color w:val="auto"/>
              </w:rPr>
            </w:pPr>
            <w:r>
              <w:rPr>
                <w:rFonts w:ascii="Arial" w:cs="Arial" w:eastAsia="Arial" w:hAnsi="Arial"/>
                <w:sz w:val="18"/>
                <w:szCs w:val="18"/>
                <w:color w:val="auto"/>
              </w:rPr>
              <w:t>China</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CID000707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80"/>
              <w:spacing w:after="0"/>
              <w:rPr>
                <w:sz w:val="20"/>
                <w:szCs w:val="20"/>
                <w:color w:val="auto"/>
              </w:rPr>
            </w:pPr>
            <w:r>
              <w:rPr>
                <w:rFonts w:ascii="Arial" w:cs="Arial" w:eastAsia="Arial" w:hAnsi="Arial"/>
                <w:sz w:val="18"/>
                <w:szCs w:val="18"/>
                <w:color w:val="auto"/>
              </w:rPr>
              <w:t>Heraeus Germany GmbH Co. KG</w:t>
            </w:r>
          </w:p>
        </w:tc>
        <w:tc>
          <w:tcPr>
            <w:tcW w:w="2440" w:type="dxa"/>
            <w:vAlign w:val="bottom"/>
          </w:tcPr>
          <w:p>
            <w:pPr>
              <w:ind w:left="240"/>
              <w:spacing w:after="0"/>
              <w:rPr>
                <w:sz w:val="20"/>
                <w:szCs w:val="20"/>
                <w:color w:val="auto"/>
              </w:rPr>
            </w:pPr>
            <w:r>
              <w:rPr>
                <w:rFonts w:ascii="Arial" w:cs="Arial" w:eastAsia="Arial" w:hAnsi="Arial"/>
                <w:sz w:val="18"/>
                <w:szCs w:val="18"/>
                <w:color w:val="auto"/>
              </w:rPr>
              <w:t>Germany</w:t>
            </w:r>
          </w:p>
        </w:tc>
        <w:tc>
          <w:tcPr>
            <w:tcW w:w="1120" w:type="dxa"/>
            <w:vAlign w:val="bottom"/>
          </w:tcPr>
          <w:p>
            <w:pPr>
              <w:ind w:left="120"/>
              <w:spacing w:after="0"/>
              <w:rPr>
                <w:sz w:val="20"/>
                <w:szCs w:val="20"/>
                <w:color w:val="auto"/>
              </w:rPr>
            </w:pPr>
            <w:r>
              <w:rPr>
                <w:rFonts w:ascii="Arial" w:cs="Arial" w:eastAsia="Arial" w:hAnsi="Arial"/>
                <w:sz w:val="18"/>
                <w:szCs w:val="18"/>
                <w:color w:val="auto"/>
              </w:rPr>
              <w:t>CID000711</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bl>
    <w:p>
      <w:pPr>
        <w:sectPr>
          <w:pgSz w:w="11900" w:h="16838" w:orient="portrait"/>
          <w:cols w:equalWidth="0" w:num="1">
            <w:col w:w="10019"/>
          </w:cols>
          <w:pgMar w:left="440" w:top="269" w:right="1440"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Inner Mongolia Qiankun Gold and Silver Refinery Share</w:t>
            </w:r>
          </w:p>
        </w:tc>
        <w:tc>
          <w:tcPr>
            <w:tcW w:w="2280" w:type="dxa"/>
            <w:vAlign w:val="bottom"/>
          </w:tcPr>
          <w:p>
            <w:pPr>
              <w:ind w:left="10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CID000801</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239"/>
        </w:trPr>
        <w:tc>
          <w:tcPr>
            <w:tcW w:w="800" w:type="dxa"/>
            <w:vAlign w:val="bottom"/>
          </w:tcPr>
          <w:p>
            <w:pPr>
              <w:spacing w:after="0"/>
              <w:rPr>
                <w:sz w:val="20"/>
                <w:szCs w:val="20"/>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Co., Ltd.</w:t>
            </w:r>
          </w:p>
        </w:tc>
        <w:tc>
          <w:tcPr>
            <w:tcW w:w="2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1"/>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Ishifuku Metal Industry Co., Ltd.</w:t>
            </w:r>
          </w:p>
        </w:tc>
        <w:tc>
          <w:tcPr>
            <w:tcW w:w="2280" w:type="dxa"/>
            <w:vAlign w:val="bottom"/>
          </w:tcPr>
          <w:p>
            <w:pPr>
              <w:ind w:left="100"/>
              <w:spacing w:after="0"/>
              <w:rPr>
                <w:sz w:val="20"/>
                <w:szCs w:val="20"/>
                <w:color w:val="auto"/>
              </w:rPr>
            </w:pPr>
            <w:r>
              <w:rPr>
                <w:rFonts w:ascii="Arial" w:cs="Arial" w:eastAsia="Arial" w:hAnsi="Arial"/>
                <w:sz w:val="18"/>
                <w:szCs w:val="18"/>
                <w:color w:val="auto"/>
              </w:rPr>
              <w:t>Japan</w:t>
            </w:r>
          </w:p>
        </w:tc>
        <w:tc>
          <w:tcPr>
            <w:tcW w:w="1140" w:type="dxa"/>
            <w:vAlign w:val="bottom"/>
          </w:tcPr>
          <w:p>
            <w:pPr>
              <w:ind w:left="140"/>
              <w:spacing w:after="0"/>
              <w:rPr>
                <w:sz w:val="20"/>
                <w:szCs w:val="20"/>
                <w:color w:val="auto"/>
              </w:rPr>
            </w:pPr>
            <w:r>
              <w:rPr>
                <w:rFonts w:ascii="Arial" w:cs="Arial" w:eastAsia="Arial" w:hAnsi="Arial"/>
                <w:sz w:val="18"/>
                <w:szCs w:val="18"/>
                <w:color w:val="auto"/>
              </w:rPr>
              <w:t>CID000807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Istanbul Gold Refinery</w:t>
            </w:r>
          </w:p>
        </w:tc>
        <w:tc>
          <w:tcPr>
            <w:tcW w:w="2280" w:type="dxa"/>
            <w:vAlign w:val="bottom"/>
          </w:tcPr>
          <w:p>
            <w:pPr>
              <w:ind w:left="100"/>
              <w:spacing w:after="0"/>
              <w:rPr>
                <w:sz w:val="20"/>
                <w:szCs w:val="20"/>
                <w:color w:val="auto"/>
              </w:rPr>
            </w:pPr>
            <w:r>
              <w:rPr>
                <w:rFonts w:ascii="Arial" w:cs="Arial" w:eastAsia="Arial" w:hAnsi="Arial"/>
                <w:sz w:val="18"/>
                <w:szCs w:val="18"/>
                <w:color w:val="auto"/>
              </w:rPr>
              <w:t>Turkey</w:t>
            </w:r>
          </w:p>
        </w:tc>
        <w:tc>
          <w:tcPr>
            <w:tcW w:w="1140" w:type="dxa"/>
            <w:vAlign w:val="bottom"/>
          </w:tcPr>
          <w:p>
            <w:pPr>
              <w:ind w:left="140"/>
              <w:spacing w:after="0"/>
              <w:rPr>
                <w:sz w:val="20"/>
                <w:szCs w:val="20"/>
                <w:color w:val="auto"/>
              </w:rPr>
            </w:pPr>
            <w:r>
              <w:rPr>
                <w:rFonts w:ascii="Arial" w:cs="Arial" w:eastAsia="Arial" w:hAnsi="Arial"/>
                <w:sz w:val="18"/>
                <w:szCs w:val="18"/>
                <w:color w:val="auto"/>
              </w:rPr>
              <w:t>CID000814</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Japan Mint</w:t>
            </w:r>
          </w:p>
        </w:tc>
        <w:tc>
          <w:tcPr>
            <w:tcW w:w="2280" w:type="dxa"/>
            <w:vAlign w:val="bottom"/>
          </w:tcPr>
          <w:p>
            <w:pPr>
              <w:ind w:left="100"/>
              <w:spacing w:after="0"/>
              <w:rPr>
                <w:sz w:val="20"/>
                <w:szCs w:val="20"/>
                <w:color w:val="auto"/>
              </w:rPr>
            </w:pPr>
            <w:r>
              <w:rPr>
                <w:rFonts w:ascii="Arial" w:cs="Arial" w:eastAsia="Arial" w:hAnsi="Arial"/>
                <w:sz w:val="18"/>
                <w:szCs w:val="18"/>
                <w:color w:val="auto"/>
              </w:rPr>
              <w:t>Japan</w:t>
            </w:r>
          </w:p>
        </w:tc>
        <w:tc>
          <w:tcPr>
            <w:tcW w:w="1140" w:type="dxa"/>
            <w:vAlign w:val="bottom"/>
          </w:tcPr>
          <w:p>
            <w:pPr>
              <w:ind w:left="140"/>
              <w:spacing w:after="0"/>
              <w:rPr>
                <w:sz w:val="20"/>
                <w:szCs w:val="20"/>
                <w:color w:val="auto"/>
              </w:rPr>
            </w:pPr>
            <w:r>
              <w:rPr>
                <w:rFonts w:ascii="Arial" w:cs="Arial" w:eastAsia="Arial" w:hAnsi="Arial"/>
                <w:sz w:val="18"/>
                <w:szCs w:val="18"/>
                <w:color w:val="auto"/>
              </w:rPr>
              <w:t>CID000823</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600" w:type="dxa"/>
            <w:vAlign w:val="bottom"/>
          </w:tcPr>
          <w:p>
            <w:pPr>
              <w:ind w:left="80"/>
              <w:spacing w:after="0"/>
              <w:rPr>
                <w:sz w:val="20"/>
                <w:szCs w:val="20"/>
                <w:color w:val="auto"/>
              </w:rPr>
            </w:pPr>
            <w:r>
              <w:rPr>
                <w:rFonts w:ascii="Arial" w:cs="Arial" w:eastAsia="Arial" w:hAnsi="Arial"/>
                <w:sz w:val="18"/>
                <w:szCs w:val="18"/>
                <w:color w:val="auto"/>
              </w:rPr>
              <w:t>Japan New Metals Co., Ltd.</w:t>
            </w:r>
          </w:p>
        </w:tc>
        <w:tc>
          <w:tcPr>
            <w:tcW w:w="2280" w:type="dxa"/>
            <w:vAlign w:val="bottom"/>
          </w:tcPr>
          <w:p>
            <w:pPr>
              <w:ind w:left="100"/>
              <w:spacing w:after="0"/>
              <w:rPr>
                <w:sz w:val="20"/>
                <w:szCs w:val="20"/>
                <w:color w:val="auto"/>
              </w:rPr>
            </w:pPr>
            <w:r>
              <w:rPr>
                <w:rFonts w:ascii="Arial" w:cs="Arial" w:eastAsia="Arial" w:hAnsi="Arial"/>
                <w:sz w:val="18"/>
                <w:szCs w:val="18"/>
                <w:color w:val="auto"/>
              </w:rPr>
              <w:t>Japan</w:t>
            </w:r>
          </w:p>
        </w:tc>
        <w:tc>
          <w:tcPr>
            <w:tcW w:w="1140" w:type="dxa"/>
            <w:vAlign w:val="bottom"/>
          </w:tcPr>
          <w:p>
            <w:pPr>
              <w:ind w:left="140"/>
              <w:spacing w:after="0"/>
              <w:rPr>
                <w:sz w:val="20"/>
                <w:szCs w:val="20"/>
                <w:color w:val="auto"/>
              </w:rPr>
            </w:pPr>
            <w:r>
              <w:rPr>
                <w:rFonts w:ascii="Arial" w:cs="Arial" w:eastAsia="Arial" w:hAnsi="Arial"/>
                <w:sz w:val="18"/>
                <w:szCs w:val="18"/>
                <w:color w:val="auto"/>
              </w:rPr>
              <w:t>CID000825</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Jiangxi Copper Co., Ltd.</w:t>
            </w:r>
          </w:p>
        </w:tc>
        <w:tc>
          <w:tcPr>
            <w:tcW w:w="2280" w:type="dxa"/>
            <w:vAlign w:val="bottom"/>
          </w:tcPr>
          <w:p>
            <w:pPr>
              <w:ind w:left="10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CID000855</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600" w:type="dxa"/>
            <w:vAlign w:val="bottom"/>
          </w:tcPr>
          <w:p>
            <w:pPr>
              <w:ind w:left="80"/>
              <w:spacing w:after="0"/>
              <w:rPr>
                <w:sz w:val="20"/>
                <w:szCs w:val="20"/>
                <w:color w:val="auto"/>
              </w:rPr>
            </w:pPr>
            <w:r>
              <w:rPr>
                <w:rFonts w:ascii="Arial" w:cs="Arial" w:eastAsia="Arial" w:hAnsi="Arial"/>
                <w:sz w:val="18"/>
                <w:szCs w:val="18"/>
                <w:color w:val="auto"/>
              </w:rPr>
              <w:t>JiuJiang JinXin Nonferrous Metals Co., Ltd.</w:t>
            </w:r>
          </w:p>
        </w:tc>
        <w:tc>
          <w:tcPr>
            <w:tcW w:w="2280" w:type="dxa"/>
            <w:vAlign w:val="bottom"/>
          </w:tcPr>
          <w:p>
            <w:pPr>
              <w:ind w:left="10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CID000914</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600" w:type="dxa"/>
            <w:vAlign w:val="bottom"/>
          </w:tcPr>
          <w:p>
            <w:pPr>
              <w:ind w:left="80"/>
              <w:spacing w:after="0"/>
              <w:rPr>
                <w:sz w:val="20"/>
                <w:szCs w:val="20"/>
                <w:color w:val="auto"/>
              </w:rPr>
            </w:pPr>
            <w:r>
              <w:rPr>
                <w:rFonts w:ascii="Arial" w:cs="Arial" w:eastAsia="Arial" w:hAnsi="Arial"/>
                <w:sz w:val="18"/>
                <w:szCs w:val="18"/>
                <w:color w:val="auto"/>
              </w:rPr>
              <w:t>Jiujiang Tanbre Co., Ltd.</w:t>
            </w:r>
          </w:p>
        </w:tc>
        <w:tc>
          <w:tcPr>
            <w:tcW w:w="2280" w:type="dxa"/>
            <w:vAlign w:val="bottom"/>
          </w:tcPr>
          <w:p>
            <w:pPr>
              <w:ind w:left="10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CID000917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Asahi Refining USA Inc.</w:t>
            </w:r>
          </w:p>
        </w:tc>
        <w:tc>
          <w:tcPr>
            <w:tcW w:w="2280" w:type="dxa"/>
            <w:vAlign w:val="bottom"/>
          </w:tcPr>
          <w:p>
            <w:pPr>
              <w:ind w:left="100"/>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CID000920</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Asahi Refining Canada Ltd.</w:t>
            </w:r>
          </w:p>
        </w:tc>
        <w:tc>
          <w:tcPr>
            <w:tcW w:w="2280" w:type="dxa"/>
            <w:vAlign w:val="bottom"/>
          </w:tcPr>
          <w:p>
            <w:pPr>
              <w:ind w:left="100"/>
              <w:spacing w:after="0"/>
              <w:rPr>
                <w:sz w:val="20"/>
                <w:szCs w:val="20"/>
                <w:color w:val="auto"/>
              </w:rPr>
            </w:pPr>
            <w:r>
              <w:rPr>
                <w:rFonts w:ascii="Arial" w:cs="Arial" w:eastAsia="Arial" w:hAnsi="Arial"/>
                <w:sz w:val="18"/>
                <w:szCs w:val="18"/>
                <w:color w:val="auto"/>
              </w:rPr>
              <w:t>Canada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CID000924</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JX Nippon Mining &amp; Metals Co., Ltd.</w:t>
            </w:r>
          </w:p>
        </w:tc>
        <w:tc>
          <w:tcPr>
            <w:tcW w:w="2280" w:type="dxa"/>
            <w:vAlign w:val="bottom"/>
          </w:tcPr>
          <w:p>
            <w:pPr>
              <w:ind w:left="100"/>
              <w:spacing w:after="0"/>
              <w:rPr>
                <w:sz w:val="20"/>
                <w:szCs w:val="20"/>
                <w:color w:val="auto"/>
              </w:rPr>
            </w:pPr>
            <w:r>
              <w:rPr>
                <w:rFonts w:ascii="Arial" w:cs="Arial" w:eastAsia="Arial" w:hAnsi="Arial"/>
                <w:sz w:val="18"/>
                <w:szCs w:val="18"/>
                <w:color w:val="auto"/>
              </w:rPr>
              <w:t>Japan</w:t>
            </w:r>
          </w:p>
        </w:tc>
        <w:tc>
          <w:tcPr>
            <w:tcW w:w="1140" w:type="dxa"/>
            <w:vAlign w:val="bottom"/>
          </w:tcPr>
          <w:p>
            <w:pPr>
              <w:ind w:left="140"/>
              <w:spacing w:after="0"/>
              <w:rPr>
                <w:sz w:val="20"/>
                <w:szCs w:val="20"/>
                <w:color w:val="auto"/>
              </w:rPr>
            </w:pPr>
            <w:r>
              <w:rPr>
                <w:rFonts w:ascii="Arial" w:cs="Arial" w:eastAsia="Arial" w:hAnsi="Arial"/>
                <w:sz w:val="18"/>
                <w:szCs w:val="18"/>
                <w:color w:val="auto"/>
              </w:rPr>
              <w:t>CID000937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Kazzinc</w:t>
            </w:r>
          </w:p>
        </w:tc>
        <w:tc>
          <w:tcPr>
            <w:tcW w:w="2280" w:type="dxa"/>
            <w:vAlign w:val="bottom"/>
          </w:tcPr>
          <w:p>
            <w:pPr>
              <w:ind w:left="100"/>
              <w:spacing w:after="0"/>
              <w:rPr>
                <w:sz w:val="20"/>
                <w:szCs w:val="20"/>
                <w:color w:val="auto"/>
              </w:rPr>
            </w:pPr>
            <w:r>
              <w:rPr>
                <w:rFonts w:ascii="Arial" w:cs="Arial" w:eastAsia="Arial" w:hAnsi="Arial"/>
                <w:sz w:val="18"/>
                <w:szCs w:val="18"/>
                <w:color w:val="auto"/>
              </w:rPr>
              <w:t>Kazakhstan</w:t>
            </w:r>
          </w:p>
        </w:tc>
        <w:tc>
          <w:tcPr>
            <w:tcW w:w="1140" w:type="dxa"/>
            <w:vAlign w:val="bottom"/>
          </w:tcPr>
          <w:p>
            <w:pPr>
              <w:ind w:left="140"/>
              <w:spacing w:after="0"/>
              <w:rPr>
                <w:sz w:val="20"/>
                <w:szCs w:val="20"/>
                <w:color w:val="auto"/>
              </w:rPr>
            </w:pPr>
            <w:r>
              <w:rPr>
                <w:rFonts w:ascii="Arial" w:cs="Arial" w:eastAsia="Arial" w:hAnsi="Arial"/>
                <w:sz w:val="18"/>
                <w:szCs w:val="18"/>
                <w:color w:val="auto"/>
              </w:rPr>
              <w:t>CID000957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600" w:type="dxa"/>
            <w:vAlign w:val="bottom"/>
          </w:tcPr>
          <w:p>
            <w:pPr>
              <w:ind w:left="80"/>
              <w:spacing w:after="0"/>
              <w:rPr>
                <w:sz w:val="20"/>
                <w:szCs w:val="20"/>
                <w:color w:val="auto"/>
              </w:rPr>
            </w:pPr>
            <w:r>
              <w:rPr>
                <w:rFonts w:ascii="Arial" w:cs="Arial" w:eastAsia="Arial" w:hAnsi="Arial"/>
                <w:sz w:val="18"/>
                <w:szCs w:val="18"/>
                <w:color w:val="auto"/>
              </w:rPr>
              <w:t>Kennametal Fallon</w:t>
            </w:r>
          </w:p>
        </w:tc>
        <w:tc>
          <w:tcPr>
            <w:tcW w:w="2280" w:type="dxa"/>
            <w:vAlign w:val="bottom"/>
          </w:tcPr>
          <w:p>
            <w:pPr>
              <w:ind w:left="100"/>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CID000966</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Kennecott Utah Copper LLC</w:t>
            </w:r>
          </w:p>
        </w:tc>
        <w:tc>
          <w:tcPr>
            <w:tcW w:w="2280" w:type="dxa"/>
            <w:vAlign w:val="bottom"/>
          </w:tcPr>
          <w:p>
            <w:pPr>
              <w:ind w:left="100"/>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CID000969</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Kojima Chemicals Co., Ltd.</w:t>
            </w:r>
          </w:p>
        </w:tc>
        <w:tc>
          <w:tcPr>
            <w:tcW w:w="2280" w:type="dxa"/>
            <w:vAlign w:val="bottom"/>
          </w:tcPr>
          <w:p>
            <w:pPr>
              <w:ind w:left="100"/>
              <w:spacing w:after="0"/>
              <w:rPr>
                <w:sz w:val="20"/>
                <w:szCs w:val="20"/>
                <w:color w:val="auto"/>
              </w:rPr>
            </w:pPr>
            <w:r>
              <w:rPr>
                <w:rFonts w:ascii="Arial" w:cs="Arial" w:eastAsia="Arial" w:hAnsi="Arial"/>
                <w:sz w:val="18"/>
                <w:szCs w:val="18"/>
                <w:color w:val="auto"/>
              </w:rPr>
              <w:t>Japan</w:t>
            </w:r>
          </w:p>
        </w:tc>
        <w:tc>
          <w:tcPr>
            <w:tcW w:w="1140" w:type="dxa"/>
            <w:vAlign w:val="bottom"/>
          </w:tcPr>
          <w:p>
            <w:pPr>
              <w:ind w:left="140"/>
              <w:spacing w:after="0"/>
              <w:rPr>
                <w:sz w:val="20"/>
                <w:szCs w:val="20"/>
                <w:color w:val="auto"/>
              </w:rPr>
            </w:pPr>
            <w:r>
              <w:rPr>
                <w:rFonts w:ascii="Arial" w:cs="Arial" w:eastAsia="Arial" w:hAnsi="Arial"/>
                <w:sz w:val="18"/>
                <w:szCs w:val="18"/>
                <w:color w:val="auto"/>
              </w:rPr>
              <w:t>CID000981</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00" w:type="dxa"/>
            <w:vAlign w:val="bottom"/>
          </w:tcPr>
          <w:p>
            <w:pPr>
              <w:ind w:left="80"/>
              <w:spacing w:after="0"/>
              <w:rPr>
                <w:sz w:val="20"/>
                <w:szCs w:val="20"/>
                <w:color w:val="auto"/>
              </w:rPr>
            </w:pPr>
            <w:r>
              <w:rPr>
                <w:rFonts w:ascii="Arial" w:cs="Arial" w:eastAsia="Arial" w:hAnsi="Arial"/>
                <w:sz w:val="18"/>
                <w:szCs w:val="18"/>
                <w:color w:val="auto"/>
              </w:rPr>
              <w:t>China Tin Group Co., Ltd.</w:t>
            </w:r>
          </w:p>
        </w:tc>
        <w:tc>
          <w:tcPr>
            <w:tcW w:w="2280" w:type="dxa"/>
            <w:vAlign w:val="bottom"/>
          </w:tcPr>
          <w:p>
            <w:pPr>
              <w:ind w:left="10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CID001070</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600" w:type="dxa"/>
            <w:vAlign w:val="bottom"/>
          </w:tcPr>
          <w:p>
            <w:pPr>
              <w:ind w:left="80"/>
              <w:spacing w:after="0"/>
              <w:rPr>
                <w:sz w:val="20"/>
                <w:szCs w:val="20"/>
                <w:color w:val="auto"/>
              </w:rPr>
            </w:pPr>
            <w:r>
              <w:rPr>
                <w:rFonts w:ascii="Arial" w:cs="Arial" w:eastAsia="Arial" w:hAnsi="Arial"/>
                <w:sz w:val="18"/>
                <w:szCs w:val="18"/>
                <w:color w:val="auto"/>
              </w:rPr>
              <w:t>AMG Brasil</w:t>
            </w:r>
          </w:p>
        </w:tc>
        <w:tc>
          <w:tcPr>
            <w:tcW w:w="2280" w:type="dxa"/>
            <w:vAlign w:val="bottom"/>
          </w:tcPr>
          <w:p>
            <w:pPr>
              <w:ind w:left="100"/>
              <w:spacing w:after="0"/>
              <w:rPr>
                <w:sz w:val="20"/>
                <w:szCs w:val="20"/>
                <w:color w:val="auto"/>
              </w:rPr>
            </w:pPr>
            <w:r>
              <w:rPr>
                <w:rFonts w:ascii="Arial" w:cs="Arial" w:eastAsia="Arial" w:hAnsi="Arial"/>
                <w:sz w:val="18"/>
                <w:szCs w:val="18"/>
                <w:color w:val="auto"/>
              </w:rPr>
              <w:t>Brazil</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CID001076</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LS MnM Inc.</w:t>
            </w:r>
          </w:p>
        </w:tc>
        <w:tc>
          <w:tcPr>
            <w:tcW w:w="2280" w:type="dxa"/>
            <w:vAlign w:val="bottom"/>
          </w:tcPr>
          <w:p>
            <w:pPr>
              <w:ind w:left="100"/>
              <w:spacing w:after="0"/>
              <w:rPr>
                <w:sz w:val="20"/>
                <w:szCs w:val="20"/>
                <w:color w:val="auto"/>
              </w:rPr>
            </w:pPr>
            <w:r>
              <w:rPr>
                <w:rFonts w:ascii="Arial" w:cs="Arial" w:eastAsia="Arial" w:hAnsi="Arial"/>
                <w:sz w:val="18"/>
                <w:szCs w:val="18"/>
                <w:color w:val="auto"/>
              </w:rPr>
              <w:t>Korea, Republic Of</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CID001078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Materion</w:t>
            </w:r>
          </w:p>
        </w:tc>
        <w:tc>
          <w:tcPr>
            <w:tcW w:w="2280" w:type="dxa"/>
            <w:vAlign w:val="bottom"/>
          </w:tcPr>
          <w:p>
            <w:pPr>
              <w:ind w:left="100"/>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CID001113</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Matsuda Sangyo Co., Ltd.</w:t>
            </w:r>
          </w:p>
        </w:tc>
        <w:tc>
          <w:tcPr>
            <w:tcW w:w="2280" w:type="dxa"/>
            <w:vAlign w:val="bottom"/>
          </w:tcPr>
          <w:p>
            <w:pPr>
              <w:ind w:left="100"/>
              <w:spacing w:after="0"/>
              <w:rPr>
                <w:sz w:val="20"/>
                <w:szCs w:val="20"/>
                <w:color w:val="auto"/>
              </w:rPr>
            </w:pPr>
            <w:r>
              <w:rPr>
                <w:rFonts w:ascii="Arial" w:cs="Arial" w:eastAsia="Arial" w:hAnsi="Arial"/>
                <w:sz w:val="18"/>
                <w:szCs w:val="18"/>
                <w:color w:val="auto"/>
              </w:rPr>
              <w:t>Japan</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CID001119</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00" w:type="dxa"/>
            <w:vAlign w:val="bottom"/>
          </w:tcPr>
          <w:p>
            <w:pPr>
              <w:ind w:left="80"/>
              <w:spacing w:after="0"/>
              <w:rPr>
                <w:sz w:val="20"/>
                <w:szCs w:val="20"/>
                <w:color w:val="auto"/>
              </w:rPr>
            </w:pPr>
            <w:r>
              <w:rPr>
                <w:rFonts w:ascii="Arial" w:cs="Arial" w:eastAsia="Arial" w:hAnsi="Arial"/>
                <w:sz w:val="18"/>
                <w:szCs w:val="18"/>
                <w:color w:val="auto"/>
              </w:rPr>
              <w:t>Metallic Resources, Inc.</w:t>
            </w:r>
          </w:p>
        </w:tc>
        <w:tc>
          <w:tcPr>
            <w:tcW w:w="2280" w:type="dxa"/>
            <w:vAlign w:val="bottom"/>
          </w:tcPr>
          <w:p>
            <w:pPr>
              <w:ind w:left="100"/>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CID001142</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Metalor Technologies (Suzhou) Ltd.</w:t>
            </w:r>
          </w:p>
        </w:tc>
        <w:tc>
          <w:tcPr>
            <w:tcW w:w="2280" w:type="dxa"/>
            <w:vAlign w:val="bottom"/>
          </w:tcPr>
          <w:p>
            <w:pPr>
              <w:ind w:left="10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CID001147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Metalor Technologies (Hong Kong) Ltd.</w:t>
            </w:r>
          </w:p>
        </w:tc>
        <w:tc>
          <w:tcPr>
            <w:tcW w:w="2280" w:type="dxa"/>
            <w:vAlign w:val="bottom"/>
          </w:tcPr>
          <w:p>
            <w:pPr>
              <w:ind w:left="10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CID001149</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Metalor Technologies (Singapore) Pte., Ltd.</w:t>
            </w:r>
          </w:p>
        </w:tc>
        <w:tc>
          <w:tcPr>
            <w:tcW w:w="2280" w:type="dxa"/>
            <w:vAlign w:val="bottom"/>
          </w:tcPr>
          <w:p>
            <w:pPr>
              <w:ind w:left="100"/>
              <w:spacing w:after="0"/>
              <w:rPr>
                <w:sz w:val="20"/>
                <w:szCs w:val="20"/>
                <w:color w:val="auto"/>
              </w:rPr>
            </w:pPr>
            <w:r>
              <w:rPr>
                <w:rFonts w:ascii="Arial" w:cs="Arial" w:eastAsia="Arial" w:hAnsi="Arial"/>
                <w:sz w:val="18"/>
                <w:szCs w:val="18"/>
                <w:color w:val="auto"/>
              </w:rPr>
              <w:t>Singapore</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CID001152</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Metalor Technologies S.A.</w:t>
            </w:r>
          </w:p>
        </w:tc>
        <w:tc>
          <w:tcPr>
            <w:tcW w:w="2280" w:type="dxa"/>
            <w:vAlign w:val="bottom"/>
          </w:tcPr>
          <w:p>
            <w:pPr>
              <w:ind w:left="100"/>
              <w:spacing w:after="0"/>
              <w:rPr>
                <w:sz w:val="20"/>
                <w:szCs w:val="20"/>
                <w:color w:val="auto"/>
              </w:rPr>
            </w:pPr>
            <w:r>
              <w:rPr>
                <w:rFonts w:ascii="Arial" w:cs="Arial" w:eastAsia="Arial" w:hAnsi="Arial"/>
                <w:sz w:val="18"/>
                <w:szCs w:val="18"/>
                <w:color w:val="auto"/>
              </w:rPr>
              <w:t>Switzerland</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CID001153</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Metalor USA Refining Corporation</w:t>
            </w:r>
          </w:p>
        </w:tc>
        <w:tc>
          <w:tcPr>
            <w:tcW w:w="2280" w:type="dxa"/>
            <w:vAlign w:val="bottom"/>
          </w:tcPr>
          <w:p>
            <w:pPr>
              <w:ind w:left="100"/>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CID001157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Metalurgica Met-Mex Penoles S.A. De C.V.</w:t>
            </w:r>
          </w:p>
        </w:tc>
        <w:tc>
          <w:tcPr>
            <w:tcW w:w="2280" w:type="dxa"/>
            <w:vAlign w:val="bottom"/>
          </w:tcPr>
          <w:p>
            <w:pPr>
              <w:ind w:left="100"/>
              <w:spacing w:after="0"/>
              <w:rPr>
                <w:sz w:val="20"/>
                <w:szCs w:val="20"/>
                <w:color w:val="auto"/>
              </w:rPr>
            </w:pPr>
            <w:r>
              <w:rPr>
                <w:rFonts w:ascii="Arial" w:cs="Arial" w:eastAsia="Arial" w:hAnsi="Arial"/>
                <w:sz w:val="18"/>
                <w:szCs w:val="18"/>
                <w:color w:val="auto"/>
              </w:rPr>
              <w:t>Mexico</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CID001161</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600" w:type="dxa"/>
            <w:vAlign w:val="bottom"/>
          </w:tcPr>
          <w:p>
            <w:pPr>
              <w:ind w:left="80"/>
              <w:spacing w:after="0"/>
              <w:rPr>
                <w:sz w:val="20"/>
                <w:szCs w:val="20"/>
                <w:color w:val="auto"/>
              </w:rPr>
            </w:pPr>
            <w:r>
              <w:rPr>
                <w:rFonts w:ascii="Arial" w:cs="Arial" w:eastAsia="Arial" w:hAnsi="Arial"/>
                <w:sz w:val="18"/>
                <w:szCs w:val="18"/>
                <w:color w:val="auto"/>
              </w:rPr>
              <w:t>Metallurgical Products India Pvt., Ltd.</w:t>
            </w:r>
          </w:p>
        </w:tc>
        <w:tc>
          <w:tcPr>
            <w:tcW w:w="2280" w:type="dxa"/>
            <w:vAlign w:val="bottom"/>
          </w:tcPr>
          <w:p>
            <w:pPr>
              <w:ind w:left="100"/>
              <w:spacing w:after="0"/>
              <w:rPr>
                <w:sz w:val="20"/>
                <w:szCs w:val="20"/>
                <w:color w:val="auto"/>
              </w:rPr>
            </w:pPr>
            <w:r>
              <w:rPr>
                <w:rFonts w:ascii="Arial" w:cs="Arial" w:eastAsia="Arial" w:hAnsi="Arial"/>
                <w:sz w:val="18"/>
                <w:szCs w:val="18"/>
                <w:color w:val="auto"/>
              </w:rPr>
              <w:t>India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CID001163</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00" w:type="dxa"/>
            <w:vAlign w:val="bottom"/>
          </w:tcPr>
          <w:p>
            <w:pPr>
              <w:ind w:left="80"/>
              <w:spacing w:after="0"/>
              <w:rPr>
                <w:sz w:val="20"/>
                <w:szCs w:val="20"/>
                <w:color w:val="auto"/>
              </w:rPr>
            </w:pPr>
            <w:r>
              <w:rPr>
                <w:rFonts w:ascii="Arial" w:cs="Arial" w:eastAsia="Arial" w:hAnsi="Arial"/>
                <w:sz w:val="18"/>
                <w:szCs w:val="18"/>
                <w:color w:val="auto"/>
              </w:rPr>
              <w:t>Mineracao Taboca S.A.</w:t>
            </w:r>
          </w:p>
        </w:tc>
        <w:tc>
          <w:tcPr>
            <w:tcW w:w="2280" w:type="dxa"/>
            <w:vAlign w:val="bottom"/>
          </w:tcPr>
          <w:p>
            <w:pPr>
              <w:ind w:left="100"/>
              <w:spacing w:after="0"/>
              <w:rPr>
                <w:sz w:val="20"/>
                <w:szCs w:val="20"/>
                <w:color w:val="auto"/>
              </w:rPr>
            </w:pPr>
            <w:r>
              <w:rPr>
                <w:rFonts w:ascii="Arial" w:cs="Arial" w:eastAsia="Arial" w:hAnsi="Arial"/>
                <w:sz w:val="18"/>
                <w:szCs w:val="18"/>
                <w:color w:val="auto"/>
              </w:rPr>
              <w:t>Brazil</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CID001173</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600" w:type="dxa"/>
            <w:vAlign w:val="bottom"/>
          </w:tcPr>
          <w:p>
            <w:pPr>
              <w:ind w:left="80"/>
              <w:spacing w:after="0"/>
              <w:rPr>
                <w:sz w:val="20"/>
                <w:szCs w:val="20"/>
                <w:color w:val="auto"/>
              </w:rPr>
            </w:pPr>
            <w:r>
              <w:rPr>
                <w:rFonts w:ascii="Arial" w:cs="Arial" w:eastAsia="Arial" w:hAnsi="Arial"/>
                <w:sz w:val="18"/>
                <w:szCs w:val="18"/>
                <w:color w:val="auto"/>
              </w:rPr>
              <w:t>Mineracao Taboca S.A.</w:t>
            </w:r>
          </w:p>
        </w:tc>
        <w:tc>
          <w:tcPr>
            <w:tcW w:w="2280" w:type="dxa"/>
            <w:vAlign w:val="bottom"/>
          </w:tcPr>
          <w:p>
            <w:pPr>
              <w:ind w:left="100"/>
              <w:spacing w:after="0"/>
              <w:rPr>
                <w:sz w:val="20"/>
                <w:szCs w:val="20"/>
                <w:color w:val="auto"/>
              </w:rPr>
            </w:pPr>
            <w:r>
              <w:rPr>
                <w:rFonts w:ascii="Arial" w:cs="Arial" w:eastAsia="Arial" w:hAnsi="Arial"/>
                <w:sz w:val="18"/>
                <w:szCs w:val="18"/>
                <w:color w:val="auto"/>
              </w:rPr>
              <w:t>Brazil</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CID001175</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00" w:type="dxa"/>
            <w:vAlign w:val="bottom"/>
          </w:tcPr>
          <w:p>
            <w:pPr>
              <w:ind w:left="80"/>
              <w:spacing w:after="0"/>
              <w:rPr>
                <w:sz w:val="20"/>
                <w:szCs w:val="20"/>
                <w:color w:val="auto"/>
              </w:rPr>
            </w:pPr>
            <w:r>
              <w:rPr>
                <w:rFonts w:ascii="Arial" w:cs="Arial" w:eastAsia="Arial" w:hAnsi="Arial"/>
                <w:sz w:val="18"/>
                <w:szCs w:val="18"/>
                <w:color w:val="auto"/>
              </w:rPr>
              <w:t>Minsur</w:t>
            </w:r>
          </w:p>
        </w:tc>
        <w:tc>
          <w:tcPr>
            <w:tcW w:w="2280" w:type="dxa"/>
            <w:vAlign w:val="bottom"/>
          </w:tcPr>
          <w:p>
            <w:pPr>
              <w:ind w:left="100"/>
              <w:spacing w:after="0"/>
              <w:rPr>
                <w:sz w:val="20"/>
                <w:szCs w:val="20"/>
                <w:color w:val="auto"/>
              </w:rPr>
            </w:pPr>
            <w:r>
              <w:rPr>
                <w:rFonts w:ascii="Arial" w:cs="Arial" w:eastAsia="Arial" w:hAnsi="Arial"/>
                <w:sz w:val="18"/>
                <w:szCs w:val="18"/>
                <w:color w:val="auto"/>
              </w:rPr>
              <w:t>Peru</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CID001182</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Mitsubishi Materials Corporation</w:t>
            </w:r>
          </w:p>
        </w:tc>
        <w:tc>
          <w:tcPr>
            <w:tcW w:w="2280" w:type="dxa"/>
            <w:vAlign w:val="bottom"/>
          </w:tcPr>
          <w:p>
            <w:pPr>
              <w:ind w:left="100"/>
              <w:spacing w:after="0"/>
              <w:rPr>
                <w:sz w:val="20"/>
                <w:szCs w:val="20"/>
                <w:color w:val="auto"/>
              </w:rPr>
            </w:pPr>
            <w:r>
              <w:rPr>
                <w:rFonts w:ascii="Arial" w:cs="Arial" w:eastAsia="Arial" w:hAnsi="Arial"/>
                <w:sz w:val="18"/>
                <w:szCs w:val="18"/>
                <w:color w:val="auto"/>
              </w:rPr>
              <w:t>Japan</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CID001188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00" w:type="dxa"/>
            <w:vAlign w:val="bottom"/>
          </w:tcPr>
          <w:p>
            <w:pPr>
              <w:ind w:left="80"/>
              <w:spacing w:after="0"/>
              <w:rPr>
                <w:sz w:val="20"/>
                <w:szCs w:val="20"/>
                <w:color w:val="auto"/>
              </w:rPr>
            </w:pPr>
            <w:r>
              <w:rPr>
                <w:rFonts w:ascii="Arial" w:cs="Arial" w:eastAsia="Arial" w:hAnsi="Arial"/>
                <w:sz w:val="18"/>
                <w:szCs w:val="18"/>
                <w:color w:val="auto"/>
              </w:rPr>
              <w:t>Mitsubishi Materials Corporation</w:t>
            </w:r>
          </w:p>
        </w:tc>
        <w:tc>
          <w:tcPr>
            <w:tcW w:w="2280" w:type="dxa"/>
            <w:vAlign w:val="bottom"/>
          </w:tcPr>
          <w:p>
            <w:pPr>
              <w:ind w:left="100"/>
              <w:spacing w:after="0"/>
              <w:rPr>
                <w:sz w:val="20"/>
                <w:szCs w:val="20"/>
                <w:color w:val="auto"/>
              </w:rPr>
            </w:pPr>
            <w:r>
              <w:rPr>
                <w:rFonts w:ascii="Arial" w:cs="Arial" w:eastAsia="Arial" w:hAnsi="Arial"/>
                <w:sz w:val="18"/>
                <w:szCs w:val="18"/>
                <w:color w:val="auto"/>
              </w:rPr>
              <w:t>Japan</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CID001191</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bl>
    <w:p>
      <w:pPr>
        <w:sectPr>
          <w:pgSz w:w="11900" w:h="16838" w:orient="portrait"/>
          <w:cols w:equalWidth="0" w:num="1">
            <w:col w:w="10019"/>
          </w:cols>
          <w:pgMar w:left="440" w:top="265" w:right="1440"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380" w:type="dxa"/>
            <w:vAlign w:val="bottom"/>
          </w:tcPr>
          <w:p>
            <w:pPr>
              <w:ind w:left="80"/>
              <w:spacing w:after="0"/>
              <w:rPr>
                <w:sz w:val="20"/>
                <w:szCs w:val="20"/>
                <w:color w:val="auto"/>
              </w:rPr>
            </w:pPr>
            <w:r>
              <w:rPr>
                <w:rFonts w:ascii="Arial" w:cs="Arial" w:eastAsia="Arial" w:hAnsi="Arial"/>
                <w:sz w:val="18"/>
                <w:szCs w:val="18"/>
                <w:color w:val="auto"/>
              </w:rPr>
              <w:t>Mitsui Mining and Smelting Co., Ltd.</w:t>
            </w:r>
          </w:p>
        </w:tc>
        <w:tc>
          <w:tcPr>
            <w:tcW w:w="2540" w:type="dxa"/>
            <w:vAlign w:val="bottom"/>
          </w:tcPr>
          <w:p>
            <w:pPr>
              <w:ind w:left="320"/>
              <w:spacing w:after="0"/>
              <w:rPr>
                <w:sz w:val="20"/>
                <w:szCs w:val="20"/>
                <w:color w:val="auto"/>
              </w:rPr>
            </w:pPr>
            <w:r>
              <w:rPr>
                <w:rFonts w:ascii="Arial" w:cs="Arial" w:eastAsia="Arial" w:hAnsi="Arial"/>
                <w:sz w:val="18"/>
                <w:szCs w:val="18"/>
                <w:color w:val="auto"/>
              </w:rPr>
              <w:t>Japan</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CID001192</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80" w:type="dxa"/>
            <w:vAlign w:val="bottom"/>
          </w:tcPr>
          <w:p>
            <w:pPr>
              <w:ind w:left="80"/>
              <w:spacing w:after="0"/>
              <w:rPr>
                <w:sz w:val="20"/>
                <w:szCs w:val="20"/>
                <w:color w:val="auto"/>
              </w:rPr>
            </w:pPr>
            <w:r>
              <w:rPr>
                <w:rFonts w:ascii="Arial" w:cs="Arial" w:eastAsia="Arial" w:hAnsi="Arial"/>
                <w:sz w:val="18"/>
                <w:szCs w:val="18"/>
                <w:color w:val="auto"/>
              </w:rPr>
              <w:t>Mitsui Mining and Smelting Co., Ltd.</w:t>
            </w:r>
          </w:p>
        </w:tc>
        <w:tc>
          <w:tcPr>
            <w:tcW w:w="2540" w:type="dxa"/>
            <w:vAlign w:val="bottom"/>
          </w:tcPr>
          <w:p>
            <w:pPr>
              <w:ind w:left="320"/>
              <w:spacing w:after="0"/>
              <w:rPr>
                <w:sz w:val="20"/>
                <w:szCs w:val="20"/>
                <w:color w:val="auto"/>
              </w:rPr>
            </w:pPr>
            <w:r>
              <w:rPr>
                <w:rFonts w:ascii="Arial" w:cs="Arial" w:eastAsia="Arial" w:hAnsi="Arial"/>
                <w:sz w:val="18"/>
                <w:szCs w:val="18"/>
                <w:color w:val="auto"/>
              </w:rPr>
              <w:t>Japan</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CID001193</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380" w:type="dxa"/>
            <w:vAlign w:val="bottom"/>
          </w:tcPr>
          <w:p>
            <w:pPr>
              <w:ind w:left="80"/>
              <w:spacing w:after="0"/>
              <w:rPr>
                <w:sz w:val="20"/>
                <w:szCs w:val="20"/>
                <w:color w:val="auto"/>
              </w:rPr>
            </w:pPr>
            <w:r>
              <w:rPr>
                <w:rFonts w:ascii="Arial" w:cs="Arial" w:eastAsia="Arial" w:hAnsi="Arial"/>
                <w:sz w:val="18"/>
                <w:szCs w:val="18"/>
                <w:color w:val="auto"/>
              </w:rPr>
              <w:t>NPM Silmet AS</w:t>
            </w:r>
          </w:p>
        </w:tc>
        <w:tc>
          <w:tcPr>
            <w:tcW w:w="2540" w:type="dxa"/>
            <w:vAlign w:val="bottom"/>
          </w:tcPr>
          <w:p>
            <w:pPr>
              <w:ind w:left="320"/>
              <w:spacing w:after="0"/>
              <w:rPr>
                <w:sz w:val="20"/>
                <w:szCs w:val="20"/>
                <w:color w:val="auto"/>
              </w:rPr>
            </w:pPr>
            <w:r>
              <w:rPr>
                <w:rFonts w:ascii="Arial" w:cs="Arial" w:eastAsia="Arial" w:hAnsi="Arial"/>
                <w:sz w:val="18"/>
                <w:szCs w:val="18"/>
                <w:color w:val="auto"/>
              </w:rPr>
              <w:t>Estonia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CID001200</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80" w:type="dxa"/>
            <w:vAlign w:val="bottom"/>
          </w:tcPr>
          <w:p>
            <w:pPr>
              <w:ind w:left="80"/>
              <w:spacing w:after="0"/>
              <w:rPr>
                <w:sz w:val="20"/>
                <w:szCs w:val="20"/>
                <w:color w:val="auto"/>
              </w:rPr>
            </w:pPr>
            <w:r>
              <w:rPr>
                <w:rFonts w:ascii="Arial" w:cs="Arial" w:eastAsia="Arial" w:hAnsi="Arial"/>
                <w:sz w:val="18"/>
                <w:szCs w:val="18"/>
                <w:color w:val="auto"/>
              </w:rPr>
              <w:t>Nadir Metal Rafineri San. Ve Tic. A.S.</w:t>
            </w:r>
          </w:p>
        </w:tc>
        <w:tc>
          <w:tcPr>
            <w:tcW w:w="2540" w:type="dxa"/>
            <w:vAlign w:val="bottom"/>
          </w:tcPr>
          <w:p>
            <w:pPr>
              <w:ind w:left="320"/>
              <w:spacing w:after="0"/>
              <w:rPr>
                <w:sz w:val="20"/>
                <w:szCs w:val="20"/>
                <w:color w:val="auto"/>
              </w:rPr>
            </w:pPr>
            <w:r>
              <w:rPr>
                <w:rFonts w:ascii="Arial" w:cs="Arial" w:eastAsia="Arial" w:hAnsi="Arial"/>
                <w:sz w:val="18"/>
                <w:szCs w:val="18"/>
                <w:color w:val="auto"/>
              </w:rPr>
              <w:t>Turkey</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CID001220</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80" w:type="dxa"/>
            <w:vAlign w:val="bottom"/>
          </w:tcPr>
          <w:p>
            <w:pPr>
              <w:ind w:left="80"/>
              <w:spacing w:after="0"/>
              <w:rPr>
                <w:sz w:val="20"/>
                <w:szCs w:val="20"/>
                <w:color w:val="auto"/>
              </w:rPr>
            </w:pPr>
            <w:r>
              <w:rPr>
                <w:rFonts w:ascii="Arial" w:cs="Arial" w:eastAsia="Arial" w:hAnsi="Arial"/>
                <w:sz w:val="18"/>
                <w:szCs w:val="18"/>
                <w:color w:val="auto"/>
              </w:rPr>
              <w:t>Navoi Mining and Metallurgical Combinat</w:t>
            </w:r>
          </w:p>
        </w:tc>
        <w:tc>
          <w:tcPr>
            <w:tcW w:w="2540" w:type="dxa"/>
            <w:vAlign w:val="bottom"/>
          </w:tcPr>
          <w:p>
            <w:pPr>
              <w:ind w:left="320"/>
              <w:spacing w:after="0"/>
              <w:rPr>
                <w:sz w:val="20"/>
                <w:szCs w:val="20"/>
                <w:color w:val="auto"/>
              </w:rPr>
            </w:pPr>
            <w:r>
              <w:rPr>
                <w:rFonts w:ascii="Arial" w:cs="Arial" w:eastAsia="Arial" w:hAnsi="Arial"/>
                <w:sz w:val="18"/>
                <w:szCs w:val="18"/>
                <w:color w:val="auto"/>
              </w:rPr>
              <w:t>Uzbekistan</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CID001236</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80" w:type="dxa"/>
            <w:vAlign w:val="bottom"/>
          </w:tcPr>
          <w:p>
            <w:pPr>
              <w:ind w:left="80"/>
              <w:spacing w:after="0"/>
              <w:rPr>
                <w:sz w:val="20"/>
                <w:szCs w:val="20"/>
                <w:color w:val="auto"/>
              </w:rPr>
            </w:pPr>
            <w:r>
              <w:rPr>
                <w:rFonts w:ascii="Arial" w:cs="Arial" w:eastAsia="Arial" w:hAnsi="Arial"/>
                <w:sz w:val="18"/>
                <w:szCs w:val="18"/>
                <w:color w:val="auto"/>
              </w:rPr>
              <w:t>Nihon Material Co., Ltd.</w:t>
            </w:r>
          </w:p>
        </w:tc>
        <w:tc>
          <w:tcPr>
            <w:tcW w:w="2540" w:type="dxa"/>
            <w:vAlign w:val="bottom"/>
          </w:tcPr>
          <w:p>
            <w:pPr>
              <w:ind w:left="320"/>
              <w:spacing w:after="0"/>
              <w:rPr>
                <w:sz w:val="20"/>
                <w:szCs w:val="20"/>
                <w:color w:val="auto"/>
              </w:rPr>
            </w:pPr>
            <w:r>
              <w:rPr>
                <w:rFonts w:ascii="Arial" w:cs="Arial" w:eastAsia="Arial" w:hAnsi="Arial"/>
                <w:sz w:val="18"/>
                <w:szCs w:val="18"/>
                <w:color w:val="auto"/>
              </w:rPr>
              <w:t>Japan</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CID001259</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380" w:type="dxa"/>
            <w:vAlign w:val="bottom"/>
          </w:tcPr>
          <w:p>
            <w:pPr>
              <w:ind w:left="80"/>
              <w:spacing w:after="0"/>
              <w:rPr>
                <w:sz w:val="20"/>
                <w:szCs w:val="20"/>
                <w:color w:val="auto"/>
              </w:rPr>
            </w:pPr>
            <w:r>
              <w:rPr>
                <w:rFonts w:ascii="Arial" w:cs="Arial" w:eastAsia="Arial" w:hAnsi="Arial"/>
                <w:sz w:val="18"/>
                <w:szCs w:val="18"/>
                <w:color w:val="auto"/>
              </w:rPr>
              <w:t>Ningxia Orient Tantalum Industry Co., Ltd.</w:t>
            </w:r>
          </w:p>
        </w:tc>
        <w:tc>
          <w:tcPr>
            <w:tcW w:w="2540" w:type="dxa"/>
            <w:vAlign w:val="bottom"/>
          </w:tcPr>
          <w:p>
            <w:pPr>
              <w:ind w:left="32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CID001277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380" w:type="dxa"/>
            <w:vAlign w:val="bottom"/>
          </w:tcPr>
          <w:p>
            <w:pPr>
              <w:ind w:left="80"/>
              <w:spacing w:after="0"/>
              <w:rPr>
                <w:sz w:val="20"/>
                <w:szCs w:val="20"/>
                <w:color w:val="auto"/>
              </w:rPr>
            </w:pPr>
            <w:r>
              <w:rPr>
                <w:rFonts w:ascii="Arial" w:cs="Arial" w:eastAsia="Arial" w:hAnsi="Arial"/>
                <w:sz w:val="18"/>
                <w:szCs w:val="18"/>
                <w:color w:val="auto"/>
              </w:rPr>
              <w:t>O.M. Manufacturing (Thailand) Co., Ltd.</w:t>
            </w:r>
          </w:p>
        </w:tc>
        <w:tc>
          <w:tcPr>
            <w:tcW w:w="2540" w:type="dxa"/>
            <w:vAlign w:val="bottom"/>
          </w:tcPr>
          <w:p>
            <w:pPr>
              <w:ind w:left="320"/>
              <w:spacing w:after="0"/>
              <w:rPr>
                <w:sz w:val="20"/>
                <w:szCs w:val="20"/>
                <w:color w:val="auto"/>
              </w:rPr>
            </w:pPr>
            <w:r>
              <w:rPr>
                <w:rFonts w:ascii="Arial" w:cs="Arial" w:eastAsia="Arial" w:hAnsi="Arial"/>
                <w:sz w:val="18"/>
                <w:szCs w:val="18"/>
                <w:color w:val="auto"/>
              </w:rPr>
              <w:t>Thailand</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CID001314</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80" w:type="dxa"/>
            <w:vAlign w:val="bottom"/>
          </w:tcPr>
          <w:p>
            <w:pPr>
              <w:ind w:left="80"/>
              <w:spacing w:after="0"/>
              <w:rPr>
                <w:sz w:val="20"/>
                <w:szCs w:val="20"/>
                <w:color w:val="auto"/>
              </w:rPr>
            </w:pPr>
            <w:r>
              <w:rPr>
                <w:rFonts w:ascii="Arial" w:cs="Arial" w:eastAsia="Arial" w:hAnsi="Arial"/>
                <w:sz w:val="18"/>
                <w:szCs w:val="18"/>
                <w:color w:val="auto"/>
              </w:rPr>
              <w:t>Ohura Precious Metal Industry Co., Ltd.</w:t>
            </w:r>
          </w:p>
        </w:tc>
        <w:tc>
          <w:tcPr>
            <w:tcW w:w="2540" w:type="dxa"/>
            <w:vAlign w:val="bottom"/>
          </w:tcPr>
          <w:p>
            <w:pPr>
              <w:ind w:left="320"/>
              <w:spacing w:after="0"/>
              <w:rPr>
                <w:sz w:val="20"/>
                <w:szCs w:val="20"/>
                <w:color w:val="auto"/>
              </w:rPr>
            </w:pPr>
            <w:r>
              <w:rPr>
                <w:rFonts w:ascii="Arial" w:cs="Arial" w:eastAsia="Arial" w:hAnsi="Arial"/>
                <w:sz w:val="18"/>
                <w:szCs w:val="18"/>
                <w:color w:val="auto"/>
              </w:rPr>
              <w:t>Japan</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CID001325</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288"/>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380" w:type="dxa"/>
            <w:vAlign w:val="bottom"/>
          </w:tcPr>
          <w:p>
            <w:pPr>
              <w:ind w:left="80"/>
              <w:spacing w:after="0"/>
              <w:rPr>
                <w:sz w:val="20"/>
                <w:szCs w:val="20"/>
                <w:color w:val="auto"/>
              </w:rPr>
            </w:pPr>
            <w:r>
              <w:rPr>
                <w:rFonts w:ascii="Arial" w:cs="Arial" w:eastAsia="Arial" w:hAnsi="Arial"/>
                <w:sz w:val="18"/>
                <w:szCs w:val="18"/>
                <w:color w:val="auto"/>
              </w:rPr>
              <w:t>Operaciones Metalurgicas S.A.</w:t>
            </w:r>
          </w:p>
        </w:tc>
        <w:tc>
          <w:tcPr>
            <w:tcW w:w="2540" w:type="dxa"/>
            <w:vAlign w:val="bottom"/>
          </w:tcPr>
          <w:p>
            <w:pPr>
              <w:ind w:left="320"/>
              <w:spacing w:after="0"/>
              <w:rPr>
                <w:sz w:val="20"/>
                <w:szCs w:val="20"/>
                <w:color w:val="auto"/>
              </w:rPr>
            </w:pPr>
            <w:r>
              <w:rPr>
                <w:rFonts w:ascii="Arial" w:cs="Arial" w:eastAsia="Arial" w:hAnsi="Arial"/>
                <w:sz w:val="18"/>
                <w:szCs w:val="18"/>
                <w:color w:val="auto"/>
              </w:rPr>
              <w:t>Bolivia (Plurinational State</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CID001337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239"/>
        </w:trPr>
        <w:tc>
          <w:tcPr>
            <w:tcW w:w="8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540" w:type="dxa"/>
            <w:vAlign w:val="bottom"/>
          </w:tcPr>
          <w:p>
            <w:pPr>
              <w:ind w:left="320"/>
              <w:spacing w:after="0"/>
              <w:rPr>
                <w:sz w:val="20"/>
                <w:szCs w:val="20"/>
                <w:color w:val="auto"/>
              </w:rPr>
            </w:pPr>
            <w:r>
              <w:rPr>
                <w:rFonts w:ascii="Arial" w:cs="Arial" w:eastAsia="Arial" w:hAnsi="Arial"/>
                <w:sz w:val="18"/>
                <w:szCs w:val="18"/>
                <w:color w:val="auto"/>
              </w:rPr>
              <w:t>Of)</w:t>
            </w: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1"/>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80" w:type="dxa"/>
            <w:vAlign w:val="bottom"/>
          </w:tcPr>
          <w:p>
            <w:pPr>
              <w:ind w:left="80"/>
              <w:spacing w:after="0"/>
              <w:rPr>
                <w:sz w:val="20"/>
                <w:szCs w:val="20"/>
                <w:color w:val="auto"/>
              </w:rPr>
            </w:pPr>
            <w:r>
              <w:rPr>
                <w:rFonts w:ascii="Arial" w:cs="Arial" w:eastAsia="Arial" w:hAnsi="Arial"/>
                <w:sz w:val="18"/>
                <w:szCs w:val="18"/>
                <w:color w:val="auto"/>
              </w:rPr>
              <w:t>MKS PAMP SA</w:t>
            </w:r>
          </w:p>
        </w:tc>
        <w:tc>
          <w:tcPr>
            <w:tcW w:w="2540" w:type="dxa"/>
            <w:vAlign w:val="bottom"/>
          </w:tcPr>
          <w:p>
            <w:pPr>
              <w:ind w:left="320"/>
              <w:spacing w:after="0"/>
              <w:rPr>
                <w:sz w:val="20"/>
                <w:szCs w:val="20"/>
                <w:color w:val="auto"/>
              </w:rPr>
            </w:pPr>
            <w:r>
              <w:rPr>
                <w:rFonts w:ascii="Arial" w:cs="Arial" w:eastAsia="Arial" w:hAnsi="Arial"/>
                <w:sz w:val="18"/>
                <w:szCs w:val="18"/>
                <w:color w:val="auto"/>
              </w:rPr>
              <w:t>Switzerland</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CID001352</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80" w:type="dxa"/>
            <w:vAlign w:val="bottom"/>
          </w:tcPr>
          <w:p>
            <w:pPr>
              <w:ind w:left="80"/>
              <w:spacing w:after="0"/>
              <w:rPr>
                <w:sz w:val="20"/>
                <w:szCs w:val="20"/>
                <w:color w:val="auto"/>
              </w:rPr>
            </w:pPr>
            <w:r>
              <w:rPr>
                <w:rFonts w:ascii="Arial" w:cs="Arial" w:eastAsia="Arial" w:hAnsi="Arial"/>
                <w:sz w:val="18"/>
                <w:szCs w:val="18"/>
                <w:color w:val="auto"/>
              </w:rPr>
              <w:t>PT Aneka Tambang (Persero) Tbk</w:t>
            </w:r>
          </w:p>
        </w:tc>
        <w:tc>
          <w:tcPr>
            <w:tcW w:w="2540" w:type="dxa"/>
            <w:vAlign w:val="bottom"/>
          </w:tcPr>
          <w:p>
            <w:pPr>
              <w:ind w:left="320"/>
              <w:spacing w:after="0"/>
              <w:rPr>
                <w:sz w:val="20"/>
                <w:szCs w:val="20"/>
                <w:color w:val="auto"/>
              </w:rPr>
            </w:pPr>
            <w:r>
              <w:rPr>
                <w:rFonts w:ascii="Arial" w:cs="Arial" w:eastAsia="Arial" w:hAnsi="Arial"/>
                <w:sz w:val="18"/>
                <w:szCs w:val="18"/>
                <w:color w:val="auto"/>
              </w:rPr>
              <w:t>Indonesia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CID001397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380" w:type="dxa"/>
            <w:vAlign w:val="bottom"/>
          </w:tcPr>
          <w:p>
            <w:pPr>
              <w:ind w:left="80"/>
              <w:spacing w:after="0"/>
              <w:rPr>
                <w:sz w:val="20"/>
                <w:szCs w:val="20"/>
                <w:color w:val="auto"/>
              </w:rPr>
            </w:pPr>
            <w:r>
              <w:rPr>
                <w:rFonts w:ascii="Arial" w:cs="Arial" w:eastAsia="Arial" w:hAnsi="Arial"/>
                <w:sz w:val="18"/>
                <w:szCs w:val="18"/>
                <w:color w:val="auto"/>
              </w:rPr>
              <w:t>PT Mitra Stania Prima</w:t>
            </w:r>
          </w:p>
        </w:tc>
        <w:tc>
          <w:tcPr>
            <w:tcW w:w="2540" w:type="dxa"/>
            <w:vAlign w:val="bottom"/>
          </w:tcPr>
          <w:p>
            <w:pPr>
              <w:ind w:left="320"/>
              <w:spacing w:after="0"/>
              <w:rPr>
                <w:sz w:val="20"/>
                <w:szCs w:val="20"/>
                <w:color w:val="auto"/>
              </w:rPr>
            </w:pPr>
            <w:r>
              <w:rPr>
                <w:rFonts w:ascii="Arial" w:cs="Arial" w:eastAsia="Arial" w:hAnsi="Arial"/>
                <w:sz w:val="18"/>
                <w:szCs w:val="18"/>
                <w:color w:val="auto"/>
              </w:rPr>
              <w:t>Indonesia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CID001453</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380" w:type="dxa"/>
            <w:vAlign w:val="bottom"/>
          </w:tcPr>
          <w:p>
            <w:pPr>
              <w:ind w:left="80"/>
              <w:spacing w:after="0"/>
              <w:rPr>
                <w:sz w:val="20"/>
                <w:szCs w:val="20"/>
                <w:color w:val="auto"/>
              </w:rPr>
            </w:pPr>
            <w:r>
              <w:rPr>
                <w:rFonts w:ascii="Arial" w:cs="Arial" w:eastAsia="Arial" w:hAnsi="Arial"/>
                <w:sz w:val="18"/>
                <w:szCs w:val="18"/>
                <w:color w:val="auto"/>
              </w:rPr>
              <w:t>PT Prima Timah Utama</w:t>
            </w:r>
          </w:p>
        </w:tc>
        <w:tc>
          <w:tcPr>
            <w:tcW w:w="2540" w:type="dxa"/>
            <w:vAlign w:val="bottom"/>
          </w:tcPr>
          <w:p>
            <w:pPr>
              <w:ind w:left="320"/>
              <w:spacing w:after="0"/>
              <w:rPr>
                <w:sz w:val="20"/>
                <w:szCs w:val="20"/>
                <w:color w:val="auto"/>
              </w:rPr>
            </w:pPr>
            <w:r>
              <w:rPr>
                <w:rFonts w:ascii="Arial" w:cs="Arial" w:eastAsia="Arial" w:hAnsi="Arial"/>
                <w:sz w:val="18"/>
                <w:szCs w:val="18"/>
                <w:color w:val="auto"/>
              </w:rPr>
              <w:t>Indonesia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CID001458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380" w:type="dxa"/>
            <w:vAlign w:val="bottom"/>
          </w:tcPr>
          <w:p>
            <w:pPr>
              <w:ind w:left="80"/>
              <w:spacing w:after="0"/>
              <w:rPr>
                <w:sz w:val="20"/>
                <w:szCs w:val="20"/>
                <w:color w:val="auto"/>
              </w:rPr>
            </w:pPr>
            <w:r>
              <w:rPr>
                <w:rFonts w:ascii="Arial" w:cs="Arial" w:eastAsia="Arial" w:hAnsi="Arial"/>
                <w:sz w:val="18"/>
                <w:szCs w:val="18"/>
                <w:color w:val="auto"/>
              </w:rPr>
              <w:t>PT Timah Tbk Kundur</w:t>
            </w:r>
          </w:p>
        </w:tc>
        <w:tc>
          <w:tcPr>
            <w:tcW w:w="2540" w:type="dxa"/>
            <w:vAlign w:val="bottom"/>
          </w:tcPr>
          <w:p>
            <w:pPr>
              <w:ind w:left="320"/>
              <w:spacing w:after="0"/>
              <w:rPr>
                <w:sz w:val="20"/>
                <w:szCs w:val="20"/>
                <w:color w:val="auto"/>
              </w:rPr>
            </w:pPr>
            <w:r>
              <w:rPr>
                <w:rFonts w:ascii="Arial" w:cs="Arial" w:eastAsia="Arial" w:hAnsi="Arial"/>
                <w:sz w:val="18"/>
                <w:szCs w:val="18"/>
                <w:color w:val="auto"/>
              </w:rPr>
              <w:t>Indonesia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CID001477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380" w:type="dxa"/>
            <w:vAlign w:val="bottom"/>
          </w:tcPr>
          <w:p>
            <w:pPr>
              <w:ind w:left="80"/>
              <w:spacing w:after="0"/>
              <w:rPr>
                <w:sz w:val="20"/>
                <w:szCs w:val="20"/>
                <w:color w:val="auto"/>
              </w:rPr>
            </w:pPr>
            <w:r>
              <w:rPr>
                <w:rFonts w:ascii="Arial" w:cs="Arial" w:eastAsia="Arial" w:hAnsi="Arial"/>
                <w:sz w:val="18"/>
                <w:szCs w:val="18"/>
                <w:color w:val="auto"/>
              </w:rPr>
              <w:t>PT Timah Tbk Mentok</w:t>
            </w:r>
          </w:p>
        </w:tc>
        <w:tc>
          <w:tcPr>
            <w:tcW w:w="2540" w:type="dxa"/>
            <w:vAlign w:val="bottom"/>
          </w:tcPr>
          <w:p>
            <w:pPr>
              <w:ind w:left="320"/>
              <w:spacing w:after="0"/>
              <w:rPr>
                <w:sz w:val="20"/>
                <w:szCs w:val="20"/>
                <w:color w:val="auto"/>
              </w:rPr>
            </w:pPr>
            <w:r>
              <w:rPr>
                <w:rFonts w:ascii="Arial" w:cs="Arial" w:eastAsia="Arial" w:hAnsi="Arial"/>
                <w:sz w:val="18"/>
                <w:szCs w:val="18"/>
                <w:color w:val="auto"/>
              </w:rPr>
              <w:t>Indonesia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CID001482</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80" w:type="dxa"/>
            <w:vAlign w:val="bottom"/>
          </w:tcPr>
          <w:p>
            <w:pPr>
              <w:ind w:left="80"/>
              <w:spacing w:after="0"/>
              <w:rPr>
                <w:sz w:val="20"/>
                <w:szCs w:val="20"/>
                <w:color w:val="auto"/>
              </w:rPr>
            </w:pPr>
            <w:r>
              <w:rPr>
                <w:rFonts w:ascii="Arial" w:cs="Arial" w:eastAsia="Arial" w:hAnsi="Arial"/>
                <w:sz w:val="18"/>
                <w:szCs w:val="18"/>
                <w:color w:val="auto"/>
              </w:rPr>
              <w:t>PX Precinox S.A.</w:t>
            </w:r>
          </w:p>
        </w:tc>
        <w:tc>
          <w:tcPr>
            <w:tcW w:w="2540" w:type="dxa"/>
            <w:vAlign w:val="bottom"/>
          </w:tcPr>
          <w:p>
            <w:pPr>
              <w:ind w:left="320"/>
              <w:spacing w:after="0"/>
              <w:rPr>
                <w:sz w:val="20"/>
                <w:szCs w:val="20"/>
                <w:color w:val="auto"/>
              </w:rPr>
            </w:pPr>
            <w:r>
              <w:rPr>
                <w:rFonts w:ascii="Arial" w:cs="Arial" w:eastAsia="Arial" w:hAnsi="Arial"/>
                <w:sz w:val="18"/>
                <w:szCs w:val="18"/>
                <w:color w:val="auto"/>
              </w:rPr>
              <w:t>Switzerland</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CID001498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80" w:type="dxa"/>
            <w:vAlign w:val="bottom"/>
          </w:tcPr>
          <w:p>
            <w:pPr>
              <w:ind w:left="80"/>
              <w:spacing w:after="0"/>
              <w:rPr>
                <w:sz w:val="20"/>
                <w:szCs w:val="20"/>
                <w:color w:val="auto"/>
              </w:rPr>
            </w:pPr>
            <w:r>
              <w:rPr>
                <w:rFonts w:ascii="Arial" w:cs="Arial" w:eastAsia="Arial" w:hAnsi="Arial"/>
                <w:sz w:val="18"/>
                <w:szCs w:val="18"/>
                <w:color w:val="auto"/>
              </w:rPr>
              <w:t>Rand Refinery (Pty) Ltd.</w:t>
            </w:r>
          </w:p>
        </w:tc>
        <w:tc>
          <w:tcPr>
            <w:tcW w:w="2540" w:type="dxa"/>
            <w:vAlign w:val="bottom"/>
          </w:tcPr>
          <w:p>
            <w:pPr>
              <w:ind w:left="320"/>
              <w:spacing w:after="0"/>
              <w:rPr>
                <w:sz w:val="20"/>
                <w:szCs w:val="20"/>
                <w:color w:val="auto"/>
              </w:rPr>
            </w:pPr>
            <w:r>
              <w:rPr>
                <w:rFonts w:ascii="Arial" w:cs="Arial" w:eastAsia="Arial" w:hAnsi="Arial"/>
                <w:sz w:val="18"/>
                <w:szCs w:val="18"/>
                <w:color w:val="auto"/>
              </w:rPr>
              <w:t>South Africa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CID001512</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380" w:type="dxa"/>
            <w:vAlign w:val="bottom"/>
          </w:tcPr>
          <w:p>
            <w:pPr>
              <w:ind w:left="80"/>
              <w:spacing w:after="0"/>
              <w:rPr>
                <w:sz w:val="20"/>
                <w:szCs w:val="20"/>
                <w:color w:val="auto"/>
              </w:rPr>
            </w:pPr>
            <w:r>
              <w:rPr>
                <w:rFonts w:ascii="Arial" w:cs="Arial" w:eastAsia="Arial" w:hAnsi="Arial"/>
                <w:sz w:val="18"/>
                <w:szCs w:val="18"/>
                <w:color w:val="auto"/>
              </w:rPr>
              <w:t>Yanling Jincheng Tantalum &amp; Niobium Co., Ltd.</w:t>
            </w:r>
          </w:p>
        </w:tc>
        <w:tc>
          <w:tcPr>
            <w:tcW w:w="2540" w:type="dxa"/>
            <w:vAlign w:val="bottom"/>
          </w:tcPr>
          <w:p>
            <w:pPr>
              <w:ind w:left="32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CID001522</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80" w:type="dxa"/>
            <w:vAlign w:val="bottom"/>
          </w:tcPr>
          <w:p>
            <w:pPr>
              <w:ind w:left="80"/>
              <w:spacing w:after="0"/>
              <w:rPr>
                <w:sz w:val="20"/>
                <w:szCs w:val="20"/>
                <w:color w:val="auto"/>
              </w:rPr>
            </w:pPr>
            <w:r>
              <w:rPr>
                <w:rFonts w:ascii="Arial" w:cs="Arial" w:eastAsia="Arial" w:hAnsi="Arial"/>
                <w:sz w:val="18"/>
                <w:szCs w:val="18"/>
                <w:color w:val="auto"/>
              </w:rPr>
              <w:t>Royal Canadian Mint</w:t>
            </w:r>
          </w:p>
        </w:tc>
        <w:tc>
          <w:tcPr>
            <w:tcW w:w="2540" w:type="dxa"/>
            <w:vAlign w:val="bottom"/>
          </w:tcPr>
          <w:p>
            <w:pPr>
              <w:ind w:left="320"/>
              <w:spacing w:after="0"/>
              <w:rPr>
                <w:sz w:val="20"/>
                <w:szCs w:val="20"/>
                <w:color w:val="auto"/>
              </w:rPr>
            </w:pPr>
            <w:r>
              <w:rPr>
                <w:rFonts w:ascii="Arial" w:cs="Arial" w:eastAsia="Arial" w:hAnsi="Arial"/>
                <w:sz w:val="18"/>
                <w:szCs w:val="18"/>
                <w:color w:val="auto"/>
              </w:rPr>
              <w:t>Canada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CID001534</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380" w:type="dxa"/>
            <w:vAlign w:val="bottom"/>
          </w:tcPr>
          <w:p>
            <w:pPr>
              <w:ind w:left="80"/>
              <w:spacing w:after="0"/>
              <w:rPr>
                <w:sz w:val="20"/>
                <w:szCs w:val="20"/>
                <w:color w:val="auto"/>
              </w:rPr>
            </w:pPr>
            <w:r>
              <w:rPr>
                <w:rFonts w:ascii="Arial" w:cs="Arial" w:eastAsia="Arial" w:hAnsi="Arial"/>
                <w:sz w:val="18"/>
                <w:szCs w:val="18"/>
                <w:color w:val="auto"/>
              </w:rPr>
              <w:t>Rui Da Hung</w:t>
            </w:r>
          </w:p>
        </w:tc>
        <w:tc>
          <w:tcPr>
            <w:tcW w:w="2540" w:type="dxa"/>
            <w:vAlign w:val="bottom"/>
          </w:tcPr>
          <w:p>
            <w:pPr>
              <w:ind w:left="320"/>
              <w:spacing w:after="0"/>
              <w:rPr>
                <w:sz w:val="20"/>
                <w:szCs w:val="20"/>
                <w:color w:val="auto"/>
              </w:rPr>
            </w:pPr>
            <w:r>
              <w:rPr>
                <w:rFonts w:ascii="Arial" w:cs="Arial" w:eastAsia="Arial" w:hAnsi="Arial"/>
                <w:sz w:val="18"/>
                <w:szCs w:val="18"/>
                <w:color w:val="auto"/>
              </w:rPr>
              <w:t>Taiwan, Province Of 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CID001539</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80" w:type="dxa"/>
            <w:vAlign w:val="bottom"/>
          </w:tcPr>
          <w:p>
            <w:pPr>
              <w:ind w:left="80"/>
              <w:spacing w:after="0"/>
              <w:rPr>
                <w:sz w:val="20"/>
                <w:szCs w:val="20"/>
                <w:color w:val="auto"/>
              </w:rPr>
            </w:pPr>
            <w:r>
              <w:rPr>
                <w:rFonts w:ascii="Arial" w:cs="Arial" w:eastAsia="Arial" w:hAnsi="Arial"/>
                <w:sz w:val="18"/>
                <w:szCs w:val="18"/>
                <w:color w:val="auto"/>
              </w:rPr>
              <w:t>SEMPSA Joyeria Plateria S.A.</w:t>
            </w:r>
          </w:p>
        </w:tc>
        <w:tc>
          <w:tcPr>
            <w:tcW w:w="2540" w:type="dxa"/>
            <w:vAlign w:val="bottom"/>
          </w:tcPr>
          <w:p>
            <w:pPr>
              <w:ind w:left="320"/>
              <w:spacing w:after="0"/>
              <w:rPr>
                <w:sz w:val="20"/>
                <w:szCs w:val="20"/>
                <w:color w:val="auto"/>
              </w:rPr>
            </w:pPr>
            <w:r>
              <w:rPr>
                <w:rFonts w:ascii="Arial" w:cs="Arial" w:eastAsia="Arial" w:hAnsi="Arial"/>
                <w:sz w:val="18"/>
                <w:szCs w:val="18"/>
                <w:color w:val="auto"/>
              </w:rPr>
              <w:t>Spain</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CID001585</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80" w:type="dxa"/>
            <w:vAlign w:val="bottom"/>
          </w:tcPr>
          <w:p>
            <w:pPr>
              <w:ind w:left="80"/>
              <w:spacing w:after="0"/>
              <w:rPr>
                <w:sz w:val="20"/>
                <w:szCs w:val="20"/>
                <w:color w:val="auto"/>
              </w:rPr>
            </w:pPr>
            <w:r>
              <w:rPr>
                <w:rFonts w:ascii="Arial" w:cs="Arial" w:eastAsia="Arial" w:hAnsi="Arial"/>
                <w:sz w:val="18"/>
                <w:szCs w:val="18"/>
                <w:color w:val="auto"/>
              </w:rPr>
              <w:t>Shandong Zhaojin Gold &amp; Silver Refinery Co., Ltd.</w:t>
            </w:r>
          </w:p>
        </w:tc>
        <w:tc>
          <w:tcPr>
            <w:tcW w:w="2540" w:type="dxa"/>
            <w:vAlign w:val="bottom"/>
          </w:tcPr>
          <w:p>
            <w:pPr>
              <w:ind w:left="32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CID001622</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80" w:type="dxa"/>
            <w:vAlign w:val="bottom"/>
          </w:tcPr>
          <w:p>
            <w:pPr>
              <w:ind w:left="80"/>
              <w:spacing w:after="0"/>
              <w:rPr>
                <w:sz w:val="20"/>
                <w:szCs w:val="20"/>
                <w:color w:val="auto"/>
              </w:rPr>
            </w:pPr>
            <w:r>
              <w:rPr>
                <w:rFonts w:ascii="Arial" w:cs="Arial" w:eastAsia="Arial" w:hAnsi="Arial"/>
                <w:sz w:val="18"/>
                <w:szCs w:val="18"/>
                <w:color w:val="auto"/>
              </w:rPr>
              <w:t>Sichuan Tianze Precious Metals Co., Ltd.</w:t>
            </w:r>
          </w:p>
        </w:tc>
        <w:tc>
          <w:tcPr>
            <w:tcW w:w="2540" w:type="dxa"/>
            <w:vAlign w:val="bottom"/>
          </w:tcPr>
          <w:p>
            <w:pPr>
              <w:ind w:left="32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CID001736</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80" w:type="dxa"/>
            <w:vAlign w:val="bottom"/>
          </w:tcPr>
          <w:p>
            <w:pPr>
              <w:ind w:left="80"/>
              <w:spacing w:after="0"/>
              <w:rPr>
                <w:sz w:val="20"/>
                <w:szCs w:val="20"/>
                <w:color w:val="auto"/>
              </w:rPr>
            </w:pPr>
            <w:r>
              <w:rPr>
                <w:rFonts w:ascii="Arial" w:cs="Arial" w:eastAsia="Arial" w:hAnsi="Arial"/>
                <w:sz w:val="18"/>
                <w:szCs w:val="18"/>
                <w:color w:val="auto"/>
              </w:rPr>
              <w:t>Solar Applied Materials Technology Corp.</w:t>
            </w:r>
          </w:p>
        </w:tc>
        <w:tc>
          <w:tcPr>
            <w:tcW w:w="2540" w:type="dxa"/>
            <w:vAlign w:val="bottom"/>
          </w:tcPr>
          <w:p>
            <w:pPr>
              <w:ind w:left="320"/>
              <w:spacing w:after="0"/>
              <w:rPr>
                <w:sz w:val="20"/>
                <w:szCs w:val="20"/>
                <w:color w:val="auto"/>
              </w:rPr>
            </w:pPr>
            <w:r>
              <w:rPr>
                <w:rFonts w:ascii="Arial" w:cs="Arial" w:eastAsia="Arial" w:hAnsi="Arial"/>
                <w:sz w:val="18"/>
                <w:szCs w:val="18"/>
                <w:color w:val="auto"/>
              </w:rPr>
              <w:t>Taiwan, Province Of 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CID001761</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80" w:type="dxa"/>
            <w:vAlign w:val="bottom"/>
          </w:tcPr>
          <w:p>
            <w:pPr>
              <w:ind w:left="80"/>
              <w:spacing w:after="0"/>
              <w:rPr>
                <w:sz w:val="20"/>
                <w:szCs w:val="20"/>
                <w:color w:val="auto"/>
              </w:rPr>
            </w:pPr>
            <w:r>
              <w:rPr>
                <w:rFonts w:ascii="Arial" w:cs="Arial" w:eastAsia="Arial" w:hAnsi="Arial"/>
                <w:sz w:val="18"/>
                <w:szCs w:val="18"/>
                <w:color w:val="auto"/>
              </w:rPr>
              <w:t>Sumitomo Metal Mining Co., Ltd.</w:t>
            </w:r>
          </w:p>
        </w:tc>
        <w:tc>
          <w:tcPr>
            <w:tcW w:w="2540" w:type="dxa"/>
            <w:vAlign w:val="bottom"/>
          </w:tcPr>
          <w:p>
            <w:pPr>
              <w:ind w:left="320"/>
              <w:spacing w:after="0"/>
              <w:rPr>
                <w:sz w:val="20"/>
                <w:szCs w:val="20"/>
                <w:color w:val="auto"/>
              </w:rPr>
            </w:pPr>
            <w:r>
              <w:rPr>
                <w:rFonts w:ascii="Arial" w:cs="Arial" w:eastAsia="Arial" w:hAnsi="Arial"/>
                <w:sz w:val="18"/>
                <w:szCs w:val="18"/>
                <w:color w:val="auto"/>
              </w:rPr>
              <w:t>Japan</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CID001798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380" w:type="dxa"/>
            <w:vAlign w:val="bottom"/>
          </w:tcPr>
          <w:p>
            <w:pPr>
              <w:ind w:left="80"/>
              <w:spacing w:after="0"/>
              <w:rPr>
                <w:sz w:val="20"/>
                <w:szCs w:val="20"/>
                <w:color w:val="auto"/>
              </w:rPr>
            </w:pPr>
            <w:r>
              <w:rPr>
                <w:rFonts w:ascii="Arial" w:cs="Arial" w:eastAsia="Arial" w:hAnsi="Arial"/>
                <w:sz w:val="18"/>
                <w:szCs w:val="18"/>
                <w:color w:val="auto"/>
              </w:rPr>
              <w:t>Taki Chemical Co., Ltd.</w:t>
            </w:r>
          </w:p>
        </w:tc>
        <w:tc>
          <w:tcPr>
            <w:tcW w:w="2540" w:type="dxa"/>
            <w:vAlign w:val="bottom"/>
          </w:tcPr>
          <w:p>
            <w:pPr>
              <w:ind w:left="320"/>
              <w:spacing w:after="0"/>
              <w:rPr>
                <w:sz w:val="20"/>
                <w:szCs w:val="20"/>
                <w:color w:val="auto"/>
              </w:rPr>
            </w:pPr>
            <w:r>
              <w:rPr>
                <w:rFonts w:ascii="Arial" w:cs="Arial" w:eastAsia="Arial" w:hAnsi="Arial"/>
                <w:sz w:val="18"/>
                <w:szCs w:val="18"/>
                <w:color w:val="auto"/>
              </w:rPr>
              <w:t>Japan</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CID001869</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80" w:type="dxa"/>
            <w:vAlign w:val="bottom"/>
          </w:tcPr>
          <w:p>
            <w:pPr>
              <w:ind w:left="80"/>
              <w:spacing w:after="0"/>
              <w:rPr>
                <w:sz w:val="20"/>
                <w:szCs w:val="20"/>
                <w:color w:val="auto"/>
              </w:rPr>
            </w:pPr>
            <w:r>
              <w:rPr>
                <w:rFonts w:ascii="Arial" w:cs="Arial" w:eastAsia="Arial" w:hAnsi="Arial"/>
                <w:sz w:val="18"/>
                <w:szCs w:val="18"/>
                <w:color w:val="auto"/>
              </w:rPr>
              <w:t>Tanaka Kikinzoku Kogyo K.K.</w:t>
            </w:r>
          </w:p>
        </w:tc>
        <w:tc>
          <w:tcPr>
            <w:tcW w:w="2540" w:type="dxa"/>
            <w:vAlign w:val="bottom"/>
          </w:tcPr>
          <w:p>
            <w:pPr>
              <w:ind w:left="320"/>
              <w:spacing w:after="0"/>
              <w:rPr>
                <w:sz w:val="20"/>
                <w:szCs w:val="20"/>
                <w:color w:val="auto"/>
              </w:rPr>
            </w:pPr>
            <w:r>
              <w:rPr>
                <w:rFonts w:ascii="Arial" w:cs="Arial" w:eastAsia="Arial" w:hAnsi="Arial"/>
                <w:sz w:val="18"/>
                <w:szCs w:val="18"/>
                <w:color w:val="auto"/>
              </w:rPr>
              <w:t>Japan</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CID001875</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380" w:type="dxa"/>
            <w:vAlign w:val="bottom"/>
          </w:tcPr>
          <w:p>
            <w:pPr>
              <w:ind w:left="80"/>
              <w:spacing w:after="0"/>
              <w:rPr>
                <w:sz w:val="20"/>
                <w:szCs w:val="20"/>
                <w:color w:val="auto"/>
              </w:rPr>
            </w:pPr>
            <w:r>
              <w:rPr>
                <w:rFonts w:ascii="Arial" w:cs="Arial" w:eastAsia="Arial" w:hAnsi="Arial"/>
                <w:sz w:val="18"/>
                <w:szCs w:val="18"/>
                <w:color w:val="auto"/>
              </w:rPr>
              <w:t>Telex Metals</w:t>
            </w:r>
          </w:p>
        </w:tc>
        <w:tc>
          <w:tcPr>
            <w:tcW w:w="2540" w:type="dxa"/>
            <w:vAlign w:val="bottom"/>
          </w:tcPr>
          <w:p>
            <w:pPr>
              <w:ind w:left="320"/>
              <w:spacing w:after="0"/>
              <w:rPr>
                <w:sz w:val="20"/>
                <w:szCs w:val="20"/>
                <w:color w:val="auto"/>
              </w:rPr>
            </w:pPr>
            <w:r>
              <w:rPr>
                <w:rFonts w:ascii="Arial" w:cs="Arial" w:eastAsia="Arial" w:hAnsi="Arial"/>
                <w:sz w:val="18"/>
                <w:szCs w:val="18"/>
                <w:color w:val="auto"/>
              </w:rPr>
              <w:t>United States Of America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CID001891</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380" w:type="dxa"/>
            <w:vAlign w:val="bottom"/>
          </w:tcPr>
          <w:p>
            <w:pPr>
              <w:ind w:left="80"/>
              <w:spacing w:after="0"/>
              <w:rPr>
                <w:sz w:val="20"/>
                <w:szCs w:val="20"/>
                <w:color w:val="auto"/>
              </w:rPr>
            </w:pPr>
            <w:r>
              <w:rPr>
                <w:rFonts w:ascii="Arial" w:cs="Arial" w:eastAsia="Arial" w:hAnsi="Arial"/>
                <w:sz w:val="18"/>
                <w:szCs w:val="18"/>
                <w:color w:val="auto"/>
              </w:rPr>
              <w:t>Thaisarco</w:t>
            </w:r>
          </w:p>
        </w:tc>
        <w:tc>
          <w:tcPr>
            <w:tcW w:w="2540" w:type="dxa"/>
            <w:vAlign w:val="bottom"/>
          </w:tcPr>
          <w:p>
            <w:pPr>
              <w:ind w:left="320"/>
              <w:spacing w:after="0"/>
              <w:rPr>
                <w:sz w:val="20"/>
                <w:szCs w:val="20"/>
                <w:color w:val="auto"/>
              </w:rPr>
            </w:pPr>
            <w:r>
              <w:rPr>
                <w:rFonts w:ascii="Arial" w:cs="Arial" w:eastAsia="Arial" w:hAnsi="Arial"/>
                <w:sz w:val="18"/>
                <w:szCs w:val="18"/>
                <w:color w:val="auto"/>
              </w:rPr>
              <w:t>Thailand</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CID001898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bl>
    <w:p>
      <w:pPr>
        <w:sectPr>
          <w:pgSz w:w="11900" w:h="16838" w:orient="portrait"/>
          <w:cols w:equalWidth="0" w:num="1">
            <w:col w:w="10019"/>
          </w:cols>
          <w:pgMar w:left="440" w:top="269" w:right="1440"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Shandong Gold Smelting Co., Ltd.</w:t>
            </w:r>
          </w:p>
        </w:tc>
        <w:tc>
          <w:tcPr>
            <w:tcW w:w="2320" w:type="dxa"/>
            <w:vAlign w:val="bottom"/>
          </w:tcPr>
          <w:p>
            <w:pPr>
              <w:ind w:left="14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CID001916</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Tokuriki Honten Co., Ltd.</w:t>
            </w:r>
          </w:p>
        </w:tc>
        <w:tc>
          <w:tcPr>
            <w:tcW w:w="2320" w:type="dxa"/>
            <w:vAlign w:val="bottom"/>
          </w:tcPr>
          <w:p>
            <w:pPr>
              <w:ind w:left="140"/>
              <w:spacing w:after="0"/>
              <w:rPr>
                <w:sz w:val="20"/>
                <w:szCs w:val="20"/>
                <w:color w:val="auto"/>
              </w:rPr>
            </w:pPr>
            <w:r>
              <w:rPr>
                <w:rFonts w:ascii="Arial" w:cs="Arial" w:eastAsia="Arial" w:hAnsi="Arial"/>
                <w:sz w:val="18"/>
                <w:szCs w:val="18"/>
                <w:color w:val="auto"/>
              </w:rPr>
              <w:t>Japan</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CID001938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560" w:type="dxa"/>
            <w:vAlign w:val="bottom"/>
          </w:tcPr>
          <w:p>
            <w:pPr>
              <w:ind w:left="80"/>
              <w:spacing w:after="0"/>
              <w:rPr>
                <w:sz w:val="20"/>
                <w:szCs w:val="20"/>
                <w:color w:val="auto"/>
              </w:rPr>
            </w:pPr>
            <w:r>
              <w:rPr>
                <w:rFonts w:ascii="Arial" w:cs="Arial" w:eastAsia="Arial" w:hAnsi="Arial"/>
                <w:sz w:val="18"/>
                <w:szCs w:val="18"/>
                <w:color w:val="auto"/>
              </w:rPr>
              <w:t>Ulba Metallurgical Plant JSC</w:t>
            </w:r>
          </w:p>
        </w:tc>
        <w:tc>
          <w:tcPr>
            <w:tcW w:w="2320" w:type="dxa"/>
            <w:vAlign w:val="bottom"/>
          </w:tcPr>
          <w:p>
            <w:pPr>
              <w:ind w:left="140"/>
              <w:spacing w:after="0"/>
              <w:rPr>
                <w:sz w:val="20"/>
                <w:szCs w:val="20"/>
                <w:color w:val="auto"/>
              </w:rPr>
            </w:pPr>
            <w:r>
              <w:rPr>
                <w:rFonts w:ascii="Arial" w:cs="Arial" w:eastAsia="Arial" w:hAnsi="Arial"/>
                <w:sz w:val="18"/>
                <w:szCs w:val="18"/>
                <w:color w:val="auto"/>
              </w:rPr>
              <w:t>Kazakhstan</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CID001969</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Umicore S.A. Business Unit Precious Metals Refining</w:t>
            </w:r>
          </w:p>
        </w:tc>
        <w:tc>
          <w:tcPr>
            <w:tcW w:w="2320" w:type="dxa"/>
            <w:vAlign w:val="bottom"/>
          </w:tcPr>
          <w:p>
            <w:pPr>
              <w:ind w:left="140"/>
              <w:spacing w:after="0"/>
              <w:rPr>
                <w:sz w:val="20"/>
                <w:szCs w:val="20"/>
                <w:color w:val="auto"/>
              </w:rPr>
            </w:pPr>
            <w:r>
              <w:rPr>
                <w:rFonts w:ascii="Arial" w:cs="Arial" w:eastAsia="Arial" w:hAnsi="Arial"/>
                <w:sz w:val="18"/>
                <w:szCs w:val="18"/>
                <w:color w:val="auto"/>
              </w:rPr>
              <w:t>Belgium</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CID001980</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United Precious Metal Refining, Inc.</w:t>
            </w:r>
          </w:p>
        </w:tc>
        <w:tc>
          <w:tcPr>
            <w:tcW w:w="2320" w:type="dxa"/>
            <w:vAlign w:val="bottom"/>
          </w:tcPr>
          <w:p>
            <w:pPr>
              <w:ind w:left="140"/>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CID001993</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Valcambi S.A.</w:t>
            </w:r>
          </w:p>
        </w:tc>
        <w:tc>
          <w:tcPr>
            <w:tcW w:w="2320" w:type="dxa"/>
            <w:vAlign w:val="bottom"/>
          </w:tcPr>
          <w:p>
            <w:pPr>
              <w:ind w:left="140"/>
              <w:spacing w:after="0"/>
              <w:rPr>
                <w:sz w:val="20"/>
                <w:szCs w:val="20"/>
                <w:color w:val="auto"/>
              </w:rPr>
            </w:pPr>
            <w:r>
              <w:rPr>
                <w:rFonts w:ascii="Arial" w:cs="Arial" w:eastAsia="Arial" w:hAnsi="Arial"/>
                <w:sz w:val="18"/>
                <w:szCs w:val="18"/>
                <w:color w:val="auto"/>
              </w:rPr>
              <w:t>Switzerland</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CID002003</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Western Australian Mint (T/a The Perth Mint)</w:t>
            </w:r>
          </w:p>
        </w:tc>
        <w:tc>
          <w:tcPr>
            <w:tcW w:w="2320" w:type="dxa"/>
            <w:vAlign w:val="bottom"/>
          </w:tcPr>
          <w:p>
            <w:pPr>
              <w:ind w:left="140"/>
              <w:spacing w:after="0"/>
              <w:rPr>
                <w:sz w:val="20"/>
                <w:szCs w:val="20"/>
                <w:color w:val="auto"/>
              </w:rPr>
            </w:pPr>
            <w:r>
              <w:rPr>
                <w:rFonts w:ascii="Arial" w:cs="Arial" w:eastAsia="Arial" w:hAnsi="Arial"/>
                <w:sz w:val="18"/>
                <w:szCs w:val="18"/>
                <w:color w:val="auto"/>
              </w:rPr>
              <w:t>Australia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CID002030</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560" w:type="dxa"/>
            <w:vAlign w:val="bottom"/>
          </w:tcPr>
          <w:p>
            <w:pPr>
              <w:ind w:left="80"/>
              <w:spacing w:after="0"/>
              <w:rPr>
                <w:sz w:val="20"/>
                <w:szCs w:val="20"/>
                <w:color w:val="auto"/>
              </w:rPr>
            </w:pPr>
            <w:r>
              <w:rPr>
                <w:rFonts w:ascii="Arial" w:cs="Arial" w:eastAsia="Arial" w:hAnsi="Arial"/>
                <w:sz w:val="18"/>
                <w:szCs w:val="18"/>
                <w:color w:val="auto"/>
              </w:rPr>
              <w:t>White Solder Metalurgia e Mineracao Ltda.</w:t>
            </w:r>
          </w:p>
        </w:tc>
        <w:tc>
          <w:tcPr>
            <w:tcW w:w="2320" w:type="dxa"/>
            <w:vAlign w:val="bottom"/>
          </w:tcPr>
          <w:p>
            <w:pPr>
              <w:ind w:left="140"/>
              <w:spacing w:after="0"/>
              <w:rPr>
                <w:sz w:val="20"/>
                <w:szCs w:val="20"/>
                <w:color w:val="auto"/>
              </w:rPr>
            </w:pPr>
            <w:r>
              <w:rPr>
                <w:rFonts w:ascii="Arial" w:cs="Arial" w:eastAsia="Arial" w:hAnsi="Arial"/>
                <w:sz w:val="18"/>
                <w:szCs w:val="18"/>
                <w:color w:val="auto"/>
              </w:rPr>
              <w:t>Brazil</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CID002036</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560" w:type="dxa"/>
            <w:vAlign w:val="bottom"/>
          </w:tcPr>
          <w:p>
            <w:pPr>
              <w:ind w:left="80"/>
              <w:spacing w:after="0"/>
              <w:rPr>
                <w:sz w:val="20"/>
                <w:szCs w:val="20"/>
                <w:color w:val="auto"/>
              </w:rPr>
            </w:pPr>
            <w:r>
              <w:rPr>
                <w:rFonts w:ascii="Arial" w:cs="Arial" w:eastAsia="Arial" w:hAnsi="Arial"/>
                <w:sz w:val="18"/>
                <w:szCs w:val="18"/>
                <w:color w:val="auto"/>
              </w:rPr>
              <w:t>Wolfram Bergbau und Hutten AG</w:t>
            </w:r>
          </w:p>
        </w:tc>
        <w:tc>
          <w:tcPr>
            <w:tcW w:w="2320" w:type="dxa"/>
            <w:vAlign w:val="bottom"/>
          </w:tcPr>
          <w:p>
            <w:pPr>
              <w:ind w:left="140"/>
              <w:spacing w:after="0"/>
              <w:rPr>
                <w:sz w:val="20"/>
                <w:szCs w:val="20"/>
                <w:color w:val="auto"/>
              </w:rPr>
            </w:pPr>
            <w:r>
              <w:rPr>
                <w:rFonts w:ascii="Arial" w:cs="Arial" w:eastAsia="Arial" w:hAnsi="Arial"/>
                <w:sz w:val="18"/>
                <w:szCs w:val="18"/>
                <w:color w:val="auto"/>
              </w:rPr>
              <w:t>Austria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CID002044</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560" w:type="dxa"/>
            <w:vAlign w:val="bottom"/>
          </w:tcPr>
          <w:p>
            <w:pPr>
              <w:ind w:left="80"/>
              <w:spacing w:after="0"/>
              <w:rPr>
                <w:sz w:val="20"/>
                <w:szCs w:val="20"/>
                <w:color w:val="auto"/>
              </w:rPr>
            </w:pPr>
            <w:r>
              <w:rPr>
                <w:rFonts w:ascii="Arial" w:cs="Arial" w:eastAsia="Arial" w:hAnsi="Arial"/>
                <w:sz w:val="18"/>
                <w:szCs w:val="18"/>
                <w:color w:val="auto"/>
              </w:rPr>
              <w:t>Xiamen Tungsten Co., Ltd.</w:t>
            </w:r>
          </w:p>
        </w:tc>
        <w:tc>
          <w:tcPr>
            <w:tcW w:w="2320" w:type="dxa"/>
            <w:vAlign w:val="bottom"/>
          </w:tcPr>
          <w:p>
            <w:pPr>
              <w:ind w:left="14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CID002082</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Yamakin Co., Ltd.</w:t>
            </w:r>
          </w:p>
        </w:tc>
        <w:tc>
          <w:tcPr>
            <w:tcW w:w="2320" w:type="dxa"/>
            <w:vAlign w:val="bottom"/>
          </w:tcPr>
          <w:p>
            <w:pPr>
              <w:ind w:left="140"/>
              <w:spacing w:after="0"/>
              <w:rPr>
                <w:sz w:val="20"/>
                <w:szCs w:val="20"/>
                <w:color w:val="auto"/>
              </w:rPr>
            </w:pPr>
            <w:r>
              <w:rPr>
                <w:rFonts w:ascii="Arial" w:cs="Arial" w:eastAsia="Arial" w:hAnsi="Arial"/>
                <w:sz w:val="18"/>
                <w:szCs w:val="18"/>
                <w:color w:val="auto"/>
              </w:rPr>
              <w:t>Japan</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CID002100</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Yokohama Metal Co., Ltd.</w:t>
            </w:r>
          </w:p>
        </w:tc>
        <w:tc>
          <w:tcPr>
            <w:tcW w:w="2320" w:type="dxa"/>
            <w:vAlign w:val="bottom"/>
          </w:tcPr>
          <w:p>
            <w:pPr>
              <w:ind w:left="140"/>
              <w:spacing w:after="0"/>
              <w:rPr>
                <w:sz w:val="20"/>
                <w:szCs w:val="20"/>
                <w:color w:val="auto"/>
              </w:rPr>
            </w:pPr>
            <w:r>
              <w:rPr>
                <w:rFonts w:ascii="Arial" w:cs="Arial" w:eastAsia="Arial" w:hAnsi="Arial"/>
                <w:sz w:val="18"/>
                <w:szCs w:val="18"/>
                <w:color w:val="auto"/>
              </w:rPr>
              <w:t>Japan</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CID002129</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560" w:type="dxa"/>
            <w:vAlign w:val="bottom"/>
          </w:tcPr>
          <w:p>
            <w:pPr>
              <w:ind w:left="80"/>
              <w:spacing w:after="0"/>
              <w:rPr>
                <w:sz w:val="20"/>
                <w:szCs w:val="20"/>
                <w:color w:val="auto"/>
              </w:rPr>
            </w:pPr>
            <w:r>
              <w:rPr>
                <w:rFonts w:ascii="Arial" w:cs="Arial" w:eastAsia="Arial" w:hAnsi="Arial"/>
                <w:sz w:val="18"/>
                <w:szCs w:val="18"/>
                <w:color w:val="auto"/>
              </w:rPr>
              <w:t>Tin Smelting Branch of Yunnan Tin Co., Ltd.</w:t>
            </w:r>
          </w:p>
        </w:tc>
        <w:tc>
          <w:tcPr>
            <w:tcW w:w="2320" w:type="dxa"/>
            <w:vAlign w:val="bottom"/>
          </w:tcPr>
          <w:p>
            <w:pPr>
              <w:ind w:left="14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CID002180</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Zhongyuan Gold Smelter of Zhongjin Gold Corporation</w:t>
            </w:r>
          </w:p>
        </w:tc>
        <w:tc>
          <w:tcPr>
            <w:tcW w:w="2320" w:type="dxa"/>
            <w:vAlign w:val="bottom"/>
          </w:tcPr>
          <w:p>
            <w:pPr>
              <w:ind w:left="14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CID002224</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SAFINA A.S.</w:t>
            </w:r>
          </w:p>
        </w:tc>
        <w:tc>
          <w:tcPr>
            <w:tcW w:w="2320" w:type="dxa"/>
            <w:vAlign w:val="bottom"/>
          </w:tcPr>
          <w:p>
            <w:pPr>
              <w:ind w:left="140"/>
              <w:spacing w:after="0"/>
              <w:rPr>
                <w:sz w:val="20"/>
                <w:szCs w:val="20"/>
                <w:color w:val="auto"/>
              </w:rPr>
            </w:pPr>
            <w:r>
              <w:rPr>
                <w:rFonts w:ascii="Arial" w:cs="Arial" w:eastAsia="Arial" w:hAnsi="Arial"/>
                <w:sz w:val="18"/>
                <w:szCs w:val="18"/>
                <w:color w:val="auto"/>
              </w:rPr>
              <w:t>Czechia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CID002290</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560" w:type="dxa"/>
            <w:vAlign w:val="bottom"/>
          </w:tcPr>
          <w:p>
            <w:pPr>
              <w:ind w:left="80"/>
              <w:spacing w:after="0"/>
              <w:rPr>
                <w:sz w:val="20"/>
                <w:szCs w:val="20"/>
                <w:color w:val="auto"/>
              </w:rPr>
            </w:pPr>
            <w:r>
              <w:rPr>
                <w:rFonts w:ascii="Arial" w:cs="Arial" w:eastAsia="Arial" w:hAnsi="Arial"/>
                <w:sz w:val="18"/>
                <w:szCs w:val="18"/>
                <w:color w:val="auto"/>
              </w:rPr>
              <w:t>Jiangxi Yaosheng Tungsten Co., Ltd.</w:t>
            </w:r>
          </w:p>
        </w:tc>
        <w:tc>
          <w:tcPr>
            <w:tcW w:w="2320" w:type="dxa"/>
            <w:vAlign w:val="bottom"/>
          </w:tcPr>
          <w:p>
            <w:pPr>
              <w:ind w:left="14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CID002316</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560" w:type="dxa"/>
            <w:vAlign w:val="bottom"/>
          </w:tcPr>
          <w:p>
            <w:pPr>
              <w:ind w:left="80"/>
              <w:spacing w:after="0"/>
              <w:rPr>
                <w:sz w:val="20"/>
                <w:szCs w:val="20"/>
                <w:color w:val="auto"/>
              </w:rPr>
            </w:pPr>
            <w:r>
              <w:rPr>
                <w:rFonts w:ascii="Arial" w:cs="Arial" w:eastAsia="Arial" w:hAnsi="Arial"/>
                <w:sz w:val="18"/>
                <w:szCs w:val="18"/>
                <w:color w:val="auto"/>
              </w:rPr>
              <w:t>Jiangxi Xinsheng Tungsten Industry Co., Ltd.</w:t>
            </w:r>
          </w:p>
        </w:tc>
        <w:tc>
          <w:tcPr>
            <w:tcW w:w="2320" w:type="dxa"/>
            <w:vAlign w:val="bottom"/>
          </w:tcPr>
          <w:p>
            <w:pPr>
              <w:ind w:left="14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CID002317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560" w:type="dxa"/>
            <w:vAlign w:val="bottom"/>
          </w:tcPr>
          <w:p>
            <w:pPr>
              <w:ind w:left="80"/>
              <w:spacing w:after="0"/>
              <w:rPr>
                <w:sz w:val="20"/>
                <w:szCs w:val="20"/>
                <w:color w:val="auto"/>
              </w:rPr>
            </w:pPr>
            <w:r>
              <w:rPr>
                <w:rFonts w:ascii="Arial" w:cs="Arial" w:eastAsia="Arial" w:hAnsi="Arial"/>
                <w:sz w:val="18"/>
                <w:szCs w:val="18"/>
                <w:color w:val="auto"/>
              </w:rPr>
              <w:t>Malipo Haiyu Tungsten Co., Ltd.</w:t>
            </w:r>
          </w:p>
        </w:tc>
        <w:tc>
          <w:tcPr>
            <w:tcW w:w="2320" w:type="dxa"/>
            <w:vAlign w:val="bottom"/>
          </w:tcPr>
          <w:p>
            <w:pPr>
              <w:ind w:left="14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CID002319</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560" w:type="dxa"/>
            <w:vAlign w:val="bottom"/>
          </w:tcPr>
          <w:p>
            <w:pPr>
              <w:ind w:left="80"/>
              <w:spacing w:after="0"/>
              <w:rPr>
                <w:sz w:val="20"/>
                <w:szCs w:val="20"/>
                <w:color w:val="auto"/>
              </w:rPr>
            </w:pPr>
            <w:r>
              <w:rPr>
                <w:rFonts w:ascii="Arial" w:cs="Arial" w:eastAsia="Arial" w:hAnsi="Arial"/>
                <w:sz w:val="18"/>
                <w:szCs w:val="18"/>
                <w:color w:val="auto"/>
              </w:rPr>
              <w:t>Xiamen Tungsten (H.C.) Co., Ltd.</w:t>
            </w:r>
          </w:p>
        </w:tc>
        <w:tc>
          <w:tcPr>
            <w:tcW w:w="2320" w:type="dxa"/>
            <w:vAlign w:val="bottom"/>
          </w:tcPr>
          <w:p>
            <w:pPr>
              <w:ind w:left="14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CID002320</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560" w:type="dxa"/>
            <w:vAlign w:val="bottom"/>
          </w:tcPr>
          <w:p>
            <w:pPr>
              <w:ind w:left="80"/>
              <w:spacing w:after="0"/>
              <w:rPr>
                <w:sz w:val="20"/>
                <w:szCs w:val="20"/>
                <w:color w:val="auto"/>
              </w:rPr>
            </w:pPr>
            <w:r>
              <w:rPr>
                <w:rFonts w:ascii="Arial" w:cs="Arial" w:eastAsia="Arial" w:hAnsi="Arial"/>
                <w:sz w:val="18"/>
                <w:szCs w:val="18"/>
                <w:color w:val="auto"/>
              </w:rPr>
              <w:t>Jiangxi Gan Bei Tungsten Co., Ltd.</w:t>
            </w:r>
          </w:p>
        </w:tc>
        <w:tc>
          <w:tcPr>
            <w:tcW w:w="2320" w:type="dxa"/>
            <w:vAlign w:val="bottom"/>
          </w:tcPr>
          <w:p>
            <w:pPr>
              <w:ind w:left="14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CID002321</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560" w:type="dxa"/>
            <w:vAlign w:val="bottom"/>
          </w:tcPr>
          <w:p>
            <w:pPr>
              <w:ind w:left="80"/>
              <w:spacing w:after="0"/>
              <w:rPr>
                <w:sz w:val="20"/>
                <w:szCs w:val="20"/>
                <w:color w:val="auto"/>
              </w:rPr>
            </w:pPr>
            <w:r>
              <w:rPr>
                <w:rFonts w:ascii="Arial" w:cs="Arial" w:eastAsia="Arial" w:hAnsi="Arial"/>
                <w:sz w:val="18"/>
                <w:szCs w:val="18"/>
                <w:color w:val="auto"/>
              </w:rPr>
              <w:t>Magnu’s Minerais Metais e Ligas Ltda.</w:t>
            </w:r>
          </w:p>
        </w:tc>
        <w:tc>
          <w:tcPr>
            <w:tcW w:w="2320" w:type="dxa"/>
            <w:vAlign w:val="bottom"/>
          </w:tcPr>
          <w:p>
            <w:pPr>
              <w:ind w:left="140"/>
              <w:spacing w:after="0"/>
              <w:rPr>
                <w:sz w:val="20"/>
                <w:szCs w:val="20"/>
                <w:color w:val="auto"/>
              </w:rPr>
            </w:pPr>
            <w:r>
              <w:rPr>
                <w:rFonts w:ascii="Arial" w:cs="Arial" w:eastAsia="Arial" w:hAnsi="Arial"/>
                <w:sz w:val="18"/>
                <w:szCs w:val="18"/>
                <w:color w:val="auto"/>
              </w:rPr>
              <w:t>Brazil</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CID002468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560" w:type="dxa"/>
            <w:vAlign w:val="bottom"/>
          </w:tcPr>
          <w:p>
            <w:pPr>
              <w:ind w:left="80"/>
              <w:spacing w:after="0"/>
              <w:rPr>
                <w:sz w:val="20"/>
                <w:szCs w:val="20"/>
                <w:color w:val="auto"/>
              </w:rPr>
            </w:pPr>
            <w:r>
              <w:rPr>
                <w:rFonts w:ascii="Arial" w:cs="Arial" w:eastAsia="Arial" w:hAnsi="Arial"/>
                <w:sz w:val="18"/>
                <w:szCs w:val="18"/>
                <w:color w:val="auto"/>
              </w:rPr>
              <w:t>Hengyang King Xing Lifeng New Materials Co., Ltd.</w:t>
            </w:r>
          </w:p>
        </w:tc>
        <w:tc>
          <w:tcPr>
            <w:tcW w:w="2320" w:type="dxa"/>
            <w:vAlign w:val="bottom"/>
          </w:tcPr>
          <w:p>
            <w:pPr>
              <w:ind w:left="14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CID002492</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560" w:type="dxa"/>
            <w:vAlign w:val="bottom"/>
          </w:tcPr>
          <w:p>
            <w:pPr>
              <w:ind w:left="80"/>
              <w:spacing w:after="0"/>
              <w:rPr>
                <w:sz w:val="20"/>
                <w:szCs w:val="20"/>
                <w:color w:val="auto"/>
              </w:rPr>
            </w:pPr>
            <w:r>
              <w:rPr>
                <w:rFonts w:ascii="Arial" w:cs="Arial" w:eastAsia="Arial" w:hAnsi="Arial"/>
                <w:sz w:val="18"/>
                <w:szCs w:val="18"/>
                <w:color w:val="auto"/>
              </w:rPr>
              <w:t>Ganzhou Seadragon W &amp; Mo Co., Ltd.</w:t>
            </w:r>
          </w:p>
        </w:tc>
        <w:tc>
          <w:tcPr>
            <w:tcW w:w="2320" w:type="dxa"/>
            <w:vAlign w:val="bottom"/>
          </w:tcPr>
          <w:p>
            <w:pPr>
              <w:ind w:left="14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CID002494</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560" w:type="dxa"/>
            <w:vAlign w:val="bottom"/>
          </w:tcPr>
          <w:p>
            <w:pPr>
              <w:ind w:left="80"/>
              <w:spacing w:after="0"/>
              <w:rPr>
                <w:sz w:val="20"/>
                <w:szCs w:val="20"/>
                <w:color w:val="auto"/>
              </w:rPr>
            </w:pPr>
            <w:r>
              <w:rPr>
                <w:rFonts w:ascii="Arial" w:cs="Arial" w:eastAsia="Arial" w:hAnsi="Arial"/>
                <w:sz w:val="18"/>
                <w:szCs w:val="18"/>
                <w:color w:val="auto"/>
              </w:rPr>
              <w:t>Asia Tungsten Products Vietnam Ltd.</w:t>
            </w:r>
          </w:p>
        </w:tc>
        <w:tc>
          <w:tcPr>
            <w:tcW w:w="2320" w:type="dxa"/>
            <w:vAlign w:val="bottom"/>
          </w:tcPr>
          <w:p>
            <w:pPr>
              <w:ind w:left="140"/>
              <w:spacing w:after="0"/>
              <w:rPr>
                <w:sz w:val="20"/>
                <w:szCs w:val="20"/>
                <w:color w:val="auto"/>
              </w:rPr>
            </w:pPr>
            <w:r>
              <w:rPr>
                <w:rFonts w:ascii="Arial" w:cs="Arial" w:eastAsia="Arial" w:hAnsi="Arial"/>
                <w:sz w:val="18"/>
                <w:szCs w:val="18"/>
                <w:color w:val="auto"/>
              </w:rPr>
              <w:t>Viet Nam</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CID002502</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560" w:type="dxa"/>
            <w:vAlign w:val="bottom"/>
          </w:tcPr>
          <w:p>
            <w:pPr>
              <w:ind w:left="80"/>
              <w:spacing w:after="0"/>
              <w:rPr>
                <w:sz w:val="20"/>
                <w:szCs w:val="20"/>
                <w:color w:val="auto"/>
              </w:rPr>
            </w:pPr>
            <w:r>
              <w:rPr>
                <w:rFonts w:ascii="Arial" w:cs="Arial" w:eastAsia="Arial" w:hAnsi="Arial"/>
                <w:sz w:val="18"/>
                <w:szCs w:val="18"/>
                <w:color w:val="auto"/>
              </w:rPr>
              <w:t>PT ATD Makmur Mandiri Jaya</w:t>
            </w:r>
          </w:p>
        </w:tc>
        <w:tc>
          <w:tcPr>
            <w:tcW w:w="2320" w:type="dxa"/>
            <w:vAlign w:val="bottom"/>
          </w:tcPr>
          <w:p>
            <w:pPr>
              <w:ind w:left="140"/>
              <w:spacing w:after="0"/>
              <w:rPr>
                <w:sz w:val="20"/>
                <w:szCs w:val="20"/>
                <w:color w:val="auto"/>
              </w:rPr>
            </w:pPr>
            <w:r>
              <w:rPr>
                <w:rFonts w:ascii="Arial" w:cs="Arial" w:eastAsia="Arial" w:hAnsi="Arial"/>
                <w:sz w:val="18"/>
                <w:szCs w:val="18"/>
                <w:color w:val="auto"/>
              </w:rPr>
              <w:t>Indonesia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CID002503</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560" w:type="dxa"/>
            <w:vAlign w:val="bottom"/>
          </w:tcPr>
          <w:p>
            <w:pPr>
              <w:ind w:left="80"/>
              <w:spacing w:after="0"/>
              <w:rPr>
                <w:sz w:val="20"/>
                <w:szCs w:val="20"/>
                <w:color w:val="auto"/>
              </w:rPr>
            </w:pPr>
            <w:r>
              <w:rPr>
                <w:rFonts w:ascii="Arial" w:cs="Arial" w:eastAsia="Arial" w:hAnsi="Arial"/>
                <w:sz w:val="18"/>
                <w:szCs w:val="18"/>
                <w:color w:val="auto"/>
              </w:rPr>
              <w:t>D Block Metals, LLC</w:t>
            </w:r>
          </w:p>
        </w:tc>
        <w:tc>
          <w:tcPr>
            <w:tcW w:w="2320" w:type="dxa"/>
            <w:vAlign w:val="bottom"/>
          </w:tcPr>
          <w:p>
            <w:pPr>
              <w:ind w:left="140"/>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CID002504</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560" w:type="dxa"/>
            <w:vAlign w:val="bottom"/>
          </w:tcPr>
          <w:p>
            <w:pPr>
              <w:ind w:left="80"/>
              <w:spacing w:after="0"/>
              <w:rPr>
                <w:sz w:val="20"/>
                <w:szCs w:val="20"/>
                <w:color w:val="auto"/>
              </w:rPr>
            </w:pPr>
            <w:r>
              <w:rPr>
                <w:rFonts w:ascii="Arial" w:cs="Arial" w:eastAsia="Arial" w:hAnsi="Arial"/>
                <w:sz w:val="18"/>
                <w:szCs w:val="18"/>
                <w:color w:val="auto"/>
              </w:rPr>
              <w:t>FIR Metals &amp; Resource Ltd.</w:t>
            </w:r>
          </w:p>
        </w:tc>
        <w:tc>
          <w:tcPr>
            <w:tcW w:w="2320" w:type="dxa"/>
            <w:vAlign w:val="bottom"/>
          </w:tcPr>
          <w:p>
            <w:pPr>
              <w:ind w:left="14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CID002505</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560" w:type="dxa"/>
            <w:vAlign w:val="bottom"/>
          </w:tcPr>
          <w:p>
            <w:pPr>
              <w:ind w:left="80"/>
              <w:spacing w:after="0"/>
              <w:rPr>
                <w:sz w:val="20"/>
                <w:szCs w:val="20"/>
                <w:color w:val="auto"/>
              </w:rPr>
            </w:pPr>
            <w:r>
              <w:rPr>
                <w:rFonts w:ascii="Arial" w:cs="Arial" w:eastAsia="Arial" w:hAnsi="Arial"/>
                <w:sz w:val="18"/>
                <w:szCs w:val="18"/>
                <w:color w:val="auto"/>
              </w:rPr>
              <w:t>Jiujiang Zhongao Tantalum &amp; Niobium Co., Ltd.</w:t>
            </w:r>
          </w:p>
        </w:tc>
        <w:tc>
          <w:tcPr>
            <w:tcW w:w="2320" w:type="dxa"/>
            <w:vAlign w:val="bottom"/>
          </w:tcPr>
          <w:p>
            <w:pPr>
              <w:ind w:left="14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CID002506</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bl>
    <w:p>
      <w:pPr>
        <w:sectPr>
          <w:pgSz w:w="11900" w:h="16838" w:orient="portrait"/>
          <w:cols w:equalWidth="0" w:num="1">
            <w:col w:w="10019"/>
          </w:cols>
          <w:pgMar w:left="440" w:top="269" w:right="1440"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40" w:type="dxa"/>
            <w:vAlign w:val="bottom"/>
          </w:tcPr>
          <w:p>
            <w:pPr>
              <w:ind w:left="80"/>
              <w:spacing w:after="0"/>
              <w:rPr>
                <w:sz w:val="20"/>
                <w:szCs w:val="20"/>
                <w:color w:val="auto"/>
              </w:rPr>
            </w:pPr>
            <w:r>
              <w:rPr>
                <w:rFonts w:ascii="Arial" w:cs="Arial" w:eastAsia="Arial" w:hAnsi="Arial"/>
                <w:sz w:val="18"/>
                <w:szCs w:val="18"/>
                <w:color w:val="auto"/>
              </w:rPr>
              <w:t>MMTC-PAMP India Pvt., Ltd.</w:t>
            </w:r>
          </w:p>
        </w:tc>
        <w:tc>
          <w:tcPr>
            <w:tcW w:w="2540" w:type="dxa"/>
            <w:vAlign w:val="bottom"/>
          </w:tcPr>
          <w:p>
            <w:pPr>
              <w:ind w:left="360"/>
              <w:spacing w:after="0"/>
              <w:rPr>
                <w:sz w:val="20"/>
                <w:szCs w:val="20"/>
                <w:color w:val="auto"/>
              </w:rPr>
            </w:pPr>
            <w:r>
              <w:rPr>
                <w:rFonts w:ascii="Arial" w:cs="Arial" w:eastAsia="Arial" w:hAnsi="Arial"/>
                <w:sz w:val="18"/>
                <w:szCs w:val="18"/>
                <w:color w:val="auto"/>
              </w:rPr>
              <w:t>India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CID002509</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40" w:type="dxa"/>
            <w:vAlign w:val="bottom"/>
          </w:tcPr>
          <w:p>
            <w:pPr>
              <w:ind w:left="80"/>
              <w:spacing w:after="0"/>
              <w:rPr>
                <w:sz w:val="20"/>
                <w:szCs w:val="20"/>
                <w:color w:val="auto"/>
              </w:rPr>
            </w:pPr>
            <w:r>
              <w:rPr>
                <w:rFonts w:ascii="Arial" w:cs="Arial" w:eastAsia="Arial" w:hAnsi="Arial"/>
                <w:sz w:val="18"/>
                <w:szCs w:val="18"/>
                <w:color w:val="auto"/>
              </w:rPr>
              <w:t>KGHM Polska Miedz Spolka Akcyjna</w:t>
            </w:r>
          </w:p>
        </w:tc>
        <w:tc>
          <w:tcPr>
            <w:tcW w:w="2540" w:type="dxa"/>
            <w:vAlign w:val="bottom"/>
          </w:tcPr>
          <w:p>
            <w:pPr>
              <w:ind w:left="360"/>
              <w:spacing w:after="0"/>
              <w:rPr>
                <w:sz w:val="20"/>
                <w:szCs w:val="20"/>
                <w:color w:val="auto"/>
              </w:rPr>
            </w:pPr>
            <w:r>
              <w:rPr>
                <w:rFonts w:ascii="Arial" w:cs="Arial" w:eastAsia="Arial" w:hAnsi="Arial"/>
                <w:sz w:val="18"/>
                <w:szCs w:val="18"/>
                <w:color w:val="auto"/>
              </w:rPr>
              <w:t>Poland</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CID002511</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340" w:type="dxa"/>
            <w:vAlign w:val="bottom"/>
          </w:tcPr>
          <w:p>
            <w:pPr>
              <w:ind w:left="80"/>
              <w:spacing w:after="0"/>
              <w:rPr>
                <w:sz w:val="20"/>
                <w:szCs w:val="20"/>
                <w:color w:val="auto"/>
              </w:rPr>
            </w:pPr>
            <w:r>
              <w:rPr>
                <w:rFonts w:ascii="Arial" w:cs="Arial" w:eastAsia="Arial" w:hAnsi="Arial"/>
                <w:sz w:val="18"/>
                <w:szCs w:val="18"/>
                <w:color w:val="auto"/>
              </w:rPr>
              <w:t>Jiangxi Dinghai Tantalum &amp; Niobium Co., Ltd.</w:t>
            </w:r>
          </w:p>
        </w:tc>
        <w:tc>
          <w:tcPr>
            <w:tcW w:w="2540" w:type="dxa"/>
            <w:vAlign w:val="bottom"/>
          </w:tcPr>
          <w:p>
            <w:pPr>
              <w:ind w:left="36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CID002512</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340" w:type="dxa"/>
            <w:vAlign w:val="bottom"/>
          </w:tcPr>
          <w:p>
            <w:pPr>
              <w:ind w:left="80"/>
              <w:spacing w:after="0"/>
              <w:rPr>
                <w:sz w:val="20"/>
                <w:szCs w:val="20"/>
                <w:color w:val="auto"/>
              </w:rPr>
            </w:pPr>
            <w:r>
              <w:rPr>
                <w:rFonts w:ascii="Arial" w:cs="Arial" w:eastAsia="Arial" w:hAnsi="Arial"/>
                <w:sz w:val="18"/>
                <w:szCs w:val="18"/>
                <w:color w:val="auto"/>
              </w:rPr>
              <w:t>O.M. Manufacturing Philippines, Inc.</w:t>
            </w:r>
          </w:p>
        </w:tc>
        <w:tc>
          <w:tcPr>
            <w:tcW w:w="2540" w:type="dxa"/>
            <w:vAlign w:val="bottom"/>
          </w:tcPr>
          <w:p>
            <w:pPr>
              <w:ind w:left="360"/>
              <w:spacing w:after="0"/>
              <w:rPr>
                <w:sz w:val="20"/>
                <w:szCs w:val="20"/>
                <w:color w:val="auto"/>
              </w:rPr>
            </w:pPr>
            <w:r>
              <w:rPr>
                <w:rFonts w:ascii="Arial" w:cs="Arial" w:eastAsia="Arial" w:hAnsi="Arial"/>
                <w:sz w:val="18"/>
                <w:szCs w:val="18"/>
                <w:color w:val="auto"/>
              </w:rPr>
              <w:t>Philippines</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CID002517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340" w:type="dxa"/>
            <w:vAlign w:val="bottom"/>
          </w:tcPr>
          <w:p>
            <w:pPr>
              <w:ind w:left="80"/>
              <w:spacing w:after="0"/>
              <w:rPr>
                <w:sz w:val="20"/>
                <w:szCs w:val="20"/>
                <w:color w:val="auto"/>
              </w:rPr>
            </w:pPr>
            <w:r>
              <w:rPr>
                <w:rFonts w:ascii="Arial" w:cs="Arial" w:eastAsia="Arial" w:hAnsi="Arial"/>
                <w:sz w:val="18"/>
                <w:szCs w:val="18"/>
                <w:color w:val="auto"/>
              </w:rPr>
              <w:t>KEMET de Mexico</w:t>
            </w:r>
          </w:p>
        </w:tc>
        <w:tc>
          <w:tcPr>
            <w:tcW w:w="2540" w:type="dxa"/>
            <w:vAlign w:val="bottom"/>
          </w:tcPr>
          <w:p>
            <w:pPr>
              <w:ind w:left="360"/>
              <w:spacing w:after="0"/>
              <w:rPr>
                <w:sz w:val="20"/>
                <w:szCs w:val="20"/>
                <w:color w:val="auto"/>
              </w:rPr>
            </w:pPr>
            <w:r>
              <w:rPr>
                <w:rFonts w:ascii="Arial" w:cs="Arial" w:eastAsia="Arial" w:hAnsi="Arial"/>
                <w:sz w:val="18"/>
                <w:szCs w:val="18"/>
                <w:color w:val="auto"/>
              </w:rPr>
              <w:t>Mexico</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CID002539</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340" w:type="dxa"/>
            <w:vAlign w:val="bottom"/>
          </w:tcPr>
          <w:p>
            <w:pPr>
              <w:ind w:left="80"/>
              <w:spacing w:after="0"/>
              <w:rPr>
                <w:sz w:val="20"/>
                <w:szCs w:val="20"/>
                <w:color w:val="auto"/>
              </w:rPr>
            </w:pPr>
            <w:r>
              <w:rPr>
                <w:rFonts w:ascii="Arial" w:cs="Arial" w:eastAsia="Arial" w:hAnsi="Arial"/>
                <w:sz w:val="18"/>
                <w:szCs w:val="18"/>
                <w:color w:val="auto"/>
              </w:rPr>
              <w:t>H.C. Starck Tungsten GmbH</w:t>
            </w:r>
          </w:p>
        </w:tc>
        <w:tc>
          <w:tcPr>
            <w:tcW w:w="2540" w:type="dxa"/>
            <w:vAlign w:val="bottom"/>
          </w:tcPr>
          <w:p>
            <w:pPr>
              <w:ind w:left="360"/>
              <w:spacing w:after="0"/>
              <w:rPr>
                <w:sz w:val="20"/>
                <w:szCs w:val="20"/>
                <w:color w:val="auto"/>
              </w:rPr>
            </w:pPr>
            <w:r>
              <w:rPr>
                <w:rFonts w:ascii="Arial" w:cs="Arial" w:eastAsia="Arial" w:hAnsi="Arial"/>
                <w:sz w:val="18"/>
                <w:szCs w:val="18"/>
                <w:color w:val="auto"/>
              </w:rPr>
              <w:t>Germany</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CID002541</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340" w:type="dxa"/>
            <w:vAlign w:val="bottom"/>
          </w:tcPr>
          <w:p>
            <w:pPr>
              <w:ind w:left="80"/>
              <w:spacing w:after="0"/>
              <w:rPr>
                <w:sz w:val="20"/>
                <w:szCs w:val="20"/>
                <w:color w:val="auto"/>
              </w:rPr>
            </w:pPr>
            <w:r>
              <w:rPr>
                <w:rFonts w:ascii="Arial" w:cs="Arial" w:eastAsia="Arial" w:hAnsi="Arial"/>
                <w:sz w:val="18"/>
                <w:szCs w:val="18"/>
                <w:color w:val="auto"/>
              </w:rPr>
              <w:t>TANIOBIS Smelting GmbH &amp; Co. KG</w:t>
            </w:r>
          </w:p>
        </w:tc>
        <w:tc>
          <w:tcPr>
            <w:tcW w:w="2540" w:type="dxa"/>
            <w:vAlign w:val="bottom"/>
          </w:tcPr>
          <w:p>
            <w:pPr>
              <w:ind w:left="360"/>
              <w:spacing w:after="0"/>
              <w:rPr>
                <w:sz w:val="20"/>
                <w:szCs w:val="20"/>
                <w:color w:val="auto"/>
              </w:rPr>
            </w:pPr>
            <w:r>
              <w:rPr>
                <w:rFonts w:ascii="Arial" w:cs="Arial" w:eastAsia="Arial" w:hAnsi="Arial"/>
                <w:sz w:val="18"/>
                <w:szCs w:val="18"/>
                <w:color w:val="auto"/>
              </w:rPr>
              <w:t>Germany</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CID002542</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340" w:type="dxa"/>
            <w:vAlign w:val="bottom"/>
          </w:tcPr>
          <w:p>
            <w:pPr>
              <w:ind w:left="80"/>
              <w:spacing w:after="0"/>
              <w:rPr>
                <w:sz w:val="20"/>
                <w:szCs w:val="20"/>
                <w:color w:val="auto"/>
              </w:rPr>
            </w:pPr>
            <w:r>
              <w:rPr>
                <w:rFonts w:ascii="Arial" w:cs="Arial" w:eastAsia="Arial" w:hAnsi="Arial"/>
                <w:sz w:val="18"/>
                <w:szCs w:val="18"/>
                <w:color w:val="auto"/>
              </w:rPr>
              <w:t>Masan High-Tech Materials</w:t>
            </w:r>
          </w:p>
        </w:tc>
        <w:tc>
          <w:tcPr>
            <w:tcW w:w="2540" w:type="dxa"/>
            <w:vAlign w:val="bottom"/>
          </w:tcPr>
          <w:p>
            <w:pPr>
              <w:ind w:left="360"/>
              <w:spacing w:after="0"/>
              <w:rPr>
                <w:sz w:val="20"/>
                <w:szCs w:val="20"/>
                <w:color w:val="auto"/>
              </w:rPr>
            </w:pPr>
            <w:r>
              <w:rPr>
                <w:rFonts w:ascii="Arial" w:cs="Arial" w:eastAsia="Arial" w:hAnsi="Arial"/>
                <w:sz w:val="18"/>
                <w:szCs w:val="18"/>
                <w:color w:val="auto"/>
              </w:rPr>
              <w:t>Viet Nam</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CID002543</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340" w:type="dxa"/>
            <w:vAlign w:val="bottom"/>
          </w:tcPr>
          <w:p>
            <w:pPr>
              <w:ind w:left="80"/>
              <w:spacing w:after="0"/>
              <w:rPr>
                <w:sz w:val="20"/>
                <w:szCs w:val="20"/>
                <w:color w:val="auto"/>
              </w:rPr>
            </w:pPr>
            <w:r>
              <w:rPr>
                <w:rFonts w:ascii="Arial" w:cs="Arial" w:eastAsia="Arial" w:hAnsi="Arial"/>
                <w:sz w:val="18"/>
                <w:szCs w:val="18"/>
                <w:color w:val="auto"/>
              </w:rPr>
              <w:t>TANIOBIS Co., Ltd.</w:t>
            </w:r>
          </w:p>
        </w:tc>
        <w:tc>
          <w:tcPr>
            <w:tcW w:w="2540" w:type="dxa"/>
            <w:vAlign w:val="bottom"/>
          </w:tcPr>
          <w:p>
            <w:pPr>
              <w:ind w:left="360"/>
              <w:spacing w:after="0"/>
              <w:rPr>
                <w:sz w:val="20"/>
                <w:szCs w:val="20"/>
                <w:color w:val="auto"/>
              </w:rPr>
            </w:pPr>
            <w:r>
              <w:rPr>
                <w:rFonts w:ascii="Arial" w:cs="Arial" w:eastAsia="Arial" w:hAnsi="Arial"/>
                <w:sz w:val="18"/>
                <w:szCs w:val="18"/>
                <w:color w:val="auto"/>
              </w:rPr>
              <w:t>Thailand</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CID002544</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340" w:type="dxa"/>
            <w:vAlign w:val="bottom"/>
          </w:tcPr>
          <w:p>
            <w:pPr>
              <w:ind w:left="80"/>
              <w:spacing w:after="0"/>
              <w:rPr>
                <w:sz w:val="20"/>
                <w:szCs w:val="20"/>
                <w:color w:val="auto"/>
              </w:rPr>
            </w:pPr>
            <w:r>
              <w:rPr>
                <w:rFonts w:ascii="Arial" w:cs="Arial" w:eastAsia="Arial" w:hAnsi="Arial"/>
                <w:sz w:val="18"/>
                <w:szCs w:val="18"/>
                <w:color w:val="auto"/>
              </w:rPr>
              <w:t>TANIOBIS GmbH</w:t>
            </w:r>
          </w:p>
        </w:tc>
        <w:tc>
          <w:tcPr>
            <w:tcW w:w="2540" w:type="dxa"/>
            <w:vAlign w:val="bottom"/>
          </w:tcPr>
          <w:p>
            <w:pPr>
              <w:ind w:left="360"/>
              <w:spacing w:after="0"/>
              <w:rPr>
                <w:sz w:val="20"/>
                <w:szCs w:val="20"/>
                <w:color w:val="auto"/>
              </w:rPr>
            </w:pPr>
            <w:r>
              <w:rPr>
                <w:rFonts w:ascii="Arial" w:cs="Arial" w:eastAsia="Arial" w:hAnsi="Arial"/>
                <w:sz w:val="18"/>
                <w:szCs w:val="18"/>
                <w:color w:val="auto"/>
              </w:rPr>
              <w:t>Germany</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CID002545</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340" w:type="dxa"/>
            <w:vAlign w:val="bottom"/>
          </w:tcPr>
          <w:p>
            <w:pPr>
              <w:ind w:left="80"/>
              <w:spacing w:after="0"/>
              <w:rPr>
                <w:sz w:val="20"/>
                <w:szCs w:val="20"/>
                <w:color w:val="auto"/>
              </w:rPr>
            </w:pPr>
            <w:r>
              <w:rPr>
                <w:rFonts w:ascii="Arial" w:cs="Arial" w:eastAsia="Arial" w:hAnsi="Arial"/>
                <w:sz w:val="18"/>
                <w:szCs w:val="18"/>
                <w:color w:val="auto"/>
              </w:rPr>
              <w:t>Materion Newton Inc.</w:t>
            </w:r>
          </w:p>
        </w:tc>
        <w:tc>
          <w:tcPr>
            <w:tcW w:w="2540" w:type="dxa"/>
            <w:vAlign w:val="bottom"/>
          </w:tcPr>
          <w:p>
            <w:pPr>
              <w:ind w:left="360"/>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CID002548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340" w:type="dxa"/>
            <w:vAlign w:val="bottom"/>
          </w:tcPr>
          <w:p>
            <w:pPr>
              <w:ind w:left="80"/>
              <w:spacing w:after="0"/>
              <w:rPr>
                <w:sz w:val="20"/>
                <w:szCs w:val="20"/>
                <w:color w:val="auto"/>
              </w:rPr>
            </w:pPr>
            <w:r>
              <w:rPr>
                <w:rFonts w:ascii="Arial" w:cs="Arial" w:eastAsia="Arial" w:hAnsi="Arial"/>
                <w:sz w:val="18"/>
                <w:szCs w:val="18"/>
                <w:color w:val="auto"/>
              </w:rPr>
              <w:t>TANIOBIS Japan Co., Ltd.</w:t>
            </w:r>
          </w:p>
        </w:tc>
        <w:tc>
          <w:tcPr>
            <w:tcW w:w="2540" w:type="dxa"/>
            <w:vAlign w:val="bottom"/>
          </w:tcPr>
          <w:p>
            <w:pPr>
              <w:ind w:left="360"/>
              <w:spacing w:after="0"/>
              <w:rPr>
                <w:sz w:val="20"/>
                <w:szCs w:val="20"/>
                <w:color w:val="auto"/>
              </w:rPr>
            </w:pPr>
            <w:r>
              <w:rPr>
                <w:rFonts w:ascii="Arial" w:cs="Arial" w:eastAsia="Arial" w:hAnsi="Arial"/>
                <w:sz w:val="18"/>
                <w:szCs w:val="18"/>
                <w:color w:val="auto"/>
              </w:rPr>
              <w:t>Japan</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CID002549</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340" w:type="dxa"/>
            <w:vAlign w:val="bottom"/>
          </w:tcPr>
          <w:p>
            <w:pPr>
              <w:ind w:left="80"/>
              <w:spacing w:after="0"/>
              <w:rPr>
                <w:sz w:val="20"/>
                <w:szCs w:val="20"/>
                <w:color w:val="auto"/>
              </w:rPr>
            </w:pPr>
            <w:r>
              <w:rPr>
                <w:rFonts w:ascii="Arial" w:cs="Arial" w:eastAsia="Arial" w:hAnsi="Arial"/>
                <w:sz w:val="18"/>
                <w:szCs w:val="18"/>
                <w:color w:val="auto"/>
              </w:rPr>
              <w:t>TANIOBIS Smelting GmbH &amp; Co. KG</w:t>
            </w:r>
          </w:p>
        </w:tc>
        <w:tc>
          <w:tcPr>
            <w:tcW w:w="2540" w:type="dxa"/>
            <w:vAlign w:val="bottom"/>
          </w:tcPr>
          <w:p>
            <w:pPr>
              <w:ind w:left="360"/>
              <w:spacing w:after="0"/>
              <w:rPr>
                <w:sz w:val="20"/>
                <w:szCs w:val="20"/>
                <w:color w:val="auto"/>
              </w:rPr>
            </w:pPr>
            <w:r>
              <w:rPr>
                <w:rFonts w:ascii="Arial" w:cs="Arial" w:eastAsia="Arial" w:hAnsi="Arial"/>
                <w:sz w:val="18"/>
                <w:szCs w:val="18"/>
                <w:color w:val="auto"/>
              </w:rPr>
              <w:t>Germany</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CID002550</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340" w:type="dxa"/>
            <w:vAlign w:val="bottom"/>
          </w:tcPr>
          <w:p>
            <w:pPr>
              <w:ind w:left="80"/>
              <w:spacing w:after="0"/>
              <w:rPr>
                <w:sz w:val="20"/>
                <w:szCs w:val="20"/>
                <w:color w:val="auto"/>
              </w:rPr>
            </w:pPr>
            <w:r>
              <w:rPr>
                <w:rFonts w:ascii="Arial" w:cs="Arial" w:eastAsia="Arial" w:hAnsi="Arial"/>
                <w:sz w:val="18"/>
                <w:szCs w:val="18"/>
                <w:color w:val="auto"/>
              </w:rPr>
              <w:t>Jiangwu H.C. Starck Tungsten Products Co., Ltd.</w:t>
            </w:r>
          </w:p>
        </w:tc>
        <w:tc>
          <w:tcPr>
            <w:tcW w:w="2540" w:type="dxa"/>
            <w:vAlign w:val="bottom"/>
          </w:tcPr>
          <w:p>
            <w:pPr>
              <w:ind w:left="36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CID002551</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340" w:type="dxa"/>
            <w:vAlign w:val="bottom"/>
          </w:tcPr>
          <w:p>
            <w:pPr>
              <w:ind w:left="80"/>
              <w:spacing w:after="0"/>
              <w:rPr>
                <w:sz w:val="20"/>
                <w:szCs w:val="20"/>
                <w:color w:val="auto"/>
              </w:rPr>
            </w:pPr>
            <w:r>
              <w:rPr>
                <w:rFonts w:ascii="Arial" w:cs="Arial" w:eastAsia="Arial" w:hAnsi="Arial"/>
                <w:sz w:val="18"/>
                <w:szCs w:val="18"/>
                <w:color w:val="auto"/>
              </w:rPr>
              <w:t>Global Advanced Metals Boyertown</w:t>
            </w:r>
          </w:p>
        </w:tc>
        <w:tc>
          <w:tcPr>
            <w:tcW w:w="2540" w:type="dxa"/>
            <w:vAlign w:val="bottom"/>
          </w:tcPr>
          <w:p>
            <w:pPr>
              <w:ind w:left="360"/>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CID002557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340" w:type="dxa"/>
            <w:vAlign w:val="bottom"/>
          </w:tcPr>
          <w:p>
            <w:pPr>
              <w:ind w:left="80"/>
              <w:spacing w:after="0"/>
              <w:rPr>
                <w:sz w:val="20"/>
                <w:szCs w:val="20"/>
                <w:color w:val="auto"/>
              </w:rPr>
            </w:pPr>
            <w:r>
              <w:rPr>
                <w:rFonts w:ascii="Arial" w:cs="Arial" w:eastAsia="Arial" w:hAnsi="Arial"/>
                <w:sz w:val="18"/>
                <w:szCs w:val="18"/>
                <w:color w:val="auto"/>
              </w:rPr>
              <w:t>Global Advanced Metals Aizu</w:t>
            </w:r>
          </w:p>
        </w:tc>
        <w:tc>
          <w:tcPr>
            <w:tcW w:w="2540" w:type="dxa"/>
            <w:vAlign w:val="bottom"/>
          </w:tcPr>
          <w:p>
            <w:pPr>
              <w:ind w:left="360"/>
              <w:spacing w:after="0"/>
              <w:rPr>
                <w:sz w:val="20"/>
                <w:szCs w:val="20"/>
                <w:color w:val="auto"/>
              </w:rPr>
            </w:pPr>
            <w:r>
              <w:rPr>
                <w:rFonts w:ascii="Arial" w:cs="Arial" w:eastAsia="Arial" w:hAnsi="Arial"/>
                <w:sz w:val="18"/>
                <w:szCs w:val="18"/>
                <w:color w:val="auto"/>
              </w:rPr>
              <w:t>Japan</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CID002558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40" w:type="dxa"/>
            <w:vAlign w:val="bottom"/>
          </w:tcPr>
          <w:p>
            <w:pPr>
              <w:ind w:left="80"/>
              <w:spacing w:after="0"/>
              <w:rPr>
                <w:sz w:val="20"/>
                <w:szCs w:val="20"/>
                <w:color w:val="auto"/>
              </w:rPr>
            </w:pPr>
            <w:r>
              <w:rPr>
                <w:rFonts w:ascii="Arial" w:cs="Arial" w:eastAsia="Arial" w:hAnsi="Arial"/>
                <w:sz w:val="18"/>
                <w:szCs w:val="18"/>
                <w:color w:val="auto"/>
              </w:rPr>
              <w:t>T.C.A S.p.A</w:t>
            </w:r>
          </w:p>
        </w:tc>
        <w:tc>
          <w:tcPr>
            <w:tcW w:w="2540" w:type="dxa"/>
            <w:vAlign w:val="bottom"/>
          </w:tcPr>
          <w:p>
            <w:pPr>
              <w:ind w:left="360"/>
              <w:spacing w:after="0"/>
              <w:rPr>
                <w:sz w:val="20"/>
                <w:szCs w:val="20"/>
                <w:color w:val="auto"/>
              </w:rPr>
            </w:pPr>
            <w:r>
              <w:rPr>
                <w:rFonts w:ascii="Arial" w:cs="Arial" w:eastAsia="Arial" w:hAnsi="Arial"/>
                <w:sz w:val="18"/>
                <w:szCs w:val="18"/>
                <w:color w:val="auto"/>
              </w:rPr>
              <w:t>Italy</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CID002580</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40" w:type="dxa"/>
            <w:vAlign w:val="bottom"/>
          </w:tcPr>
          <w:p>
            <w:pPr>
              <w:ind w:left="80"/>
              <w:spacing w:after="0"/>
              <w:rPr>
                <w:sz w:val="20"/>
                <w:szCs w:val="20"/>
                <w:color w:val="auto"/>
              </w:rPr>
            </w:pPr>
            <w:r>
              <w:rPr>
                <w:rFonts w:ascii="Arial" w:cs="Arial" w:eastAsia="Arial" w:hAnsi="Arial"/>
                <w:sz w:val="18"/>
                <w:szCs w:val="18"/>
                <w:color w:val="auto"/>
              </w:rPr>
              <w:t>REMONDIS PMR B.V.</w:t>
            </w:r>
          </w:p>
        </w:tc>
        <w:tc>
          <w:tcPr>
            <w:tcW w:w="2540" w:type="dxa"/>
            <w:vAlign w:val="bottom"/>
          </w:tcPr>
          <w:p>
            <w:pPr>
              <w:ind w:left="360"/>
              <w:spacing w:after="0"/>
              <w:rPr>
                <w:sz w:val="20"/>
                <w:szCs w:val="20"/>
                <w:color w:val="auto"/>
              </w:rPr>
            </w:pPr>
            <w:r>
              <w:rPr>
                <w:rFonts w:ascii="Arial" w:cs="Arial" w:eastAsia="Arial" w:hAnsi="Arial"/>
                <w:sz w:val="18"/>
                <w:szCs w:val="18"/>
                <w:color w:val="auto"/>
              </w:rPr>
              <w:t>Netherlands</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CID002582</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340" w:type="dxa"/>
            <w:vAlign w:val="bottom"/>
          </w:tcPr>
          <w:p>
            <w:pPr>
              <w:ind w:left="80"/>
              <w:spacing w:after="0"/>
              <w:rPr>
                <w:sz w:val="20"/>
                <w:szCs w:val="20"/>
                <w:color w:val="auto"/>
              </w:rPr>
            </w:pPr>
            <w:r>
              <w:rPr>
                <w:rFonts w:ascii="Arial" w:cs="Arial" w:eastAsia="Arial" w:hAnsi="Arial"/>
                <w:sz w:val="18"/>
                <w:szCs w:val="18"/>
                <w:color w:val="auto"/>
              </w:rPr>
              <w:t>Niagara Refining LLC</w:t>
            </w:r>
          </w:p>
        </w:tc>
        <w:tc>
          <w:tcPr>
            <w:tcW w:w="2540" w:type="dxa"/>
            <w:vAlign w:val="bottom"/>
          </w:tcPr>
          <w:p>
            <w:pPr>
              <w:ind w:left="360"/>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CID002589</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340" w:type="dxa"/>
            <w:vAlign w:val="bottom"/>
          </w:tcPr>
          <w:p>
            <w:pPr>
              <w:ind w:left="80"/>
              <w:spacing w:after="0"/>
              <w:rPr>
                <w:sz w:val="20"/>
                <w:szCs w:val="20"/>
                <w:color w:val="auto"/>
              </w:rPr>
            </w:pPr>
            <w:r>
              <w:rPr>
                <w:rFonts w:ascii="Arial" w:cs="Arial" w:eastAsia="Arial" w:hAnsi="Arial"/>
                <w:sz w:val="18"/>
                <w:szCs w:val="18"/>
                <w:color w:val="auto"/>
              </w:rPr>
              <w:t>PT Rajehan Ariq</w:t>
            </w:r>
          </w:p>
        </w:tc>
        <w:tc>
          <w:tcPr>
            <w:tcW w:w="2540" w:type="dxa"/>
            <w:vAlign w:val="bottom"/>
          </w:tcPr>
          <w:p>
            <w:pPr>
              <w:ind w:left="360"/>
              <w:spacing w:after="0"/>
              <w:rPr>
                <w:sz w:val="20"/>
                <w:szCs w:val="20"/>
                <w:color w:val="auto"/>
              </w:rPr>
            </w:pPr>
            <w:r>
              <w:rPr>
                <w:rFonts w:ascii="Arial" w:cs="Arial" w:eastAsia="Arial" w:hAnsi="Arial"/>
                <w:sz w:val="18"/>
                <w:szCs w:val="18"/>
                <w:color w:val="auto"/>
              </w:rPr>
              <w:t>Indonesia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CID002593</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40" w:type="dxa"/>
            <w:vAlign w:val="bottom"/>
          </w:tcPr>
          <w:p>
            <w:pPr>
              <w:ind w:left="80"/>
              <w:spacing w:after="0"/>
              <w:rPr>
                <w:sz w:val="20"/>
                <w:szCs w:val="20"/>
                <w:color w:val="auto"/>
              </w:rPr>
            </w:pPr>
            <w:r>
              <w:rPr>
                <w:rFonts w:ascii="Arial" w:cs="Arial" w:eastAsia="Arial" w:hAnsi="Arial"/>
                <w:sz w:val="18"/>
                <w:szCs w:val="18"/>
                <w:color w:val="auto"/>
              </w:rPr>
              <w:t>Korea Zinc Co., Ltd.</w:t>
            </w:r>
          </w:p>
        </w:tc>
        <w:tc>
          <w:tcPr>
            <w:tcW w:w="2540" w:type="dxa"/>
            <w:vAlign w:val="bottom"/>
          </w:tcPr>
          <w:p>
            <w:pPr>
              <w:ind w:left="360"/>
              <w:spacing w:after="0"/>
              <w:rPr>
                <w:sz w:val="20"/>
                <w:szCs w:val="20"/>
                <w:color w:val="auto"/>
              </w:rPr>
            </w:pPr>
            <w:r>
              <w:rPr>
                <w:rFonts w:ascii="Arial" w:cs="Arial" w:eastAsia="Arial" w:hAnsi="Arial"/>
                <w:sz w:val="18"/>
                <w:szCs w:val="18"/>
                <w:color w:val="auto"/>
              </w:rPr>
              <w:t>Korea, Republic Of</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CID002605</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40" w:type="dxa"/>
            <w:vAlign w:val="bottom"/>
          </w:tcPr>
          <w:p>
            <w:pPr>
              <w:ind w:left="80"/>
              <w:spacing w:after="0"/>
              <w:rPr>
                <w:sz w:val="20"/>
                <w:szCs w:val="20"/>
                <w:color w:val="auto"/>
              </w:rPr>
            </w:pPr>
            <w:r>
              <w:rPr>
                <w:rFonts w:ascii="Arial" w:cs="Arial" w:eastAsia="Arial" w:hAnsi="Arial"/>
                <w:sz w:val="18"/>
                <w:szCs w:val="18"/>
                <w:color w:val="auto"/>
              </w:rPr>
              <w:t>TOO Tau-Ken-Altyn</w:t>
            </w:r>
          </w:p>
        </w:tc>
        <w:tc>
          <w:tcPr>
            <w:tcW w:w="2540" w:type="dxa"/>
            <w:vAlign w:val="bottom"/>
          </w:tcPr>
          <w:p>
            <w:pPr>
              <w:ind w:left="360"/>
              <w:spacing w:after="0"/>
              <w:rPr>
                <w:sz w:val="20"/>
                <w:szCs w:val="20"/>
                <w:color w:val="auto"/>
              </w:rPr>
            </w:pPr>
            <w:r>
              <w:rPr>
                <w:rFonts w:ascii="Arial" w:cs="Arial" w:eastAsia="Arial" w:hAnsi="Arial"/>
                <w:sz w:val="18"/>
                <w:szCs w:val="18"/>
                <w:color w:val="auto"/>
              </w:rPr>
              <w:t>Kazakhstan</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CID002615</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340" w:type="dxa"/>
            <w:vAlign w:val="bottom"/>
          </w:tcPr>
          <w:p>
            <w:pPr>
              <w:ind w:left="80"/>
              <w:spacing w:after="0"/>
              <w:rPr>
                <w:sz w:val="20"/>
                <w:szCs w:val="20"/>
                <w:color w:val="auto"/>
              </w:rPr>
            </w:pPr>
            <w:r>
              <w:rPr>
                <w:rFonts w:ascii="Arial" w:cs="Arial" w:eastAsia="Arial" w:hAnsi="Arial"/>
                <w:sz w:val="18"/>
                <w:szCs w:val="18"/>
                <w:color w:val="auto"/>
              </w:rPr>
              <w:t>China Molybdenum Tungsten Co., Ltd.</w:t>
            </w:r>
          </w:p>
        </w:tc>
        <w:tc>
          <w:tcPr>
            <w:tcW w:w="2540" w:type="dxa"/>
            <w:vAlign w:val="bottom"/>
          </w:tcPr>
          <w:p>
            <w:pPr>
              <w:ind w:left="36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CID002641</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340" w:type="dxa"/>
            <w:vAlign w:val="bottom"/>
          </w:tcPr>
          <w:p>
            <w:pPr>
              <w:ind w:left="80"/>
              <w:spacing w:after="0"/>
              <w:rPr>
                <w:sz w:val="20"/>
                <w:szCs w:val="20"/>
                <w:color w:val="auto"/>
              </w:rPr>
            </w:pPr>
            <w:r>
              <w:rPr>
                <w:rFonts w:ascii="Arial" w:cs="Arial" w:eastAsia="Arial" w:hAnsi="Arial"/>
                <w:sz w:val="18"/>
                <w:szCs w:val="18"/>
                <w:color w:val="auto"/>
              </w:rPr>
              <w:t>PT Cipta Persada Mulia</w:t>
            </w:r>
          </w:p>
        </w:tc>
        <w:tc>
          <w:tcPr>
            <w:tcW w:w="2540" w:type="dxa"/>
            <w:vAlign w:val="bottom"/>
          </w:tcPr>
          <w:p>
            <w:pPr>
              <w:ind w:left="360"/>
              <w:spacing w:after="0"/>
              <w:rPr>
                <w:sz w:val="20"/>
                <w:szCs w:val="20"/>
                <w:color w:val="auto"/>
              </w:rPr>
            </w:pPr>
            <w:r>
              <w:rPr>
                <w:rFonts w:ascii="Arial" w:cs="Arial" w:eastAsia="Arial" w:hAnsi="Arial"/>
                <w:sz w:val="18"/>
                <w:szCs w:val="18"/>
                <w:color w:val="auto"/>
              </w:rPr>
              <w:t>Indonesia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CID002696</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340" w:type="dxa"/>
            <w:vAlign w:val="bottom"/>
          </w:tcPr>
          <w:p>
            <w:pPr>
              <w:ind w:left="80"/>
              <w:spacing w:after="0"/>
              <w:rPr>
                <w:sz w:val="20"/>
                <w:szCs w:val="20"/>
                <w:color w:val="auto"/>
              </w:rPr>
            </w:pPr>
            <w:r>
              <w:rPr>
                <w:rFonts w:ascii="Arial" w:cs="Arial" w:eastAsia="Arial" w:hAnsi="Arial"/>
                <w:sz w:val="18"/>
                <w:szCs w:val="18"/>
                <w:color w:val="auto"/>
              </w:rPr>
              <w:t>Resind Industria e Comercio Ltda.</w:t>
            </w:r>
          </w:p>
        </w:tc>
        <w:tc>
          <w:tcPr>
            <w:tcW w:w="2540" w:type="dxa"/>
            <w:vAlign w:val="bottom"/>
          </w:tcPr>
          <w:p>
            <w:pPr>
              <w:ind w:left="360"/>
              <w:spacing w:after="0"/>
              <w:rPr>
                <w:sz w:val="20"/>
                <w:szCs w:val="20"/>
                <w:color w:val="auto"/>
              </w:rPr>
            </w:pPr>
            <w:r>
              <w:rPr>
                <w:rFonts w:ascii="Arial" w:cs="Arial" w:eastAsia="Arial" w:hAnsi="Arial"/>
                <w:sz w:val="18"/>
                <w:szCs w:val="18"/>
                <w:color w:val="auto"/>
              </w:rPr>
              <w:t>Brazil</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CID002706</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340" w:type="dxa"/>
            <w:vAlign w:val="bottom"/>
          </w:tcPr>
          <w:p>
            <w:pPr>
              <w:ind w:left="80"/>
              <w:spacing w:after="0"/>
              <w:rPr>
                <w:sz w:val="20"/>
                <w:szCs w:val="20"/>
                <w:color w:val="auto"/>
              </w:rPr>
            </w:pPr>
            <w:r>
              <w:rPr>
                <w:rFonts w:ascii="Arial" w:cs="Arial" w:eastAsia="Arial" w:hAnsi="Arial"/>
                <w:sz w:val="18"/>
                <w:szCs w:val="18"/>
                <w:color w:val="auto"/>
              </w:rPr>
              <w:t>Resind Industria e Comercio Ltda.</w:t>
            </w:r>
          </w:p>
        </w:tc>
        <w:tc>
          <w:tcPr>
            <w:tcW w:w="2540" w:type="dxa"/>
            <w:vAlign w:val="bottom"/>
          </w:tcPr>
          <w:p>
            <w:pPr>
              <w:ind w:left="360"/>
              <w:spacing w:after="0"/>
              <w:rPr>
                <w:sz w:val="20"/>
                <w:szCs w:val="20"/>
                <w:color w:val="auto"/>
              </w:rPr>
            </w:pPr>
            <w:r>
              <w:rPr>
                <w:rFonts w:ascii="Arial" w:cs="Arial" w:eastAsia="Arial" w:hAnsi="Arial"/>
                <w:sz w:val="18"/>
                <w:szCs w:val="18"/>
                <w:color w:val="auto"/>
              </w:rPr>
              <w:t>Brazil</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CID002707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40" w:type="dxa"/>
            <w:vAlign w:val="bottom"/>
          </w:tcPr>
          <w:p>
            <w:pPr>
              <w:ind w:left="80"/>
              <w:spacing w:after="0"/>
              <w:rPr>
                <w:sz w:val="20"/>
                <w:szCs w:val="20"/>
                <w:color w:val="auto"/>
              </w:rPr>
            </w:pPr>
            <w:r>
              <w:rPr>
                <w:rFonts w:ascii="Arial" w:cs="Arial" w:eastAsia="Arial" w:hAnsi="Arial"/>
                <w:sz w:val="18"/>
                <w:szCs w:val="18"/>
                <w:color w:val="auto"/>
              </w:rPr>
              <w:t>Abington Reldan Metals, LLC</w:t>
            </w:r>
          </w:p>
        </w:tc>
        <w:tc>
          <w:tcPr>
            <w:tcW w:w="2540" w:type="dxa"/>
            <w:vAlign w:val="bottom"/>
          </w:tcPr>
          <w:p>
            <w:pPr>
              <w:ind w:left="360"/>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CID002708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340" w:type="dxa"/>
            <w:vAlign w:val="bottom"/>
          </w:tcPr>
          <w:p>
            <w:pPr>
              <w:ind w:left="80"/>
              <w:spacing w:after="0"/>
              <w:rPr>
                <w:sz w:val="20"/>
                <w:szCs w:val="20"/>
                <w:color w:val="auto"/>
              </w:rPr>
            </w:pPr>
            <w:r>
              <w:rPr>
                <w:rFonts w:ascii="Arial" w:cs="Arial" w:eastAsia="Arial" w:hAnsi="Arial"/>
                <w:sz w:val="18"/>
                <w:szCs w:val="18"/>
                <w:color w:val="auto"/>
              </w:rPr>
              <w:t>Super Ligas</w:t>
            </w:r>
          </w:p>
        </w:tc>
        <w:tc>
          <w:tcPr>
            <w:tcW w:w="2540" w:type="dxa"/>
            <w:vAlign w:val="bottom"/>
          </w:tcPr>
          <w:p>
            <w:pPr>
              <w:ind w:left="360"/>
              <w:spacing w:after="0"/>
              <w:rPr>
                <w:sz w:val="20"/>
                <w:szCs w:val="20"/>
                <w:color w:val="auto"/>
              </w:rPr>
            </w:pPr>
            <w:r>
              <w:rPr>
                <w:rFonts w:ascii="Arial" w:cs="Arial" w:eastAsia="Arial" w:hAnsi="Arial"/>
                <w:sz w:val="18"/>
                <w:szCs w:val="18"/>
                <w:color w:val="auto"/>
              </w:rPr>
              <w:t>Brazil</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CID002756</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40" w:type="dxa"/>
            <w:vAlign w:val="bottom"/>
          </w:tcPr>
          <w:p>
            <w:pPr>
              <w:ind w:left="80"/>
              <w:spacing w:after="0"/>
              <w:rPr>
                <w:sz w:val="20"/>
                <w:szCs w:val="20"/>
                <w:color w:val="auto"/>
              </w:rPr>
            </w:pPr>
            <w:r>
              <w:rPr>
                <w:rFonts w:ascii="Arial" w:cs="Arial" w:eastAsia="Arial" w:hAnsi="Arial"/>
                <w:sz w:val="18"/>
                <w:szCs w:val="18"/>
                <w:color w:val="auto"/>
              </w:rPr>
              <w:t>Italpreziosi</w:t>
            </w:r>
          </w:p>
        </w:tc>
        <w:tc>
          <w:tcPr>
            <w:tcW w:w="2540" w:type="dxa"/>
            <w:vAlign w:val="bottom"/>
          </w:tcPr>
          <w:p>
            <w:pPr>
              <w:ind w:left="360"/>
              <w:spacing w:after="0"/>
              <w:rPr>
                <w:sz w:val="20"/>
                <w:szCs w:val="20"/>
                <w:color w:val="auto"/>
              </w:rPr>
            </w:pPr>
            <w:r>
              <w:rPr>
                <w:rFonts w:ascii="Arial" w:cs="Arial" w:eastAsia="Arial" w:hAnsi="Arial"/>
                <w:sz w:val="18"/>
                <w:szCs w:val="18"/>
                <w:color w:val="auto"/>
              </w:rPr>
              <w:t>Italy</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CID002765</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340" w:type="dxa"/>
            <w:vAlign w:val="bottom"/>
          </w:tcPr>
          <w:p>
            <w:pPr>
              <w:ind w:left="80"/>
              <w:spacing w:after="0"/>
              <w:rPr>
                <w:sz w:val="20"/>
                <w:szCs w:val="20"/>
                <w:color w:val="auto"/>
              </w:rPr>
            </w:pPr>
            <w:r>
              <w:rPr>
                <w:rFonts w:ascii="Arial" w:cs="Arial" w:eastAsia="Arial" w:hAnsi="Arial"/>
                <w:sz w:val="18"/>
                <w:szCs w:val="18"/>
                <w:color w:val="auto"/>
              </w:rPr>
              <w:t>Aurubis Beerse</w:t>
            </w:r>
          </w:p>
        </w:tc>
        <w:tc>
          <w:tcPr>
            <w:tcW w:w="2540" w:type="dxa"/>
            <w:vAlign w:val="bottom"/>
          </w:tcPr>
          <w:p>
            <w:pPr>
              <w:ind w:left="360"/>
              <w:spacing w:after="0"/>
              <w:rPr>
                <w:sz w:val="20"/>
                <w:szCs w:val="20"/>
                <w:color w:val="auto"/>
              </w:rPr>
            </w:pPr>
            <w:r>
              <w:rPr>
                <w:rFonts w:ascii="Arial" w:cs="Arial" w:eastAsia="Arial" w:hAnsi="Arial"/>
                <w:sz w:val="18"/>
                <w:szCs w:val="18"/>
                <w:color w:val="auto"/>
              </w:rPr>
              <w:t>Belgium</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CID002773</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340" w:type="dxa"/>
            <w:vAlign w:val="bottom"/>
          </w:tcPr>
          <w:p>
            <w:pPr>
              <w:ind w:left="80"/>
              <w:spacing w:after="0"/>
              <w:rPr>
                <w:sz w:val="20"/>
                <w:szCs w:val="20"/>
                <w:color w:val="auto"/>
              </w:rPr>
            </w:pPr>
            <w:r>
              <w:rPr>
                <w:rFonts w:ascii="Arial" w:cs="Arial" w:eastAsia="Arial" w:hAnsi="Arial"/>
                <w:sz w:val="18"/>
                <w:szCs w:val="18"/>
                <w:color w:val="auto"/>
              </w:rPr>
              <w:t>Aurubis Berango</w:t>
            </w:r>
          </w:p>
        </w:tc>
        <w:tc>
          <w:tcPr>
            <w:tcW w:w="2540" w:type="dxa"/>
            <w:vAlign w:val="bottom"/>
          </w:tcPr>
          <w:p>
            <w:pPr>
              <w:ind w:left="360"/>
              <w:spacing w:after="0"/>
              <w:rPr>
                <w:sz w:val="20"/>
                <w:szCs w:val="20"/>
                <w:color w:val="auto"/>
              </w:rPr>
            </w:pPr>
            <w:r>
              <w:rPr>
                <w:rFonts w:ascii="Arial" w:cs="Arial" w:eastAsia="Arial" w:hAnsi="Arial"/>
                <w:sz w:val="18"/>
                <w:szCs w:val="18"/>
                <w:color w:val="auto"/>
              </w:rPr>
              <w:t>Spain</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CID002774</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340" w:type="dxa"/>
            <w:vAlign w:val="bottom"/>
          </w:tcPr>
          <w:p>
            <w:pPr>
              <w:ind w:left="80"/>
              <w:spacing w:after="0"/>
              <w:rPr>
                <w:sz w:val="20"/>
                <w:szCs w:val="20"/>
                <w:color w:val="auto"/>
              </w:rPr>
            </w:pPr>
            <w:r>
              <w:rPr>
                <w:rFonts w:ascii="Arial" w:cs="Arial" w:eastAsia="Arial" w:hAnsi="Arial"/>
                <w:sz w:val="18"/>
                <w:szCs w:val="18"/>
                <w:color w:val="auto"/>
              </w:rPr>
              <w:t>WIELAND Edelmetalle GmbH</w:t>
            </w:r>
          </w:p>
        </w:tc>
        <w:tc>
          <w:tcPr>
            <w:tcW w:w="2540" w:type="dxa"/>
            <w:vAlign w:val="bottom"/>
          </w:tcPr>
          <w:p>
            <w:pPr>
              <w:ind w:left="360"/>
              <w:spacing w:after="0"/>
              <w:rPr>
                <w:sz w:val="20"/>
                <w:szCs w:val="20"/>
                <w:color w:val="auto"/>
              </w:rPr>
            </w:pPr>
            <w:r>
              <w:rPr>
                <w:rFonts w:ascii="Arial" w:cs="Arial" w:eastAsia="Arial" w:hAnsi="Arial"/>
                <w:sz w:val="18"/>
                <w:szCs w:val="18"/>
                <w:color w:val="auto"/>
              </w:rPr>
              <w:t>Germany</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CID002778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340" w:type="dxa"/>
            <w:vAlign w:val="bottom"/>
          </w:tcPr>
          <w:p>
            <w:pPr>
              <w:ind w:left="80"/>
              <w:spacing w:after="0"/>
              <w:rPr>
                <w:sz w:val="20"/>
                <w:szCs w:val="20"/>
                <w:color w:val="auto"/>
              </w:rPr>
            </w:pPr>
            <w:r>
              <w:rPr>
                <w:rFonts w:ascii="Arial" w:cs="Arial" w:eastAsia="Arial" w:hAnsi="Arial"/>
                <w:sz w:val="18"/>
                <w:szCs w:val="18"/>
                <w:color w:val="auto"/>
              </w:rPr>
              <w:t>Jiangxi Tuohong New Raw Material</w:t>
            </w:r>
          </w:p>
        </w:tc>
        <w:tc>
          <w:tcPr>
            <w:tcW w:w="2540" w:type="dxa"/>
            <w:vAlign w:val="bottom"/>
          </w:tcPr>
          <w:p>
            <w:pPr>
              <w:ind w:left="36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CID002842</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bl>
    <w:p>
      <w:pPr>
        <w:sectPr>
          <w:pgSz w:w="11900" w:h="16838" w:orient="portrait"/>
          <w:cols w:equalWidth="0" w:num="1">
            <w:col w:w="10019"/>
          </w:cols>
          <w:pgMar w:left="440" w:top="269" w:right="1440"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80" w:type="dxa"/>
            <w:vAlign w:val="bottom"/>
          </w:tcPr>
          <w:p>
            <w:pPr>
              <w:ind w:left="80"/>
              <w:spacing w:after="0"/>
              <w:rPr>
                <w:sz w:val="20"/>
                <w:szCs w:val="20"/>
                <w:color w:val="auto"/>
              </w:rPr>
            </w:pPr>
            <w:r>
              <w:rPr>
                <w:rFonts w:ascii="Arial" w:cs="Arial" w:eastAsia="Arial" w:hAnsi="Arial"/>
                <w:sz w:val="18"/>
                <w:szCs w:val="18"/>
                <w:color w:val="auto"/>
              </w:rPr>
              <w:t>SungEel HiMetal Co., Ltd.</w:t>
            </w:r>
          </w:p>
        </w:tc>
        <w:tc>
          <w:tcPr>
            <w:tcW w:w="2340" w:type="dxa"/>
            <w:vAlign w:val="bottom"/>
          </w:tcPr>
          <w:p>
            <w:pPr>
              <w:ind w:left="120"/>
              <w:spacing w:after="0"/>
              <w:rPr>
                <w:sz w:val="20"/>
                <w:szCs w:val="20"/>
                <w:color w:val="auto"/>
              </w:rPr>
            </w:pPr>
            <w:r>
              <w:rPr>
                <w:rFonts w:ascii="Arial" w:cs="Arial" w:eastAsia="Arial" w:hAnsi="Arial"/>
                <w:sz w:val="18"/>
                <w:szCs w:val="18"/>
                <w:color w:val="auto"/>
              </w:rPr>
              <w:t>Korea, Republic Of</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CID002918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80" w:type="dxa"/>
            <w:vAlign w:val="bottom"/>
          </w:tcPr>
          <w:p>
            <w:pPr>
              <w:ind w:left="80"/>
              <w:spacing w:after="0"/>
              <w:rPr>
                <w:sz w:val="20"/>
                <w:szCs w:val="20"/>
                <w:color w:val="auto"/>
              </w:rPr>
            </w:pPr>
            <w:r>
              <w:rPr>
                <w:rFonts w:ascii="Arial" w:cs="Arial" w:eastAsia="Arial" w:hAnsi="Arial"/>
                <w:sz w:val="18"/>
                <w:szCs w:val="18"/>
                <w:color w:val="auto"/>
              </w:rPr>
              <w:t>Planta Recuperadora de Metales SpA</w:t>
            </w:r>
          </w:p>
        </w:tc>
        <w:tc>
          <w:tcPr>
            <w:tcW w:w="2340" w:type="dxa"/>
            <w:vAlign w:val="bottom"/>
          </w:tcPr>
          <w:p>
            <w:pPr>
              <w:ind w:left="120"/>
              <w:spacing w:after="0"/>
              <w:rPr>
                <w:sz w:val="20"/>
                <w:szCs w:val="20"/>
                <w:color w:val="auto"/>
              </w:rPr>
            </w:pPr>
            <w:r>
              <w:rPr>
                <w:rFonts w:ascii="Arial" w:cs="Arial" w:eastAsia="Arial" w:hAnsi="Arial"/>
                <w:sz w:val="18"/>
                <w:szCs w:val="18"/>
                <w:color w:val="auto"/>
              </w:rPr>
              <w:t>Chile</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CID002919</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580" w:type="dxa"/>
            <w:vAlign w:val="bottom"/>
          </w:tcPr>
          <w:p>
            <w:pPr>
              <w:ind w:left="80"/>
              <w:spacing w:after="0"/>
              <w:rPr>
                <w:sz w:val="20"/>
                <w:szCs w:val="20"/>
                <w:color w:val="auto"/>
              </w:rPr>
            </w:pPr>
            <w:r>
              <w:rPr>
                <w:rFonts w:ascii="Arial" w:cs="Arial" w:eastAsia="Arial" w:hAnsi="Arial"/>
                <w:sz w:val="18"/>
                <w:szCs w:val="18"/>
                <w:color w:val="auto"/>
              </w:rPr>
              <w:t>Guangdong Hanhe Non-Ferrous Metal Co., Ltd.</w:t>
            </w:r>
          </w:p>
        </w:tc>
        <w:tc>
          <w:tcPr>
            <w:tcW w:w="2340" w:type="dxa"/>
            <w:vAlign w:val="bottom"/>
          </w:tcPr>
          <w:p>
            <w:pPr>
              <w:ind w:left="12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CID003116</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80" w:type="dxa"/>
            <w:vAlign w:val="bottom"/>
          </w:tcPr>
          <w:p>
            <w:pPr>
              <w:ind w:left="80"/>
              <w:spacing w:after="0"/>
              <w:rPr>
                <w:sz w:val="20"/>
                <w:szCs w:val="20"/>
                <w:color w:val="auto"/>
              </w:rPr>
            </w:pPr>
            <w:r>
              <w:rPr>
                <w:rFonts w:ascii="Arial" w:cs="Arial" w:eastAsia="Arial" w:hAnsi="Arial"/>
                <w:sz w:val="18"/>
                <w:szCs w:val="18"/>
                <w:color w:val="auto"/>
              </w:rPr>
              <w:t>NH Recytech Company</w:t>
            </w:r>
          </w:p>
        </w:tc>
        <w:tc>
          <w:tcPr>
            <w:tcW w:w="2340" w:type="dxa"/>
            <w:vAlign w:val="bottom"/>
          </w:tcPr>
          <w:p>
            <w:pPr>
              <w:ind w:left="120"/>
              <w:spacing w:after="0"/>
              <w:rPr>
                <w:sz w:val="20"/>
                <w:szCs w:val="20"/>
                <w:color w:val="auto"/>
              </w:rPr>
            </w:pPr>
            <w:r>
              <w:rPr>
                <w:rFonts w:ascii="Arial" w:cs="Arial" w:eastAsia="Arial" w:hAnsi="Arial"/>
                <w:sz w:val="18"/>
                <w:szCs w:val="18"/>
                <w:color w:val="auto"/>
              </w:rPr>
              <w:t>Korea, Republic Of</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CID003189</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580" w:type="dxa"/>
            <w:vAlign w:val="bottom"/>
          </w:tcPr>
          <w:p>
            <w:pPr>
              <w:ind w:left="80"/>
              <w:spacing w:after="0"/>
              <w:rPr>
                <w:sz w:val="20"/>
                <w:szCs w:val="20"/>
                <w:color w:val="auto"/>
              </w:rPr>
            </w:pPr>
            <w:r>
              <w:rPr>
                <w:rFonts w:ascii="Arial" w:cs="Arial" w:eastAsia="Arial" w:hAnsi="Arial"/>
                <w:sz w:val="18"/>
                <w:szCs w:val="18"/>
                <w:color w:val="auto"/>
              </w:rPr>
              <w:t>Chifeng Dajingzi Tin Industry Co., Ltd.</w:t>
            </w:r>
          </w:p>
        </w:tc>
        <w:tc>
          <w:tcPr>
            <w:tcW w:w="2340" w:type="dxa"/>
            <w:vAlign w:val="bottom"/>
          </w:tcPr>
          <w:p>
            <w:pPr>
              <w:ind w:left="12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CID003190</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580" w:type="dxa"/>
            <w:vAlign w:val="bottom"/>
          </w:tcPr>
          <w:p>
            <w:pPr>
              <w:ind w:left="80"/>
              <w:spacing w:after="0"/>
              <w:rPr>
                <w:sz w:val="20"/>
                <w:szCs w:val="20"/>
                <w:color w:val="auto"/>
              </w:rPr>
            </w:pPr>
            <w:r>
              <w:rPr>
                <w:rFonts w:ascii="Arial" w:cs="Arial" w:eastAsia="Arial" w:hAnsi="Arial"/>
                <w:sz w:val="18"/>
                <w:szCs w:val="18"/>
                <w:color w:val="auto"/>
              </w:rPr>
              <w:t>Tin Technology &amp; Refining</w:t>
            </w:r>
          </w:p>
        </w:tc>
        <w:tc>
          <w:tcPr>
            <w:tcW w:w="2340" w:type="dxa"/>
            <w:vAlign w:val="bottom"/>
          </w:tcPr>
          <w:p>
            <w:pPr>
              <w:ind w:left="120"/>
              <w:spacing w:after="0"/>
              <w:rPr>
                <w:sz w:val="20"/>
                <w:szCs w:val="20"/>
                <w:color w:val="auto"/>
              </w:rPr>
            </w:pPr>
            <w:r>
              <w:rPr>
                <w:rFonts w:ascii="Arial" w:cs="Arial" w:eastAsia="Arial" w:hAnsi="Arial"/>
                <w:sz w:val="18"/>
                <w:szCs w:val="18"/>
                <w:color w:val="auto"/>
              </w:rPr>
              <w:t>United States Of America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CID003325</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580" w:type="dxa"/>
            <w:vAlign w:val="bottom"/>
          </w:tcPr>
          <w:p>
            <w:pPr>
              <w:ind w:left="80"/>
              <w:spacing w:after="0"/>
              <w:rPr>
                <w:sz w:val="20"/>
                <w:szCs w:val="20"/>
                <w:color w:val="auto"/>
              </w:rPr>
            </w:pPr>
            <w:r>
              <w:rPr>
                <w:rFonts w:ascii="Arial" w:cs="Arial" w:eastAsia="Arial" w:hAnsi="Arial"/>
                <w:sz w:val="18"/>
                <w:szCs w:val="18"/>
                <w:color w:val="auto"/>
              </w:rPr>
              <w:t>Luna Smelter, Ltd.</w:t>
            </w:r>
          </w:p>
        </w:tc>
        <w:tc>
          <w:tcPr>
            <w:tcW w:w="2340" w:type="dxa"/>
            <w:vAlign w:val="bottom"/>
          </w:tcPr>
          <w:p>
            <w:pPr>
              <w:ind w:left="120"/>
              <w:spacing w:after="0"/>
              <w:rPr>
                <w:sz w:val="20"/>
                <w:szCs w:val="20"/>
                <w:color w:val="auto"/>
              </w:rPr>
            </w:pPr>
            <w:r>
              <w:rPr>
                <w:rFonts w:ascii="Arial" w:cs="Arial" w:eastAsia="Arial" w:hAnsi="Arial"/>
                <w:sz w:val="18"/>
                <w:szCs w:val="18"/>
                <w:color w:val="auto"/>
              </w:rPr>
              <w:t>Rwanda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CID003387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580" w:type="dxa"/>
            <w:vAlign w:val="bottom"/>
          </w:tcPr>
          <w:p>
            <w:pPr>
              <w:ind w:left="80"/>
              <w:spacing w:after="0"/>
              <w:rPr>
                <w:sz w:val="20"/>
                <w:szCs w:val="20"/>
                <w:color w:val="auto"/>
              </w:rPr>
            </w:pPr>
            <w:r>
              <w:rPr>
                <w:rFonts w:ascii="Arial" w:cs="Arial" w:eastAsia="Arial" w:hAnsi="Arial"/>
                <w:sz w:val="18"/>
                <w:szCs w:val="18"/>
                <w:color w:val="auto"/>
              </w:rPr>
              <w:t>Yunnan Yunfan Non-ferrous Metals Co., Ltd.</w:t>
            </w:r>
          </w:p>
        </w:tc>
        <w:tc>
          <w:tcPr>
            <w:tcW w:w="2340" w:type="dxa"/>
            <w:vAlign w:val="bottom"/>
          </w:tcPr>
          <w:p>
            <w:pPr>
              <w:ind w:left="12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CID003397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580" w:type="dxa"/>
            <w:vAlign w:val="bottom"/>
          </w:tcPr>
          <w:p>
            <w:pPr>
              <w:ind w:left="80"/>
              <w:spacing w:after="0"/>
              <w:rPr>
                <w:sz w:val="20"/>
                <w:szCs w:val="20"/>
                <w:color w:val="auto"/>
              </w:rPr>
            </w:pPr>
            <w:r>
              <w:rPr>
                <w:rFonts w:ascii="Arial" w:cs="Arial" w:eastAsia="Arial" w:hAnsi="Arial"/>
                <w:sz w:val="18"/>
                <w:szCs w:val="18"/>
                <w:color w:val="auto"/>
              </w:rPr>
              <w:t>Lianyou Metals Co., Ltd.</w:t>
            </w:r>
          </w:p>
        </w:tc>
        <w:tc>
          <w:tcPr>
            <w:tcW w:w="2340" w:type="dxa"/>
            <w:vAlign w:val="bottom"/>
          </w:tcPr>
          <w:p>
            <w:pPr>
              <w:ind w:left="120"/>
              <w:spacing w:after="0"/>
              <w:rPr>
                <w:sz w:val="20"/>
                <w:szCs w:val="20"/>
                <w:color w:val="auto"/>
              </w:rPr>
            </w:pPr>
            <w:r>
              <w:rPr>
                <w:rFonts w:ascii="Arial" w:cs="Arial" w:eastAsia="Arial" w:hAnsi="Arial"/>
                <w:sz w:val="18"/>
                <w:szCs w:val="18"/>
                <w:color w:val="auto"/>
              </w:rPr>
              <w:t>Taiwan, Province Of 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CID003407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580" w:type="dxa"/>
            <w:vAlign w:val="bottom"/>
          </w:tcPr>
          <w:p>
            <w:pPr>
              <w:ind w:left="80"/>
              <w:spacing w:after="0"/>
              <w:rPr>
                <w:sz w:val="20"/>
                <w:szCs w:val="20"/>
                <w:color w:val="auto"/>
              </w:rPr>
            </w:pPr>
            <w:r>
              <w:rPr>
                <w:rFonts w:ascii="Arial" w:cs="Arial" w:eastAsia="Arial" w:hAnsi="Arial"/>
                <w:sz w:val="18"/>
                <w:szCs w:val="18"/>
                <w:color w:val="auto"/>
              </w:rPr>
              <w:t>Hubei Green Tungsten Co., Ltd.</w:t>
            </w:r>
          </w:p>
        </w:tc>
        <w:tc>
          <w:tcPr>
            <w:tcW w:w="2340" w:type="dxa"/>
            <w:vAlign w:val="bottom"/>
          </w:tcPr>
          <w:p>
            <w:pPr>
              <w:ind w:left="12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CID003417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80" w:type="dxa"/>
            <w:vAlign w:val="bottom"/>
          </w:tcPr>
          <w:p>
            <w:pPr>
              <w:ind w:left="80"/>
              <w:spacing w:after="0"/>
              <w:rPr>
                <w:sz w:val="20"/>
                <w:szCs w:val="20"/>
                <w:color w:val="auto"/>
              </w:rPr>
            </w:pPr>
            <w:r>
              <w:rPr>
                <w:rFonts w:ascii="Arial" w:cs="Arial" w:eastAsia="Arial" w:hAnsi="Arial"/>
                <w:sz w:val="18"/>
                <w:szCs w:val="18"/>
                <w:color w:val="auto"/>
              </w:rPr>
              <w:t>Eco-System Recycling Co., Ltd. North Plant</w:t>
            </w:r>
          </w:p>
        </w:tc>
        <w:tc>
          <w:tcPr>
            <w:tcW w:w="2340" w:type="dxa"/>
            <w:vAlign w:val="bottom"/>
          </w:tcPr>
          <w:p>
            <w:pPr>
              <w:ind w:left="120"/>
              <w:spacing w:after="0"/>
              <w:rPr>
                <w:sz w:val="20"/>
                <w:szCs w:val="20"/>
                <w:color w:val="auto"/>
              </w:rPr>
            </w:pPr>
            <w:r>
              <w:rPr>
                <w:rFonts w:ascii="Arial" w:cs="Arial" w:eastAsia="Arial" w:hAnsi="Arial"/>
                <w:sz w:val="18"/>
                <w:szCs w:val="18"/>
                <w:color w:val="auto"/>
              </w:rPr>
              <w:t>Japan</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CID003424</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80" w:type="dxa"/>
            <w:vAlign w:val="bottom"/>
          </w:tcPr>
          <w:p>
            <w:pPr>
              <w:ind w:left="80"/>
              <w:spacing w:after="0"/>
              <w:rPr>
                <w:sz w:val="20"/>
                <w:szCs w:val="20"/>
                <w:color w:val="auto"/>
              </w:rPr>
            </w:pPr>
            <w:r>
              <w:rPr>
                <w:rFonts w:ascii="Arial" w:cs="Arial" w:eastAsia="Arial" w:hAnsi="Arial"/>
                <w:sz w:val="18"/>
                <w:szCs w:val="18"/>
                <w:color w:val="auto"/>
              </w:rPr>
              <w:t>Eco-System Recycling Co., Ltd. West Plant</w:t>
            </w:r>
          </w:p>
        </w:tc>
        <w:tc>
          <w:tcPr>
            <w:tcW w:w="2340" w:type="dxa"/>
            <w:vAlign w:val="bottom"/>
          </w:tcPr>
          <w:p>
            <w:pPr>
              <w:ind w:left="120"/>
              <w:spacing w:after="0"/>
              <w:rPr>
                <w:sz w:val="20"/>
                <w:szCs w:val="20"/>
                <w:color w:val="auto"/>
              </w:rPr>
            </w:pPr>
            <w:r>
              <w:rPr>
                <w:rFonts w:ascii="Arial" w:cs="Arial" w:eastAsia="Arial" w:hAnsi="Arial"/>
                <w:sz w:val="18"/>
                <w:szCs w:val="18"/>
                <w:color w:val="auto"/>
              </w:rPr>
              <w:t>Japan</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CID003425</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580" w:type="dxa"/>
            <w:vAlign w:val="bottom"/>
          </w:tcPr>
          <w:p>
            <w:pPr>
              <w:ind w:left="80"/>
              <w:spacing w:after="0"/>
              <w:rPr>
                <w:sz w:val="20"/>
                <w:szCs w:val="20"/>
                <w:color w:val="auto"/>
              </w:rPr>
            </w:pPr>
            <w:r>
              <w:rPr>
                <w:rFonts w:ascii="Arial" w:cs="Arial" w:eastAsia="Arial" w:hAnsi="Arial"/>
                <w:sz w:val="18"/>
                <w:szCs w:val="18"/>
                <w:color w:val="auto"/>
              </w:rPr>
              <w:t>PT Mitra Sukses Globalindo</w:t>
            </w:r>
          </w:p>
        </w:tc>
        <w:tc>
          <w:tcPr>
            <w:tcW w:w="2340" w:type="dxa"/>
            <w:vAlign w:val="bottom"/>
          </w:tcPr>
          <w:p>
            <w:pPr>
              <w:ind w:left="120"/>
              <w:spacing w:after="0"/>
              <w:rPr>
                <w:sz w:val="20"/>
                <w:szCs w:val="20"/>
                <w:color w:val="auto"/>
              </w:rPr>
            </w:pPr>
            <w:r>
              <w:rPr>
                <w:rFonts w:ascii="Arial" w:cs="Arial" w:eastAsia="Arial" w:hAnsi="Arial"/>
                <w:sz w:val="18"/>
                <w:szCs w:val="18"/>
                <w:color w:val="auto"/>
              </w:rPr>
              <w:t>Indonesia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CID003449</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580" w:type="dxa"/>
            <w:vAlign w:val="bottom"/>
          </w:tcPr>
          <w:p>
            <w:pPr>
              <w:ind w:left="80"/>
              <w:spacing w:after="0"/>
              <w:rPr>
                <w:sz w:val="20"/>
                <w:szCs w:val="20"/>
                <w:color w:val="auto"/>
              </w:rPr>
            </w:pPr>
            <w:r>
              <w:rPr>
                <w:rFonts w:ascii="Arial" w:cs="Arial" w:eastAsia="Arial" w:hAnsi="Arial"/>
                <w:sz w:val="18"/>
                <w:szCs w:val="18"/>
                <w:color w:val="auto"/>
              </w:rPr>
              <w:t>Cronimet Brasil Ltda</w:t>
            </w:r>
          </w:p>
        </w:tc>
        <w:tc>
          <w:tcPr>
            <w:tcW w:w="2340" w:type="dxa"/>
            <w:vAlign w:val="bottom"/>
          </w:tcPr>
          <w:p>
            <w:pPr>
              <w:ind w:left="120"/>
              <w:spacing w:after="0"/>
              <w:rPr>
                <w:sz w:val="20"/>
                <w:szCs w:val="20"/>
                <w:color w:val="auto"/>
              </w:rPr>
            </w:pPr>
            <w:r>
              <w:rPr>
                <w:rFonts w:ascii="Arial" w:cs="Arial" w:eastAsia="Arial" w:hAnsi="Arial"/>
                <w:sz w:val="18"/>
                <w:szCs w:val="18"/>
                <w:color w:val="auto"/>
              </w:rPr>
              <w:t>Brazil</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CID003468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580" w:type="dxa"/>
            <w:vAlign w:val="bottom"/>
          </w:tcPr>
          <w:p>
            <w:pPr>
              <w:ind w:left="80"/>
              <w:spacing w:after="0"/>
              <w:rPr>
                <w:sz w:val="20"/>
                <w:szCs w:val="20"/>
                <w:color w:val="auto"/>
              </w:rPr>
            </w:pPr>
            <w:r>
              <w:rPr>
                <w:rFonts w:ascii="Arial" w:cs="Arial" w:eastAsia="Arial" w:hAnsi="Arial"/>
                <w:sz w:val="18"/>
                <w:szCs w:val="18"/>
                <w:color w:val="auto"/>
              </w:rPr>
              <w:t>CRM Synergies</w:t>
            </w:r>
          </w:p>
        </w:tc>
        <w:tc>
          <w:tcPr>
            <w:tcW w:w="2340" w:type="dxa"/>
            <w:vAlign w:val="bottom"/>
          </w:tcPr>
          <w:p>
            <w:pPr>
              <w:ind w:left="120"/>
              <w:spacing w:after="0"/>
              <w:rPr>
                <w:sz w:val="20"/>
                <w:szCs w:val="20"/>
                <w:color w:val="auto"/>
              </w:rPr>
            </w:pPr>
            <w:r>
              <w:rPr>
                <w:rFonts w:ascii="Arial" w:cs="Arial" w:eastAsia="Arial" w:hAnsi="Arial"/>
                <w:sz w:val="18"/>
                <w:szCs w:val="18"/>
                <w:color w:val="auto"/>
              </w:rPr>
              <w:t>Spain</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CID003524</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80" w:type="dxa"/>
            <w:vAlign w:val="bottom"/>
          </w:tcPr>
          <w:p>
            <w:pPr>
              <w:ind w:left="80"/>
              <w:spacing w:after="0"/>
              <w:rPr>
                <w:sz w:val="20"/>
                <w:szCs w:val="20"/>
                <w:color w:val="auto"/>
              </w:rPr>
            </w:pPr>
            <w:r>
              <w:rPr>
                <w:rFonts w:ascii="Arial" w:cs="Arial" w:eastAsia="Arial" w:hAnsi="Arial"/>
                <w:sz w:val="18"/>
                <w:szCs w:val="18"/>
                <w:color w:val="auto"/>
              </w:rPr>
              <w:t>Metal Concentrators SA (Pty) Ltd.</w:t>
            </w:r>
          </w:p>
        </w:tc>
        <w:tc>
          <w:tcPr>
            <w:tcW w:w="2340" w:type="dxa"/>
            <w:vAlign w:val="bottom"/>
          </w:tcPr>
          <w:p>
            <w:pPr>
              <w:ind w:left="120"/>
              <w:spacing w:after="0"/>
              <w:rPr>
                <w:sz w:val="20"/>
                <w:szCs w:val="20"/>
                <w:color w:val="auto"/>
              </w:rPr>
            </w:pPr>
            <w:r>
              <w:rPr>
                <w:rFonts w:ascii="Arial" w:cs="Arial" w:eastAsia="Arial" w:hAnsi="Arial"/>
                <w:sz w:val="18"/>
                <w:szCs w:val="18"/>
                <w:color w:val="auto"/>
              </w:rPr>
              <w:t>South Africa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CID003575</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80" w:type="dxa"/>
            <w:vAlign w:val="bottom"/>
          </w:tcPr>
          <w:p>
            <w:pPr>
              <w:ind w:left="80"/>
              <w:spacing w:after="0"/>
              <w:rPr>
                <w:sz w:val="20"/>
                <w:szCs w:val="20"/>
                <w:color w:val="auto"/>
              </w:rPr>
            </w:pPr>
            <w:r>
              <w:rPr>
                <w:rFonts w:ascii="Arial" w:cs="Arial" w:eastAsia="Arial" w:hAnsi="Arial"/>
                <w:sz w:val="18"/>
                <w:szCs w:val="18"/>
                <w:color w:val="auto"/>
              </w:rPr>
              <w:t>Gold by Gold Colombia</w:t>
            </w:r>
          </w:p>
        </w:tc>
        <w:tc>
          <w:tcPr>
            <w:tcW w:w="2340" w:type="dxa"/>
            <w:vAlign w:val="bottom"/>
          </w:tcPr>
          <w:p>
            <w:pPr>
              <w:ind w:left="120"/>
              <w:spacing w:after="0"/>
              <w:rPr>
                <w:sz w:val="20"/>
                <w:szCs w:val="20"/>
                <w:color w:val="auto"/>
              </w:rPr>
            </w:pPr>
            <w:r>
              <w:rPr>
                <w:rFonts w:ascii="Arial" w:cs="Arial" w:eastAsia="Arial" w:hAnsi="Arial"/>
                <w:sz w:val="18"/>
                <w:szCs w:val="18"/>
                <w:color w:val="auto"/>
              </w:rPr>
              <w:t>Colombia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CID003641</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580" w:type="dxa"/>
            <w:vAlign w:val="bottom"/>
          </w:tcPr>
          <w:p>
            <w:pPr>
              <w:ind w:left="80"/>
              <w:spacing w:after="0"/>
              <w:rPr>
                <w:sz w:val="20"/>
                <w:szCs w:val="20"/>
                <w:color w:val="auto"/>
              </w:rPr>
            </w:pPr>
            <w:r>
              <w:rPr>
                <w:rFonts w:ascii="Arial" w:cs="Arial" w:eastAsia="Arial" w:hAnsi="Arial"/>
                <w:sz w:val="18"/>
                <w:szCs w:val="18"/>
                <w:color w:val="auto"/>
              </w:rPr>
              <w:t>PT Putera Sarana Shakti (PT PSS)</w:t>
            </w:r>
          </w:p>
        </w:tc>
        <w:tc>
          <w:tcPr>
            <w:tcW w:w="2340" w:type="dxa"/>
            <w:vAlign w:val="bottom"/>
          </w:tcPr>
          <w:p>
            <w:pPr>
              <w:ind w:left="120"/>
              <w:spacing w:after="0"/>
              <w:rPr>
                <w:sz w:val="20"/>
                <w:szCs w:val="20"/>
                <w:color w:val="auto"/>
              </w:rPr>
            </w:pPr>
            <w:r>
              <w:rPr>
                <w:rFonts w:ascii="Arial" w:cs="Arial" w:eastAsia="Arial" w:hAnsi="Arial"/>
                <w:sz w:val="18"/>
                <w:szCs w:val="18"/>
                <w:color w:val="auto"/>
              </w:rPr>
              <w:t>Indonesia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CID003868</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580" w:type="dxa"/>
            <w:vAlign w:val="bottom"/>
          </w:tcPr>
          <w:p>
            <w:pPr>
              <w:ind w:left="80"/>
              <w:spacing w:after="0"/>
              <w:rPr>
                <w:sz w:val="20"/>
                <w:szCs w:val="20"/>
                <w:color w:val="auto"/>
              </w:rPr>
            </w:pPr>
            <w:r>
              <w:rPr>
                <w:rFonts w:ascii="Arial" w:cs="Arial" w:eastAsia="Arial" w:hAnsi="Arial"/>
                <w:sz w:val="18"/>
                <w:szCs w:val="18"/>
                <w:color w:val="auto"/>
              </w:rPr>
              <w:t>Tungsten Vietnam Joint Stock Company</w:t>
            </w:r>
          </w:p>
        </w:tc>
        <w:tc>
          <w:tcPr>
            <w:tcW w:w="2340" w:type="dxa"/>
            <w:vAlign w:val="bottom"/>
          </w:tcPr>
          <w:p>
            <w:pPr>
              <w:ind w:left="120"/>
              <w:spacing w:after="0"/>
              <w:rPr>
                <w:sz w:val="20"/>
                <w:szCs w:val="20"/>
                <w:color w:val="auto"/>
              </w:rPr>
            </w:pPr>
            <w:r>
              <w:rPr>
                <w:rFonts w:ascii="Arial" w:cs="Arial" w:eastAsia="Arial" w:hAnsi="Arial"/>
                <w:sz w:val="18"/>
                <w:szCs w:val="18"/>
                <w:color w:val="auto"/>
              </w:rPr>
              <w:t>Viet Nam</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CID003993</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80" w:type="dxa"/>
            <w:vAlign w:val="bottom"/>
          </w:tcPr>
          <w:p>
            <w:pPr>
              <w:ind w:left="80"/>
              <w:spacing w:after="0"/>
              <w:rPr>
                <w:sz w:val="20"/>
                <w:szCs w:val="20"/>
                <w:color w:val="auto"/>
              </w:rPr>
            </w:pPr>
            <w:r>
              <w:rPr>
                <w:rFonts w:ascii="Arial" w:cs="Arial" w:eastAsia="Arial" w:hAnsi="Arial"/>
                <w:sz w:val="18"/>
                <w:szCs w:val="18"/>
                <w:color w:val="auto"/>
              </w:rPr>
              <w:t>Coimpa Industrial LTDA</w:t>
            </w:r>
          </w:p>
        </w:tc>
        <w:tc>
          <w:tcPr>
            <w:tcW w:w="2340" w:type="dxa"/>
            <w:vAlign w:val="bottom"/>
          </w:tcPr>
          <w:p>
            <w:pPr>
              <w:ind w:left="120"/>
              <w:spacing w:after="0"/>
              <w:rPr>
                <w:sz w:val="20"/>
                <w:szCs w:val="20"/>
                <w:color w:val="auto"/>
              </w:rPr>
            </w:pPr>
            <w:r>
              <w:rPr>
                <w:rFonts w:ascii="Arial" w:cs="Arial" w:eastAsia="Arial" w:hAnsi="Arial"/>
                <w:sz w:val="18"/>
                <w:szCs w:val="18"/>
                <w:color w:val="auto"/>
              </w:rPr>
              <w:t>Brazil</w:t>
            </w:r>
          </w:p>
        </w:tc>
        <w:tc>
          <w:tcPr>
            <w:tcW w:w="1100" w:type="dxa"/>
            <w:vAlign w:val="bottom"/>
          </w:tcPr>
          <w:p>
            <w:pPr>
              <w:ind w:left="100"/>
              <w:spacing w:after="0"/>
              <w:rPr>
                <w:sz w:val="20"/>
                <w:szCs w:val="20"/>
                <w:color w:val="auto"/>
              </w:rPr>
            </w:pPr>
            <w:r>
              <w:rPr>
                <w:rFonts w:ascii="Arial" w:cs="Arial" w:eastAsia="Arial" w:hAnsi="Arial"/>
                <w:sz w:val="18"/>
                <w:szCs w:val="18"/>
                <w:color w:val="auto"/>
              </w:rPr>
              <w:t>CID004010</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580" w:type="dxa"/>
            <w:vAlign w:val="bottom"/>
          </w:tcPr>
          <w:p>
            <w:pPr>
              <w:ind w:left="80"/>
              <w:spacing w:after="0"/>
              <w:rPr>
                <w:sz w:val="20"/>
                <w:szCs w:val="20"/>
                <w:color w:val="auto"/>
              </w:rPr>
            </w:pPr>
            <w:r>
              <w:rPr>
                <w:rFonts w:ascii="Arial" w:cs="Arial" w:eastAsia="Arial" w:hAnsi="Arial"/>
                <w:sz w:val="18"/>
                <w:szCs w:val="18"/>
                <w:color w:val="auto"/>
              </w:rPr>
              <w:t>PowerX Ltd.</w:t>
            </w:r>
          </w:p>
        </w:tc>
        <w:tc>
          <w:tcPr>
            <w:tcW w:w="2340" w:type="dxa"/>
            <w:vAlign w:val="bottom"/>
          </w:tcPr>
          <w:p>
            <w:pPr>
              <w:ind w:left="120"/>
              <w:spacing w:after="0"/>
              <w:rPr>
                <w:sz w:val="20"/>
                <w:szCs w:val="20"/>
                <w:color w:val="auto"/>
              </w:rPr>
            </w:pPr>
            <w:r>
              <w:rPr>
                <w:rFonts w:ascii="Arial" w:cs="Arial" w:eastAsia="Arial" w:hAnsi="Arial"/>
                <w:sz w:val="18"/>
                <w:szCs w:val="18"/>
                <w:color w:val="auto"/>
              </w:rPr>
              <w:t>Rwanda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CID004054</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288"/>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580" w:type="dxa"/>
            <w:vAlign w:val="bottom"/>
          </w:tcPr>
          <w:p>
            <w:pPr>
              <w:ind w:left="80"/>
              <w:spacing w:after="0"/>
              <w:rPr>
                <w:sz w:val="20"/>
                <w:szCs w:val="20"/>
                <w:color w:val="auto"/>
              </w:rPr>
            </w:pPr>
            <w:r>
              <w:rPr>
                <w:rFonts w:ascii="Arial" w:cs="Arial" w:eastAsia="Arial" w:hAnsi="Arial"/>
                <w:sz w:val="18"/>
                <w:szCs w:val="18"/>
                <w:color w:val="auto"/>
              </w:rPr>
              <w:t>Mining Minerals Resources SARL</w:t>
            </w:r>
          </w:p>
        </w:tc>
        <w:tc>
          <w:tcPr>
            <w:tcW w:w="2340" w:type="dxa"/>
            <w:vAlign w:val="bottom"/>
          </w:tcPr>
          <w:p>
            <w:pPr>
              <w:ind w:left="120"/>
              <w:spacing w:after="0"/>
              <w:rPr>
                <w:sz w:val="20"/>
                <w:szCs w:val="20"/>
                <w:color w:val="auto"/>
              </w:rPr>
            </w:pPr>
            <w:r>
              <w:rPr>
                <w:rFonts w:ascii="Arial" w:cs="Arial" w:eastAsia="Arial" w:hAnsi="Arial"/>
                <w:sz w:val="18"/>
                <w:szCs w:val="18"/>
                <w:color w:val="auto"/>
              </w:rPr>
              <w:t>Congo, Democratic</w:t>
            </w:r>
          </w:p>
        </w:tc>
        <w:tc>
          <w:tcPr>
            <w:tcW w:w="1100" w:type="dxa"/>
            <w:vAlign w:val="bottom"/>
          </w:tcPr>
          <w:p>
            <w:pPr>
              <w:ind w:left="100"/>
              <w:spacing w:after="0"/>
              <w:rPr>
                <w:sz w:val="20"/>
                <w:szCs w:val="20"/>
                <w:color w:val="auto"/>
              </w:rPr>
            </w:pPr>
            <w:r>
              <w:rPr>
                <w:rFonts w:ascii="Arial" w:cs="Arial" w:eastAsia="Arial" w:hAnsi="Arial"/>
                <w:sz w:val="18"/>
                <w:szCs w:val="18"/>
                <w:color w:val="auto"/>
              </w:rPr>
              <w:t>CID004065</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239"/>
        </w:trPr>
        <w:tc>
          <w:tcPr>
            <w:tcW w:w="8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rPr>
              <w:t>Republic Of The</w:t>
            </w: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580" w:type="dxa"/>
            <w:vAlign w:val="bottom"/>
          </w:tcPr>
          <w:p>
            <w:pPr>
              <w:ind w:left="80"/>
              <w:spacing w:after="0"/>
              <w:rPr>
                <w:sz w:val="20"/>
                <w:szCs w:val="20"/>
                <w:color w:val="auto"/>
              </w:rPr>
            </w:pPr>
            <w:r>
              <w:rPr>
                <w:rFonts w:ascii="Arial" w:cs="Arial" w:eastAsia="Arial" w:hAnsi="Arial"/>
                <w:sz w:val="18"/>
                <w:szCs w:val="18"/>
                <w:color w:val="auto"/>
              </w:rPr>
              <w:t>Lianyou Resources Co., Ltd.</w:t>
            </w:r>
          </w:p>
        </w:tc>
        <w:tc>
          <w:tcPr>
            <w:tcW w:w="2340" w:type="dxa"/>
            <w:vAlign w:val="bottom"/>
          </w:tcPr>
          <w:p>
            <w:pPr>
              <w:ind w:left="120"/>
              <w:spacing w:after="0"/>
              <w:rPr>
                <w:sz w:val="20"/>
                <w:szCs w:val="20"/>
                <w:color w:val="auto"/>
              </w:rPr>
            </w:pPr>
            <w:r>
              <w:rPr>
                <w:rFonts w:ascii="Arial" w:cs="Arial" w:eastAsia="Arial" w:hAnsi="Arial"/>
                <w:sz w:val="18"/>
                <w:szCs w:val="18"/>
                <w:color w:val="auto"/>
              </w:rPr>
              <w:t>Taiwan, Province Of 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CID004397</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288"/>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580" w:type="dxa"/>
            <w:vAlign w:val="bottom"/>
          </w:tcPr>
          <w:p>
            <w:pPr>
              <w:ind w:left="80"/>
              <w:spacing w:after="0"/>
              <w:rPr>
                <w:sz w:val="20"/>
                <w:szCs w:val="20"/>
                <w:color w:val="auto"/>
              </w:rPr>
            </w:pPr>
            <w:r>
              <w:rPr>
                <w:rFonts w:ascii="Arial" w:cs="Arial" w:eastAsia="Arial" w:hAnsi="Arial"/>
                <w:sz w:val="18"/>
                <w:szCs w:val="18"/>
                <w:color w:val="auto"/>
              </w:rPr>
              <w:t>Takehara PVD Materials Plant / PVD Materials Division</w:t>
            </w:r>
          </w:p>
        </w:tc>
        <w:tc>
          <w:tcPr>
            <w:tcW w:w="2340" w:type="dxa"/>
            <w:vAlign w:val="bottom"/>
          </w:tcPr>
          <w:p>
            <w:pPr>
              <w:ind w:left="120"/>
              <w:spacing w:after="0"/>
              <w:rPr>
                <w:sz w:val="20"/>
                <w:szCs w:val="20"/>
                <w:color w:val="auto"/>
              </w:rPr>
            </w:pPr>
            <w:r>
              <w:rPr>
                <w:rFonts w:ascii="Arial" w:cs="Arial" w:eastAsia="Arial" w:hAnsi="Arial"/>
                <w:sz w:val="18"/>
                <w:szCs w:val="18"/>
                <w:color w:val="auto"/>
              </w:rPr>
              <w:t>Japan</w:t>
            </w:r>
          </w:p>
        </w:tc>
        <w:tc>
          <w:tcPr>
            <w:tcW w:w="1100" w:type="dxa"/>
            <w:vAlign w:val="bottom"/>
          </w:tcPr>
          <w:p>
            <w:pPr>
              <w:ind w:left="100"/>
              <w:spacing w:after="0"/>
              <w:rPr>
                <w:sz w:val="20"/>
                <w:szCs w:val="20"/>
                <w:color w:val="auto"/>
              </w:rPr>
            </w:pPr>
            <w:r>
              <w:rPr>
                <w:rFonts w:ascii="Arial" w:cs="Arial" w:eastAsia="Arial" w:hAnsi="Arial"/>
                <w:sz w:val="18"/>
                <w:szCs w:val="18"/>
                <w:color w:val="auto"/>
              </w:rPr>
              <w:t>CID004403</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239"/>
        </w:trPr>
        <w:tc>
          <w:tcPr>
            <w:tcW w:w="800" w:type="dxa"/>
            <w:vAlign w:val="bottom"/>
          </w:tcPr>
          <w:p>
            <w:pPr>
              <w:spacing w:after="0"/>
              <w:rPr>
                <w:sz w:val="20"/>
                <w:szCs w:val="20"/>
                <w:color w:val="auto"/>
              </w:rPr>
            </w:pPr>
          </w:p>
        </w:tc>
        <w:tc>
          <w:tcPr>
            <w:tcW w:w="4580" w:type="dxa"/>
            <w:vAlign w:val="bottom"/>
          </w:tcPr>
          <w:p>
            <w:pPr>
              <w:ind w:left="80"/>
              <w:spacing w:after="0"/>
              <w:rPr>
                <w:sz w:val="20"/>
                <w:szCs w:val="20"/>
                <w:color w:val="auto"/>
              </w:rPr>
            </w:pPr>
            <w:r>
              <w:rPr>
                <w:rFonts w:ascii="Arial" w:cs="Arial" w:eastAsia="Arial" w:hAnsi="Arial"/>
                <w:sz w:val="18"/>
                <w:szCs w:val="18"/>
                <w:color w:val="auto"/>
              </w:rPr>
              <w:t>of MITSUI MINING &amp; SMELTING CO., LTD.</w:t>
            </w:r>
          </w:p>
        </w:tc>
        <w:tc>
          <w:tcPr>
            <w:tcW w:w="2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580" w:type="dxa"/>
            <w:vAlign w:val="bottom"/>
          </w:tcPr>
          <w:p>
            <w:pPr>
              <w:ind w:left="80"/>
              <w:spacing w:after="0"/>
              <w:rPr>
                <w:sz w:val="20"/>
                <w:szCs w:val="20"/>
                <w:color w:val="auto"/>
              </w:rPr>
            </w:pPr>
            <w:r>
              <w:rPr>
                <w:rFonts w:ascii="Arial" w:cs="Arial" w:eastAsia="Arial" w:hAnsi="Arial"/>
                <w:sz w:val="18"/>
                <w:szCs w:val="18"/>
                <w:color w:val="auto"/>
              </w:rPr>
              <w:t>Shinwon Tungsten (Fujian Shanghang) Co., Ltd.</w:t>
            </w:r>
          </w:p>
        </w:tc>
        <w:tc>
          <w:tcPr>
            <w:tcW w:w="2340" w:type="dxa"/>
            <w:vAlign w:val="bottom"/>
          </w:tcPr>
          <w:p>
            <w:pPr>
              <w:ind w:left="12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CID004430</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580" w:type="dxa"/>
            <w:vAlign w:val="bottom"/>
          </w:tcPr>
          <w:p>
            <w:pPr>
              <w:ind w:left="80"/>
              <w:spacing w:after="0"/>
              <w:rPr>
                <w:sz w:val="20"/>
                <w:szCs w:val="20"/>
                <w:color w:val="auto"/>
              </w:rPr>
            </w:pPr>
            <w:r>
              <w:rPr>
                <w:rFonts w:ascii="Arial" w:cs="Arial" w:eastAsia="Arial" w:hAnsi="Arial"/>
                <w:sz w:val="18"/>
                <w:szCs w:val="18"/>
                <w:color w:val="auto"/>
              </w:rPr>
              <w:t>Malaysia Smelting Corporation Berhad (Port Klang)</w:t>
            </w:r>
          </w:p>
        </w:tc>
        <w:tc>
          <w:tcPr>
            <w:tcW w:w="2340" w:type="dxa"/>
            <w:vAlign w:val="bottom"/>
          </w:tcPr>
          <w:p>
            <w:pPr>
              <w:ind w:left="120"/>
              <w:spacing w:after="0"/>
              <w:rPr>
                <w:sz w:val="20"/>
                <w:szCs w:val="20"/>
                <w:color w:val="auto"/>
              </w:rPr>
            </w:pPr>
            <w:r>
              <w:rPr>
                <w:rFonts w:ascii="Arial" w:cs="Arial" w:eastAsia="Arial" w:hAnsi="Arial"/>
                <w:sz w:val="18"/>
                <w:szCs w:val="18"/>
                <w:color w:val="auto"/>
              </w:rPr>
              <w:t>Malaysia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CID004434</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80" w:type="dxa"/>
            <w:vAlign w:val="bottom"/>
          </w:tcPr>
          <w:p>
            <w:pPr>
              <w:ind w:left="80"/>
              <w:spacing w:after="0"/>
              <w:rPr>
                <w:sz w:val="20"/>
                <w:szCs w:val="20"/>
                <w:color w:val="auto"/>
              </w:rPr>
            </w:pPr>
            <w:r>
              <w:rPr>
                <w:rFonts w:ascii="Arial" w:cs="Arial" w:eastAsia="Arial" w:hAnsi="Arial"/>
                <w:sz w:val="18"/>
                <w:szCs w:val="18"/>
                <w:color w:val="auto"/>
              </w:rPr>
              <w:t>GG Refinery Ltd.</w:t>
            </w:r>
          </w:p>
        </w:tc>
        <w:tc>
          <w:tcPr>
            <w:tcW w:w="2340" w:type="dxa"/>
            <w:vAlign w:val="bottom"/>
          </w:tcPr>
          <w:p>
            <w:pPr>
              <w:ind w:left="120"/>
              <w:spacing w:after="0"/>
              <w:rPr>
                <w:sz w:val="20"/>
                <w:szCs w:val="20"/>
                <w:color w:val="auto"/>
              </w:rPr>
            </w:pPr>
            <w:r>
              <w:rPr>
                <w:rFonts w:ascii="Arial" w:cs="Arial" w:eastAsia="Arial" w:hAnsi="Arial"/>
                <w:sz w:val="18"/>
                <w:szCs w:val="18"/>
                <w:color w:val="auto"/>
              </w:rPr>
              <w:t> </w:t>
            </w:r>
          </w:p>
        </w:tc>
        <w:tc>
          <w:tcPr>
            <w:tcW w:w="1100" w:type="dxa"/>
            <w:vAlign w:val="bottom"/>
          </w:tcPr>
          <w:p>
            <w:pPr>
              <w:ind w:left="100"/>
              <w:spacing w:after="0"/>
              <w:rPr>
                <w:sz w:val="20"/>
                <w:szCs w:val="20"/>
                <w:color w:val="auto"/>
              </w:rPr>
            </w:pPr>
            <w:r>
              <w:rPr>
                <w:rFonts w:ascii="Arial" w:cs="Arial" w:eastAsia="Arial" w:hAnsi="Arial"/>
                <w:sz w:val="18"/>
                <w:szCs w:val="18"/>
                <w:color w:val="auto"/>
              </w:rPr>
              <w:t>CID004506</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580" w:type="dxa"/>
            <w:vAlign w:val="bottom"/>
          </w:tcPr>
          <w:p>
            <w:pPr>
              <w:ind w:left="80"/>
              <w:spacing w:after="0"/>
              <w:rPr>
                <w:sz w:val="20"/>
                <w:szCs w:val="20"/>
                <w:color w:val="auto"/>
              </w:rPr>
            </w:pPr>
            <w:r>
              <w:rPr>
                <w:rFonts w:ascii="Arial" w:cs="Arial" w:eastAsia="Arial" w:hAnsi="Arial"/>
                <w:sz w:val="18"/>
                <w:szCs w:val="18"/>
                <w:color w:val="auto"/>
              </w:rPr>
              <w:t>KENEE MINING VIETNAM COMPANY LIMITED</w:t>
            </w:r>
          </w:p>
        </w:tc>
        <w:tc>
          <w:tcPr>
            <w:tcW w:w="2340" w:type="dxa"/>
            <w:vAlign w:val="bottom"/>
          </w:tcPr>
          <w:p>
            <w:pPr>
              <w:ind w:left="120"/>
              <w:spacing w:after="0"/>
              <w:rPr>
                <w:sz w:val="20"/>
                <w:szCs w:val="20"/>
                <w:color w:val="auto"/>
              </w:rPr>
            </w:pPr>
            <w:r>
              <w:rPr>
                <w:rFonts w:ascii="Arial" w:cs="Arial" w:eastAsia="Arial" w:hAnsi="Arial"/>
                <w:sz w:val="18"/>
                <w:szCs w:val="18"/>
                <w:color w:val="auto"/>
              </w:rPr>
              <w:t>Viet Nam</w:t>
            </w:r>
          </w:p>
        </w:tc>
        <w:tc>
          <w:tcPr>
            <w:tcW w:w="1100" w:type="dxa"/>
            <w:vAlign w:val="bottom"/>
          </w:tcPr>
          <w:p>
            <w:pPr>
              <w:ind w:left="100"/>
              <w:spacing w:after="0"/>
              <w:rPr>
                <w:sz w:val="20"/>
                <w:szCs w:val="20"/>
                <w:color w:val="auto"/>
              </w:rPr>
            </w:pPr>
            <w:r>
              <w:rPr>
                <w:rFonts w:ascii="Arial" w:cs="Arial" w:eastAsia="Arial" w:hAnsi="Arial"/>
                <w:sz w:val="18"/>
                <w:szCs w:val="18"/>
                <w:color w:val="auto"/>
              </w:rPr>
              <w:t>CID004619</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Conformant</w:t>
            </w:r>
          </w:p>
        </w:tc>
      </w:tr>
    </w:tbl>
    <w:p>
      <w:pPr>
        <w:sectPr>
          <w:pgSz w:w="11900" w:h="16838" w:orient="portrait"/>
          <w:cols w:equalWidth="0" w:num="1">
            <w:col w:w="10019"/>
          </w:cols>
          <w:pgMar w:left="440" w:top="269" w:right="1440"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00" w:type="dxa"/>
            <w:vAlign w:val="bottom"/>
          </w:tcPr>
          <w:p>
            <w:pPr>
              <w:ind w:left="80"/>
              <w:spacing w:after="0"/>
              <w:rPr>
                <w:sz w:val="20"/>
                <w:szCs w:val="20"/>
                <w:color w:val="auto"/>
              </w:rPr>
            </w:pPr>
            <w:r>
              <w:rPr>
                <w:rFonts w:ascii="Arial" w:cs="Arial" w:eastAsia="Arial" w:hAnsi="Arial"/>
                <w:sz w:val="18"/>
                <w:szCs w:val="18"/>
                <w:color w:val="auto"/>
              </w:rPr>
              <w:t>Woodcross Smelting Company Limited</w:t>
            </w:r>
          </w:p>
        </w:tc>
        <w:tc>
          <w:tcPr>
            <w:tcW w:w="2320" w:type="dxa"/>
            <w:vAlign w:val="bottom"/>
          </w:tcPr>
          <w:p>
            <w:pPr>
              <w:ind w:left="100"/>
              <w:spacing w:after="0"/>
              <w:rPr>
                <w:sz w:val="20"/>
                <w:szCs w:val="20"/>
                <w:color w:val="auto"/>
              </w:rPr>
            </w:pPr>
            <w:r>
              <w:rPr>
                <w:rFonts w:ascii="Arial" w:cs="Arial" w:eastAsia="Arial" w:hAnsi="Arial"/>
                <w:sz w:val="18"/>
                <w:szCs w:val="18"/>
                <w:color w:val="auto"/>
              </w:rPr>
              <w:t>Uganda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CID004724</w:t>
            </w:r>
          </w:p>
        </w:tc>
        <w:tc>
          <w:tcPr>
            <w:tcW w:w="1540" w:type="dxa"/>
            <w:vAlign w:val="bottom"/>
          </w:tcPr>
          <w:p>
            <w:pPr>
              <w:ind w:left="100"/>
              <w:spacing w:after="0"/>
              <w:rPr>
                <w:sz w:val="20"/>
                <w:szCs w:val="20"/>
                <w:color w:val="auto"/>
              </w:rPr>
            </w:pPr>
            <w:r>
              <w:rPr>
                <w:rFonts w:ascii="Arial" w:cs="Arial" w:eastAsia="Arial" w:hAnsi="Arial"/>
                <w:sz w:val="18"/>
                <w:szCs w:val="18"/>
                <w:color w:val="auto"/>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00" w:type="dxa"/>
            <w:vAlign w:val="bottom"/>
          </w:tcPr>
          <w:p>
            <w:pPr>
              <w:ind w:left="80"/>
              <w:spacing w:after="0"/>
              <w:rPr>
                <w:sz w:val="20"/>
                <w:szCs w:val="20"/>
                <w:color w:val="auto"/>
              </w:rPr>
            </w:pPr>
            <w:r>
              <w:rPr>
                <w:rFonts w:ascii="Arial" w:cs="Arial" w:eastAsia="Arial" w:hAnsi="Arial"/>
                <w:sz w:val="18"/>
                <w:szCs w:val="18"/>
                <w:color w:val="auto"/>
              </w:rPr>
              <w:t>Global Advanced Metals Greenbushes Pty Ltd.</w:t>
            </w:r>
          </w:p>
        </w:tc>
        <w:tc>
          <w:tcPr>
            <w:tcW w:w="2320" w:type="dxa"/>
            <w:vAlign w:val="bottom"/>
          </w:tcPr>
          <w:p>
            <w:pPr>
              <w:ind w:left="100"/>
              <w:spacing w:after="0"/>
              <w:rPr>
                <w:sz w:val="20"/>
                <w:szCs w:val="20"/>
                <w:color w:val="auto"/>
              </w:rPr>
            </w:pPr>
            <w:r>
              <w:rPr>
                <w:rFonts w:ascii="Arial" w:cs="Arial" w:eastAsia="Arial" w:hAnsi="Arial"/>
                <w:sz w:val="18"/>
                <w:szCs w:val="18"/>
                <w:color w:val="auto"/>
              </w:rPr>
              <w:t>Australia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CID004754</w:t>
            </w:r>
          </w:p>
        </w:tc>
        <w:tc>
          <w:tcPr>
            <w:tcW w:w="1540" w:type="dxa"/>
            <w:vAlign w:val="bottom"/>
          </w:tcPr>
          <w:p>
            <w:pPr>
              <w:ind w:left="100"/>
              <w:spacing w:after="0"/>
              <w:rPr>
                <w:sz w:val="20"/>
                <w:szCs w:val="20"/>
                <w:color w:val="auto"/>
              </w:rPr>
            </w:pPr>
            <w:r>
              <w:rPr>
                <w:rFonts w:ascii="Arial" w:cs="Arial" w:eastAsia="Arial" w:hAnsi="Arial"/>
                <w:sz w:val="18"/>
                <w:szCs w:val="18"/>
                <w:color w:val="auto"/>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Elite Industech Co., Ltd.</w:t>
            </w:r>
          </w:p>
        </w:tc>
        <w:tc>
          <w:tcPr>
            <w:tcW w:w="2320" w:type="dxa"/>
            <w:vAlign w:val="bottom"/>
          </w:tcPr>
          <w:p>
            <w:pPr>
              <w:ind w:left="100"/>
              <w:spacing w:after="0"/>
              <w:rPr>
                <w:sz w:val="20"/>
                <w:szCs w:val="20"/>
                <w:color w:val="auto"/>
              </w:rPr>
            </w:pPr>
            <w:r>
              <w:rPr>
                <w:rFonts w:ascii="Arial" w:cs="Arial" w:eastAsia="Arial" w:hAnsi="Arial"/>
                <w:sz w:val="18"/>
                <w:szCs w:val="18"/>
                <w:color w:val="auto"/>
              </w:rPr>
              <w:t>Taiwan, Province Of 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CID004755</w:t>
            </w:r>
          </w:p>
        </w:tc>
        <w:tc>
          <w:tcPr>
            <w:tcW w:w="1540" w:type="dxa"/>
            <w:vAlign w:val="bottom"/>
          </w:tcPr>
          <w:p>
            <w:pPr>
              <w:ind w:left="100"/>
              <w:spacing w:after="0"/>
              <w:rPr>
                <w:sz w:val="20"/>
                <w:szCs w:val="20"/>
                <w:color w:val="auto"/>
              </w:rPr>
            </w:pPr>
            <w:r>
              <w:rPr>
                <w:rFonts w:ascii="Arial" w:cs="Arial" w:eastAsia="Arial" w:hAnsi="Arial"/>
                <w:sz w:val="18"/>
                <w:szCs w:val="18"/>
                <w:color w:val="auto"/>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00" w:type="dxa"/>
            <w:vAlign w:val="bottom"/>
          </w:tcPr>
          <w:p>
            <w:pPr>
              <w:ind w:left="80"/>
              <w:spacing w:after="0"/>
              <w:rPr>
                <w:sz w:val="20"/>
                <w:szCs w:val="20"/>
                <w:color w:val="auto"/>
              </w:rPr>
            </w:pPr>
            <w:r>
              <w:rPr>
                <w:rFonts w:ascii="Arial" w:cs="Arial" w:eastAsia="Arial" w:hAnsi="Arial"/>
                <w:sz w:val="18"/>
                <w:szCs w:val="18"/>
                <w:color w:val="auto"/>
              </w:rPr>
              <w:t>Dongguan Best Alloys Co., Ltd.</w:t>
            </w:r>
          </w:p>
        </w:tc>
        <w:tc>
          <w:tcPr>
            <w:tcW w:w="2320" w:type="dxa"/>
            <w:vAlign w:val="bottom"/>
          </w:tcPr>
          <w:p>
            <w:pPr>
              <w:ind w:left="10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CID000377</w:t>
            </w:r>
          </w:p>
        </w:tc>
        <w:tc>
          <w:tcPr>
            <w:tcW w:w="1540" w:type="dxa"/>
            <w:vAlign w:val="bottom"/>
          </w:tcPr>
          <w:p>
            <w:pPr>
              <w:ind w:left="100"/>
              <w:spacing w:after="0"/>
              <w:rPr>
                <w:sz w:val="20"/>
                <w:szCs w:val="20"/>
                <w:color w:val="auto"/>
              </w:rPr>
            </w:pPr>
            <w:r>
              <w:rPr>
                <w:rFonts w:ascii="Arial" w:cs="Arial" w:eastAsia="Arial" w:hAnsi="Arial"/>
                <w:sz w:val="18"/>
                <w:szCs w:val="18"/>
                <w:color w:val="auto"/>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Gold Refinery of Zijin Mining Group Co., Ltd.</w:t>
            </w:r>
          </w:p>
        </w:tc>
        <w:tc>
          <w:tcPr>
            <w:tcW w:w="2320" w:type="dxa"/>
            <w:vAlign w:val="bottom"/>
          </w:tcPr>
          <w:p>
            <w:pPr>
              <w:ind w:left="10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CID002243</w:t>
            </w:r>
          </w:p>
        </w:tc>
        <w:tc>
          <w:tcPr>
            <w:tcW w:w="1540" w:type="dxa"/>
            <w:vAlign w:val="bottom"/>
          </w:tcPr>
          <w:p>
            <w:pPr>
              <w:ind w:left="100"/>
              <w:spacing w:after="0"/>
              <w:rPr>
                <w:sz w:val="20"/>
                <w:szCs w:val="20"/>
                <w:color w:val="auto"/>
              </w:rPr>
            </w:pPr>
            <w:r>
              <w:rPr>
                <w:rFonts w:ascii="Arial" w:cs="Arial" w:eastAsia="Arial" w:hAnsi="Arial"/>
                <w:sz w:val="18"/>
                <w:szCs w:val="18"/>
                <w:color w:val="auto"/>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600" w:type="dxa"/>
            <w:vAlign w:val="bottom"/>
          </w:tcPr>
          <w:p>
            <w:pPr>
              <w:ind w:left="80"/>
              <w:spacing w:after="0"/>
              <w:rPr>
                <w:sz w:val="20"/>
                <w:szCs w:val="20"/>
                <w:color w:val="auto"/>
              </w:rPr>
            </w:pPr>
            <w:r>
              <w:rPr>
                <w:rFonts w:ascii="Arial" w:cs="Arial" w:eastAsia="Arial" w:hAnsi="Arial"/>
                <w:sz w:val="18"/>
                <w:szCs w:val="18"/>
                <w:color w:val="auto"/>
              </w:rPr>
              <w:t>XinXing HaoRong Electronic Material Co., Ltd.</w:t>
            </w:r>
          </w:p>
        </w:tc>
        <w:tc>
          <w:tcPr>
            <w:tcW w:w="2320" w:type="dxa"/>
            <w:vAlign w:val="bottom"/>
          </w:tcPr>
          <w:p>
            <w:pPr>
              <w:ind w:left="10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CID002508</w:t>
            </w:r>
          </w:p>
        </w:tc>
        <w:tc>
          <w:tcPr>
            <w:tcW w:w="1540" w:type="dxa"/>
            <w:vAlign w:val="bottom"/>
          </w:tcPr>
          <w:p>
            <w:pPr>
              <w:ind w:left="100"/>
              <w:spacing w:after="0"/>
              <w:rPr>
                <w:sz w:val="20"/>
                <w:szCs w:val="20"/>
                <w:color w:val="auto"/>
              </w:rPr>
            </w:pPr>
            <w:r>
              <w:rPr>
                <w:rFonts w:ascii="Arial" w:cs="Arial" w:eastAsia="Arial" w:hAnsi="Arial"/>
                <w:sz w:val="18"/>
                <w:szCs w:val="18"/>
                <w:color w:val="auto"/>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00" w:type="dxa"/>
            <w:vAlign w:val="bottom"/>
          </w:tcPr>
          <w:p>
            <w:pPr>
              <w:ind w:left="80"/>
              <w:spacing w:after="0"/>
              <w:rPr>
                <w:sz w:val="20"/>
                <w:szCs w:val="20"/>
                <w:color w:val="auto"/>
              </w:rPr>
            </w:pPr>
            <w:r>
              <w:rPr>
                <w:rFonts w:ascii="Arial" w:cs="Arial" w:eastAsia="Arial" w:hAnsi="Arial"/>
                <w:sz w:val="18"/>
                <w:szCs w:val="18"/>
                <w:color w:val="auto"/>
              </w:rPr>
              <w:t>CV Ayi Jaya</w:t>
            </w:r>
          </w:p>
        </w:tc>
        <w:tc>
          <w:tcPr>
            <w:tcW w:w="2320" w:type="dxa"/>
            <w:vAlign w:val="bottom"/>
          </w:tcPr>
          <w:p>
            <w:pPr>
              <w:ind w:left="100"/>
              <w:spacing w:after="0"/>
              <w:rPr>
                <w:sz w:val="20"/>
                <w:szCs w:val="20"/>
                <w:color w:val="auto"/>
              </w:rPr>
            </w:pPr>
            <w:r>
              <w:rPr>
                <w:rFonts w:ascii="Arial" w:cs="Arial" w:eastAsia="Arial" w:hAnsi="Arial"/>
                <w:sz w:val="18"/>
                <w:szCs w:val="18"/>
                <w:color w:val="auto"/>
              </w:rPr>
              <w:t>Indonesia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CID002570</w:t>
            </w:r>
          </w:p>
        </w:tc>
        <w:tc>
          <w:tcPr>
            <w:tcW w:w="1540" w:type="dxa"/>
            <w:vAlign w:val="bottom"/>
          </w:tcPr>
          <w:p>
            <w:pPr>
              <w:ind w:left="100"/>
              <w:spacing w:after="0"/>
              <w:rPr>
                <w:sz w:val="20"/>
                <w:szCs w:val="20"/>
                <w:color w:val="auto"/>
              </w:rPr>
            </w:pPr>
            <w:r>
              <w:rPr>
                <w:rFonts w:ascii="Arial" w:cs="Arial" w:eastAsia="Arial" w:hAnsi="Arial"/>
                <w:sz w:val="18"/>
                <w:szCs w:val="18"/>
                <w:color w:val="auto"/>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00" w:type="dxa"/>
            <w:vAlign w:val="bottom"/>
          </w:tcPr>
          <w:p>
            <w:pPr>
              <w:ind w:left="80"/>
              <w:spacing w:after="0"/>
              <w:rPr>
                <w:sz w:val="20"/>
                <w:szCs w:val="20"/>
                <w:color w:val="auto"/>
              </w:rPr>
            </w:pPr>
            <w:r>
              <w:rPr>
                <w:rFonts w:ascii="Arial" w:cs="Arial" w:eastAsia="Arial" w:hAnsi="Arial"/>
                <w:sz w:val="18"/>
                <w:szCs w:val="18"/>
                <w:color w:val="auto"/>
              </w:rPr>
              <w:t>PT Bangka Prima Tin</w:t>
            </w:r>
          </w:p>
        </w:tc>
        <w:tc>
          <w:tcPr>
            <w:tcW w:w="2320" w:type="dxa"/>
            <w:vAlign w:val="bottom"/>
          </w:tcPr>
          <w:p>
            <w:pPr>
              <w:ind w:left="100"/>
              <w:spacing w:after="0"/>
              <w:rPr>
                <w:sz w:val="20"/>
                <w:szCs w:val="20"/>
                <w:color w:val="auto"/>
              </w:rPr>
            </w:pPr>
            <w:r>
              <w:rPr>
                <w:rFonts w:ascii="Arial" w:cs="Arial" w:eastAsia="Arial" w:hAnsi="Arial"/>
                <w:sz w:val="18"/>
                <w:szCs w:val="18"/>
                <w:color w:val="auto"/>
              </w:rPr>
              <w:t>Indonesia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CID002776</w:t>
            </w:r>
          </w:p>
        </w:tc>
        <w:tc>
          <w:tcPr>
            <w:tcW w:w="1540" w:type="dxa"/>
            <w:vAlign w:val="bottom"/>
          </w:tcPr>
          <w:p>
            <w:pPr>
              <w:ind w:left="100"/>
              <w:spacing w:after="0"/>
              <w:rPr>
                <w:sz w:val="20"/>
                <w:szCs w:val="20"/>
                <w:color w:val="auto"/>
              </w:rPr>
            </w:pPr>
            <w:r>
              <w:rPr>
                <w:rFonts w:ascii="Arial" w:cs="Arial" w:eastAsia="Arial" w:hAnsi="Arial"/>
                <w:sz w:val="18"/>
                <w:szCs w:val="18"/>
                <w:color w:val="auto"/>
              </w:rPr>
              <w:t>Conformant</w:t>
            </w:r>
          </w:p>
        </w:tc>
      </w:tr>
      <w:tr>
        <w:trPr>
          <w:trHeight w:val="288"/>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Ogussa Osterreichische Gold- und Silber-</w:t>
            </w:r>
          </w:p>
        </w:tc>
        <w:tc>
          <w:tcPr>
            <w:tcW w:w="2320" w:type="dxa"/>
            <w:vAlign w:val="bottom"/>
          </w:tcPr>
          <w:p>
            <w:pPr>
              <w:ind w:left="100"/>
              <w:spacing w:after="0"/>
              <w:rPr>
                <w:sz w:val="20"/>
                <w:szCs w:val="20"/>
                <w:color w:val="auto"/>
              </w:rPr>
            </w:pPr>
            <w:r>
              <w:rPr>
                <w:rFonts w:ascii="Arial" w:cs="Arial" w:eastAsia="Arial" w:hAnsi="Arial"/>
                <w:sz w:val="18"/>
                <w:szCs w:val="18"/>
                <w:color w:val="auto"/>
              </w:rPr>
              <w:t>Austria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CID002779</w:t>
            </w:r>
          </w:p>
        </w:tc>
        <w:tc>
          <w:tcPr>
            <w:tcW w:w="1540" w:type="dxa"/>
            <w:vAlign w:val="bottom"/>
          </w:tcPr>
          <w:p>
            <w:pPr>
              <w:ind w:left="100"/>
              <w:spacing w:after="0"/>
              <w:rPr>
                <w:sz w:val="20"/>
                <w:szCs w:val="20"/>
                <w:color w:val="auto"/>
              </w:rPr>
            </w:pPr>
            <w:r>
              <w:rPr>
                <w:rFonts w:ascii="Arial" w:cs="Arial" w:eastAsia="Arial" w:hAnsi="Arial"/>
                <w:sz w:val="18"/>
                <w:szCs w:val="18"/>
                <w:color w:val="auto"/>
              </w:rPr>
              <w:t>Conformant</w:t>
            </w:r>
          </w:p>
        </w:tc>
      </w:tr>
      <w:tr>
        <w:trPr>
          <w:trHeight w:val="239"/>
        </w:trPr>
        <w:tc>
          <w:tcPr>
            <w:tcW w:w="800" w:type="dxa"/>
            <w:vAlign w:val="bottom"/>
          </w:tcPr>
          <w:p>
            <w:pPr>
              <w:spacing w:after="0"/>
              <w:rPr>
                <w:sz w:val="20"/>
                <w:szCs w:val="20"/>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Scheideanstalt GmbH</w:t>
            </w:r>
          </w:p>
        </w:tc>
        <w:tc>
          <w:tcPr>
            <w:tcW w:w="2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11"/>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Bangalore Refinery</w:t>
            </w:r>
          </w:p>
        </w:tc>
        <w:tc>
          <w:tcPr>
            <w:tcW w:w="2320" w:type="dxa"/>
            <w:vAlign w:val="bottom"/>
          </w:tcPr>
          <w:p>
            <w:pPr>
              <w:ind w:left="100"/>
              <w:spacing w:after="0"/>
              <w:rPr>
                <w:sz w:val="20"/>
                <w:szCs w:val="20"/>
                <w:color w:val="auto"/>
              </w:rPr>
            </w:pPr>
            <w:r>
              <w:rPr>
                <w:rFonts w:ascii="Arial" w:cs="Arial" w:eastAsia="Arial" w:hAnsi="Arial"/>
                <w:sz w:val="18"/>
                <w:szCs w:val="18"/>
                <w:color w:val="auto"/>
              </w:rPr>
              <w:t>India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CID002863</w:t>
            </w:r>
          </w:p>
        </w:tc>
        <w:tc>
          <w:tcPr>
            <w:tcW w:w="1540" w:type="dxa"/>
            <w:vAlign w:val="bottom"/>
          </w:tcPr>
          <w:p>
            <w:pPr>
              <w:ind w:left="100"/>
              <w:spacing w:after="0"/>
              <w:rPr>
                <w:sz w:val="20"/>
                <w:szCs w:val="20"/>
                <w:color w:val="auto"/>
              </w:rPr>
            </w:pPr>
            <w:r>
              <w:rPr>
                <w:rFonts w:ascii="Arial" w:cs="Arial" w:eastAsia="Arial" w:hAnsi="Arial"/>
                <w:sz w:val="18"/>
                <w:szCs w:val="18"/>
                <w:color w:val="auto"/>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00" w:type="dxa"/>
            <w:vAlign w:val="bottom"/>
          </w:tcPr>
          <w:p>
            <w:pPr>
              <w:ind w:left="80"/>
              <w:spacing w:after="0"/>
              <w:rPr>
                <w:sz w:val="20"/>
                <w:szCs w:val="20"/>
                <w:color w:val="auto"/>
              </w:rPr>
            </w:pPr>
            <w:r>
              <w:rPr>
                <w:rFonts w:ascii="Arial" w:cs="Arial" w:eastAsia="Arial" w:hAnsi="Arial"/>
                <w:sz w:val="18"/>
                <w:szCs w:val="18"/>
                <w:color w:val="auto"/>
              </w:rPr>
              <w:t>Fabrica Auricchio Industria e Comercio Ltda.</w:t>
            </w:r>
          </w:p>
        </w:tc>
        <w:tc>
          <w:tcPr>
            <w:tcW w:w="2320" w:type="dxa"/>
            <w:vAlign w:val="bottom"/>
          </w:tcPr>
          <w:p>
            <w:pPr>
              <w:ind w:left="100"/>
              <w:spacing w:after="0"/>
              <w:rPr>
                <w:sz w:val="20"/>
                <w:szCs w:val="20"/>
                <w:color w:val="auto"/>
              </w:rPr>
            </w:pPr>
            <w:r>
              <w:rPr>
                <w:rFonts w:ascii="Arial" w:cs="Arial" w:eastAsia="Arial" w:hAnsi="Arial"/>
                <w:sz w:val="18"/>
                <w:szCs w:val="18"/>
                <w:color w:val="auto"/>
              </w:rPr>
              <w:t>Brazil</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CID003582</w:t>
            </w:r>
          </w:p>
        </w:tc>
        <w:tc>
          <w:tcPr>
            <w:tcW w:w="1540" w:type="dxa"/>
            <w:vAlign w:val="bottom"/>
          </w:tcPr>
          <w:p>
            <w:pPr>
              <w:ind w:left="100"/>
              <w:spacing w:after="0"/>
              <w:rPr>
                <w:sz w:val="20"/>
                <w:szCs w:val="20"/>
                <w:color w:val="auto"/>
              </w:rPr>
            </w:pPr>
            <w:r>
              <w:rPr>
                <w:rFonts w:ascii="Arial" w:cs="Arial" w:eastAsia="Arial" w:hAnsi="Arial"/>
                <w:sz w:val="18"/>
                <w:szCs w:val="18"/>
                <w:color w:val="auto"/>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Impala Platinum - Platinum Metals Refinery (PMR)</w:t>
            </w:r>
          </w:p>
        </w:tc>
        <w:tc>
          <w:tcPr>
            <w:tcW w:w="2320" w:type="dxa"/>
            <w:vAlign w:val="bottom"/>
          </w:tcPr>
          <w:p>
            <w:pPr>
              <w:ind w:left="100"/>
              <w:spacing w:after="0"/>
              <w:rPr>
                <w:sz w:val="20"/>
                <w:szCs w:val="20"/>
                <w:color w:val="auto"/>
              </w:rPr>
            </w:pPr>
            <w:r>
              <w:rPr>
                <w:rFonts w:ascii="Arial" w:cs="Arial" w:eastAsia="Arial" w:hAnsi="Arial"/>
                <w:sz w:val="18"/>
                <w:szCs w:val="18"/>
                <w:color w:val="auto"/>
              </w:rPr>
              <w:t>South Africa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CID004714</w:t>
            </w:r>
          </w:p>
        </w:tc>
        <w:tc>
          <w:tcPr>
            <w:tcW w:w="1540" w:type="dxa"/>
            <w:vAlign w:val="bottom"/>
          </w:tcPr>
          <w:p>
            <w:pPr>
              <w:ind w:left="100"/>
              <w:spacing w:after="0"/>
              <w:rPr>
                <w:sz w:val="20"/>
                <w:szCs w:val="20"/>
                <w:color w:val="auto"/>
              </w:rPr>
            </w:pPr>
            <w:r>
              <w:rPr>
                <w:rFonts w:ascii="Arial" w:cs="Arial" w:eastAsia="Arial" w:hAnsi="Arial"/>
                <w:sz w:val="18"/>
                <w:szCs w:val="18"/>
                <w:color w:val="auto"/>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600" w:type="dxa"/>
            <w:vAlign w:val="bottom"/>
          </w:tcPr>
          <w:p>
            <w:pPr>
              <w:ind w:left="80"/>
              <w:spacing w:after="0"/>
              <w:rPr>
                <w:sz w:val="20"/>
                <w:szCs w:val="20"/>
                <w:color w:val="auto"/>
              </w:rPr>
            </w:pPr>
            <w:r>
              <w:rPr>
                <w:rFonts w:ascii="Arial" w:cs="Arial" w:eastAsia="Arial" w:hAnsi="Arial"/>
                <w:sz w:val="18"/>
                <w:szCs w:val="18"/>
                <w:color w:val="auto"/>
              </w:rPr>
              <w:t>Philippine Bonway Manufacturing Industrial Corporation</w:t>
            </w:r>
          </w:p>
        </w:tc>
        <w:tc>
          <w:tcPr>
            <w:tcW w:w="2320" w:type="dxa"/>
            <w:vAlign w:val="bottom"/>
          </w:tcPr>
          <w:p>
            <w:pPr>
              <w:ind w:left="100"/>
              <w:spacing w:after="0"/>
              <w:rPr>
                <w:sz w:val="20"/>
                <w:szCs w:val="20"/>
                <w:color w:val="auto"/>
              </w:rPr>
            </w:pPr>
            <w:r>
              <w:rPr>
                <w:rFonts w:ascii="Arial" w:cs="Arial" w:eastAsia="Arial" w:hAnsi="Arial"/>
                <w:sz w:val="18"/>
                <w:szCs w:val="18"/>
                <w:color w:val="auto"/>
              </w:rPr>
              <w:t>Philippines</w:t>
            </w:r>
          </w:p>
        </w:tc>
        <w:tc>
          <w:tcPr>
            <w:tcW w:w="1100" w:type="dxa"/>
            <w:vAlign w:val="bottom"/>
          </w:tcPr>
          <w:p>
            <w:pPr>
              <w:ind w:left="100"/>
              <w:spacing w:after="0"/>
              <w:rPr>
                <w:sz w:val="20"/>
                <w:szCs w:val="20"/>
                <w:color w:val="auto"/>
              </w:rPr>
            </w:pPr>
            <w:r>
              <w:rPr>
                <w:rFonts w:ascii="Arial" w:cs="Arial" w:eastAsia="Arial" w:hAnsi="Arial"/>
                <w:sz w:val="18"/>
                <w:szCs w:val="18"/>
                <w:color w:val="auto"/>
              </w:rPr>
              <w:t>CID004797</w:t>
            </w:r>
          </w:p>
        </w:tc>
        <w:tc>
          <w:tcPr>
            <w:tcW w:w="1540" w:type="dxa"/>
            <w:vAlign w:val="bottom"/>
          </w:tcPr>
          <w:p>
            <w:pPr>
              <w:ind w:left="100"/>
              <w:spacing w:after="0"/>
              <w:rPr>
                <w:sz w:val="20"/>
                <w:szCs w:val="20"/>
                <w:color w:val="auto"/>
              </w:rPr>
            </w:pPr>
            <w:r>
              <w:rPr>
                <w:rFonts w:ascii="Arial" w:cs="Arial" w:eastAsia="Arial" w:hAnsi="Arial"/>
                <w:sz w:val="18"/>
                <w:szCs w:val="18"/>
                <w:color w:val="auto"/>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600" w:type="dxa"/>
            <w:vAlign w:val="bottom"/>
          </w:tcPr>
          <w:p>
            <w:pPr>
              <w:ind w:left="80"/>
              <w:spacing w:after="0"/>
              <w:rPr>
                <w:sz w:val="20"/>
                <w:szCs w:val="20"/>
                <w:color w:val="auto"/>
              </w:rPr>
            </w:pPr>
            <w:r>
              <w:rPr>
                <w:rFonts w:ascii="Arial" w:cs="Arial" w:eastAsia="Arial" w:hAnsi="Arial"/>
                <w:sz w:val="18"/>
                <w:szCs w:val="18"/>
                <w:color w:val="auto"/>
              </w:rPr>
              <w:t>Jing Yuan Tungsten Technology Co., Ltd.</w:t>
            </w:r>
          </w:p>
        </w:tc>
        <w:tc>
          <w:tcPr>
            <w:tcW w:w="2320" w:type="dxa"/>
            <w:vAlign w:val="bottom"/>
          </w:tcPr>
          <w:p>
            <w:pPr>
              <w:ind w:left="100"/>
              <w:spacing w:after="0"/>
              <w:rPr>
                <w:sz w:val="20"/>
                <w:szCs w:val="20"/>
                <w:color w:val="auto"/>
              </w:rPr>
            </w:pPr>
            <w:r>
              <w:rPr>
                <w:rFonts w:ascii="Arial" w:cs="Arial" w:eastAsia="Arial" w:hAnsi="Arial"/>
                <w:sz w:val="18"/>
                <w:szCs w:val="18"/>
                <w:color w:val="auto"/>
              </w:rPr>
              <w:t>Taiwan, Province Of 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CID005012</w:t>
            </w:r>
          </w:p>
        </w:tc>
        <w:tc>
          <w:tcPr>
            <w:tcW w:w="1540" w:type="dxa"/>
            <w:vAlign w:val="bottom"/>
          </w:tcPr>
          <w:p>
            <w:pPr>
              <w:ind w:left="100"/>
              <w:spacing w:after="0"/>
              <w:rPr>
                <w:sz w:val="20"/>
                <w:szCs w:val="20"/>
                <w:color w:val="auto"/>
              </w:rPr>
            </w:pPr>
            <w:r>
              <w:rPr>
                <w:rFonts w:ascii="Arial" w:cs="Arial" w:eastAsia="Arial" w:hAnsi="Arial"/>
                <w:sz w:val="18"/>
                <w:szCs w:val="18"/>
                <w:color w:val="auto"/>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600" w:type="dxa"/>
            <w:vAlign w:val="bottom"/>
          </w:tcPr>
          <w:p>
            <w:pPr>
              <w:ind w:left="80"/>
              <w:spacing w:after="0"/>
              <w:rPr>
                <w:sz w:val="20"/>
                <w:szCs w:val="20"/>
                <w:color w:val="auto"/>
              </w:rPr>
            </w:pPr>
            <w:r>
              <w:rPr>
                <w:rFonts w:ascii="Arial" w:cs="Arial" w:eastAsia="Arial" w:hAnsi="Arial"/>
                <w:sz w:val="18"/>
                <w:szCs w:val="18"/>
                <w:color w:val="auto"/>
              </w:rPr>
              <w:t>S.P.T. spol.s r.o.</w:t>
            </w:r>
          </w:p>
        </w:tc>
        <w:tc>
          <w:tcPr>
            <w:tcW w:w="2320" w:type="dxa"/>
            <w:vAlign w:val="bottom"/>
          </w:tcPr>
          <w:p>
            <w:pPr>
              <w:ind w:left="100"/>
              <w:spacing w:after="0"/>
              <w:rPr>
                <w:sz w:val="20"/>
                <w:szCs w:val="20"/>
                <w:color w:val="auto"/>
              </w:rPr>
            </w:pPr>
            <w:r>
              <w:rPr>
                <w:rFonts w:ascii="Arial" w:cs="Arial" w:eastAsia="Arial" w:hAnsi="Arial"/>
                <w:sz w:val="18"/>
                <w:szCs w:val="18"/>
                <w:color w:val="auto"/>
              </w:rPr>
              <w:t>Czechia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CID005068</w:t>
            </w:r>
          </w:p>
        </w:tc>
        <w:tc>
          <w:tcPr>
            <w:tcW w:w="1540" w:type="dxa"/>
            <w:vAlign w:val="bottom"/>
          </w:tcPr>
          <w:p>
            <w:pPr>
              <w:ind w:left="100"/>
              <w:spacing w:after="0"/>
              <w:rPr>
                <w:sz w:val="20"/>
                <w:szCs w:val="20"/>
                <w:color w:val="auto"/>
              </w:rPr>
            </w:pPr>
            <w:r>
              <w:rPr>
                <w:rFonts w:ascii="Arial" w:cs="Arial" w:eastAsia="Arial" w:hAnsi="Arial"/>
                <w:sz w:val="18"/>
                <w:szCs w:val="18"/>
                <w:color w:val="auto"/>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00" w:type="dxa"/>
            <w:vAlign w:val="bottom"/>
          </w:tcPr>
          <w:p>
            <w:pPr>
              <w:ind w:left="80"/>
              <w:spacing w:after="0"/>
              <w:rPr>
                <w:sz w:val="20"/>
                <w:szCs w:val="20"/>
                <w:color w:val="auto"/>
              </w:rPr>
            </w:pPr>
            <w:r>
              <w:rPr>
                <w:rFonts w:ascii="Arial" w:cs="Arial" w:eastAsia="Arial" w:hAnsi="Arial"/>
                <w:sz w:val="18"/>
                <w:szCs w:val="18"/>
                <w:color w:val="auto"/>
              </w:rPr>
              <w:t>P Kay Metal, Inc</w:t>
            </w:r>
          </w:p>
        </w:tc>
        <w:tc>
          <w:tcPr>
            <w:tcW w:w="2320" w:type="dxa"/>
            <w:vAlign w:val="bottom"/>
          </w:tcPr>
          <w:p>
            <w:pPr>
              <w:ind w:left="100"/>
              <w:spacing w:after="0"/>
              <w:rPr>
                <w:sz w:val="20"/>
                <w:szCs w:val="20"/>
                <w:color w:val="auto"/>
              </w:rPr>
            </w:pPr>
            <w:r>
              <w:rPr>
                <w:rFonts w:ascii="Arial" w:cs="Arial" w:eastAsia="Arial" w:hAnsi="Arial"/>
                <w:sz w:val="18"/>
                <w:szCs w:val="18"/>
                <w:color w:val="auto"/>
              </w:rPr>
              <w:t>United States Of America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CID005189</w:t>
            </w:r>
          </w:p>
        </w:tc>
        <w:tc>
          <w:tcPr>
            <w:tcW w:w="1540" w:type="dxa"/>
            <w:vAlign w:val="bottom"/>
          </w:tcPr>
          <w:p>
            <w:pPr>
              <w:ind w:left="100"/>
              <w:spacing w:after="0"/>
              <w:rPr>
                <w:sz w:val="20"/>
                <w:szCs w:val="20"/>
                <w:color w:val="auto"/>
              </w:rPr>
            </w:pPr>
            <w:r>
              <w:rPr>
                <w:rFonts w:ascii="Arial" w:cs="Arial" w:eastAsia="Arial" w:hAnsi="Arial"/>
                <w:sz w:val="18"/>
                <w:szCs w:val="18"/>
                <w:color w:val="auto"/>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600" w:type="dxa"/>
            <w:vAlign w:val="bottom"/>
          </w:tcPr>
          <w:p>
            <w:pPr>
              <w:ind w:left="80"/>
              <w:spacing w:after="0"/>
              <w:rPr>
                <w:sz w:val="20"/>
                <w:szCs w:val="20"/>
                <w:color w:val="auto"/>
              </w:rPr>
            </w:pPr>
            <w:r>
              <w:rPr>
                <w:rFonts w:ascii="Arial" w:cs="Arial" w:eastAsia="Arial" w:hAnsi="Arial"/>
                <w:sz w:val="18"/>
                <w:szCs w:val="18"/>
                <w:color w:val="auto"/>
              </w:rPr>
              <w:t>Tungamoy Metals Inc.</w:t>
            </w:r>
          </w:p>
        </w:tc>
        <w:tc>
          <w:tcPr>
            <w:tcW w:w="2320" w:type="dxa"/>
            <w:vAlign w:val="bottom"/>
          </w:tcPr>
          <w:p>
            <w:pPr>
              <w:ind w:left="100"/>
              <w:spacing w:after="0"/>
              <w:rPr>
                <w:sz w:val="20"/>
                <w:szCs w:val="20"/>
                <w:color w:val="auto"/>
              </w:rPr>
            </w:pPr>
            <w:r>
              <w:rPr>
                <w:rFonts w:ascii="Arial" w:cs="Arial" w:eastAsia="Arial" w:hAnsi="Arial"/>
                <w:sz w:val="18"/>
                <w:szCs w:val="18"/>
                <w:color w:val="auto"/>
              </w:rPr>
              <w:t>Korea, Republic Of</w:t>
            </w:r>
          </w:p>
        </w:tc>
        <w:tc>
          <w:tcPr>
            <w:tcW w:w="1100" w:type="dxa"/>
            <w:vAlign w:val="bottom"/>
          </w:tcPr>
          <w:p>
            <w:pPr>
              <w:ind w:left="100"/>
              <w:spacing w:after="0"/>
              <w:rPr>
                <w:sz w:val="20"/>
                <w:szCs w:val="20"/>
                <w:color w:val="auto"/>
              </w:rPr>
            </w:pPr>
            <w:r>
              <w:rPr>
                <w:rFonts w:ascii="Arial" w:cs="Arial" w:eastAsia="Arial" w:hAnsi="Arial"/>
                <w:sz w:val="18"/>
                <w:szCs w:val="18"/>
                <w:color w:val="auto"/>
              </w:rPr>
              <w:t>CID005248</w:t>
            </w:r>
          </w:p>
        </w:tc>
        <w:tc>
          <w:tcPr>
            <w:tcW w:w="1540" w:type="dxa"/>
            <w:vAlign w:val="bottom"/>
          </w:tcPr>
          <w:p>
            <w:pPr>
              <w:ind w:left="100"/>
              <w:spacing w:after="0"/>
              <w:rPr>
                <w:sz w:val="20"/>
                <w:szCs w:val="20"/>
                <w:color w:val="auto"/>
              </w:rPr>
            </w:pPr>
            <w:r>
              <w:rPr>
                <w:rFonts w:ascii="Arial" w:cs="Arial" w:eastAsia="Arial" w:hAnsi="Arial"/>
                <w:sz w:val="18"/>
                <w:szCs w:val="18"/>
                <w:color w:val="auto"/>
              </w:rPr>
              <w:t>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00" w:type="dxa"/>
            <w:vAlign w:val="bottom"/>
          </w:tcPr>
          <w:p>
            <w:pPr>
              <w:ind w:left="80"/>
              <w:spacing w:after="0"/>
              <w:rPr>
                <w:sz w:val="20"/>
                <w:szCs w:val="20"/>
                <w:color w:val="auto"/>
              </w:rPr>
            </w:pPr>
            <w:r>
              <w:rPr>
                <w:rFonts w:ascii="Arial" w:cs="Arial" w:eastAsia="Arial" w:hAnsi="Arial"/>
                <w:sz w:val="18"/>
                <w:szCs w:val="18"/>
                <w:color w:val="auto"/>
              </w:rPr>
              <w:t>PT Aries Kencana Sejahtera</w:t>
            </w:r>
          </w:p>
        </w:tc>
        <w:tc>
          <w:tcPr>
            <w:tcW w:w="2320" w:type="dxa"/>
            <w:vAlign w:val="bottom"/>
          </w:tcPr>
          <w:p>
            <w:pPr>
              <w:ind w:left="100"/>
              <w:spacing w:after="0"/>
              <w:rPr>
                <w:sz w:val="20"/>
                <w:szCs w:val="20"/>
                <w:color w:val="auto"/>
              </w:rPr>
            </w:pPr>
            <w:r>
              <w:rPr>
                <w:rFonts w:ascii="Arial" w:cs="Arial" w:eastAsia="Arial" w:hAnsi="Arial"/>
                <w:sz w:val="18"/>
                <w:szCs w:val="18"/>
                <w:color w:val="auto"/>
              </w:rPr>
              <w:t>Indonesia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CID000309</w:t>
            </w:r>
          </w:p>
        </w:tc>
        <w:tc>
          <w:tcPr>
            <w:tcW w:w="1540" w:type="dxa"/>
            <w:vAlign w:val="bottom"/>
          </w:tcPr>
          <w:p>
            <w:pPr>
              <w:ind w:left="100"/>
              <w:spacing w:after="0"/>
              <w:rPr>
                <w:sz w:val="20"/>
                <w:szCs w:val="20"/>
                <w:color w:val="auto"/>
              </w:rPr>
            </w:pPr>
            <w:r>
              <w:rPr>
                <w:rFonts w:ascii="Arial" w:cs="Arial" w:eastAsia="Arial" w:hAnsi="Arial"/>
                <w:sz w:val="18"/>
                <w:szCs w:val="18"/>
                <w:color w:val="auto"/>
                <w:w w:val="97"/>
              </w:rPr>
              <w:t>In Communication</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00" w:type="dxa"/>
            <w:vAlign w:val="bottom"/>
          </w:tcPr>
          <w:p>
            <w:pPr>
              <w:ind w:left="80"/>
              <w:spacing w:after="0"/>
              <w:rPr>
                <w:sz w:val="20"/>
                <w:szCs w:val="20"/>
                <w:color w:val="auto"/>
              </w:rPr>
            </w:pPr>
            <w:r>
              <w:rPr>
                <w:rFonts w:ascii="Arial" w:cs="Arial" w:eastAsia="Arial" w:hAnsi="Arial"/>
                <w:sz w:val="18"/>
                <w:szCs w:val="18"/>
                <w:color w:val="auto"/>
              </w:rPr>
              <w:t>Yunnan Chengfeng Non-ferrous Metals Co., Ltd.</w:t>
            </w:r>
          </w:p>
        </w:tc>
        <w:tc>
          <w:tcPr>
            <w:tcW w:w="2320" w:type="dxa"/>
            <w:vAlign w:val="bottom"/>
          </w:tcPr>
          <w:p>
            <w:pPr>
              <w:ind w:left="10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CID002158</w:t>
            </w:r>
          </w:p>
        </w:tc>
        <w:tc>
          <w:tcPr>
            <w:tcW w:w="154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600" w:type="dxa"/>
            <w:vAlign w:val="bottom"/>
          </w:tcPr>
          <w:p>
            <w:pPr>
              <w:ind w:left="80"/>
              <w:spacing w:after="0"/>
              <w:rPr>
                <w:sz w:val="20"/>
                <w:szCs w:val="20"/>
                <w:color w:val="auto"/>
              </w:rPr>
            </w:pPr>
            <w:r>
              <w:rPr>
                <w:rFonts w:ascii="Arial" w:cs="Arial" w:eastAsia="Arial" w:hAnsi="Arial"/>
                <w:sz w:val="18"/>
                <w:szCs w:val="18"/>
                <w:color w:val="auto"/>
              </w:rPr>
              <w:t>Ganzhou Jiangwu Ferrotungsten Co., Ltd.</w:t>
            </w:r>
          </w:p>
        </w:tc>
        <w:tc>
          <w:tcPr>
            <w:tcW w:w="2320" w:type="dxa"/>
            <w:vAlign w:val="bottom"/>
          </w:tcPr>
          <w:p>
            <w:pPr>
              <w:ind w:left="10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CID002315</w:t>
            </w:r>
          </w:p>
        </w:tc>
        <w:tc>
          <w:tcPr>
            <w:tcW w:w="154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288"/>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600" w:type="dxa"/>
            <w:vAlign w:val="bottom"/>
          </w:tcPr>
          <w:p>
            <w:pPr>
              <w:ind w:left="80"/>
              <w:spacing w:after="0"/>
              <w:rPr>
                <w:sz w:val="20"/>
                <w:szCs w:val="20"/>
                <w:color w:val="auto"/>
              </w:rPr>
            </w:pPr>
            <w:r>
              <w:rPr>
                <w:rFonts w:ascii="Arial" w:cs="Arial" w:eastAsia="Arial" w:hAnsi="Arial"/>
                <w:sz w:val="18"/>
                <w:szCs w:val="18"/>
                <w:color w:val="auto"/>
              </w:rPr>
              <w:t>Hunan Shizhuyuan Nonferrous Metals Co., Ltd.</w:t>
            </w:r>
          </w:p>
        </w:tc>
        <w:tc>
          <w:tcPr>
            <w:tcW w:w="2320" w:type="dxa"/>
            <w:vAlign w:val="bottom"/>
          </w:tcPr>
          <w:p>
            <w:pPr>
              <w:ind w:left="10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CID002513</w:t>
            </w:r>
          </w:p>
        </w:tc>
        <w:tc>
          <w:tcPr>
            <w:tcW w:w="154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239"/>
        </w:trPr>
        <w:tc>
          <w:tcPr>
            <w:tcW w:w="800" w:type="dxa"/>
            <w:vAlign w:val="bottom"/>
          </w:tcPr>
          <w:p>
            <w:pPr>
              <w:spacing w:after="0"/>
              <w:rPr>
                <w:sz w:val="20"/>
                <w:szCs w:val="20"/>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Chenzhou Tungsten Products Branch</w:t>
            </w:r>
          </w:p>
        </w:tc>
        <w:tc>
          <w:tcPr>
            <w:tcW w:w="2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600" w:type="dxa"/>
            <w:vAlign w:val="bottom"/>
          </w:tcPr>
          <w:p>
            <w:pPr>
              <w:ind w:left="80"/>
              <w:spacing w:after="0"/>
              <w:rPr>
                <w:sz w:val="20"/>
                <w:szCs w:val="20"/>
                <w:color w:val="auto"/>
              </w:rPr>
            </w:pPr>
            <w:r>
              <w:rPr>
                <w:rFonts w:ascii="Arial" w:cs="Arial" w:eastAsia="Arial" w:hAnsi="Arial"/>
                <w:sz w:val="18"/>
                <w:szCs w:val="18"/>
                <w:color w:val="auto"/>
              </w:rPr>
              <w:t>Fujian Xinlu Tungsten Co., Ltd.</w:t>
            </w:r>
          </w:p>
        </w:tc>
        <w:tc>
          <w:tcPr>
            <w:tcW w:w="2320" w:type="dxa"/>
            <w:vAlign w:val="bottom"/>
          </w:tcPr>
          <w:p>
            <w:pPr>
              <w:ind w:left="10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CID003609</w:t>
            </w:r>
          </w:p>
        </w:tc>
        <w:tc>
          <w:tcPr>
            <w:tcW w:w="154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WEEEREFINING</w:t>
            </w:r>
          </w:p>
        </w:tc>
        <w:tc>
          <w:tcPr>
            <w:tcW w:w="2320" w:type="dxa"/>
            <w:vAlign w:val="bottom"/>
          </w:tcPr>
          <w:p>
            <w:pPr>
              <w:ind w:left="100"/>
              <w:spacing w:after="0"/>
              <w:rPr>
                <w:sz w:val="20"/>
                <w:szCs w:val="20"/>
                <w:color w:val="auto"/>
              </w:rPr>
            </w:pPr>
            <w:r>
              <w:rPr>
                <w:rFonts w:ascii="Arial" w:cs="Arial" w:eastAsia="Arial" w:hAnsi="Arial"/>
                <w:sz w:val="18"/>
                <w:szCs w:val="18"/>
                <w:color w:val="auto"/>
              </w:rPr>
              <w:t>France</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CID003615</w:t>
            </w:r>
          </w:p>
        </w:tc>
        <w:tc>
          <w:tcPr>
            <w:tcW w:w="154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Cendres + Metaux S.A.</w:t>
            </w:r>
          </w:p>
        </w:tc>
        <w:tc>
          <w:tcPr>
            <w:tcW w:w="2320" w:type="dxa"/>
            <w:vAlign w:val="bottom"/>
          </w:tcPr>
          <w:p>
            <w:pPr>
              <w:ind w:left="100"/>
              <w:spacing w:after="0"/>
              <w:rPr>
                <w:sz w:val="20"/>
                <w:szCs w:val="20"/>
                <w:color w:val="auto"/>
              </w:rPr>
            </w:pPr>
            <w:r>
              <w:rPr>
                <w:rFonts w:ascii="Arial" w:cs="Arial" w:eastAsia="Arial" w:hAnsi="Arial"/>
                <w:sz w:val="18"/>
                <w:szCs w:val="18"/>
                <w:color w:val="auto"/>
              </w:rPr>
              <w:t>Switzerland</w:t>
            </w:r>
          </w:p>
        </w:tc>
        <w:tc>
          <w:tcPr>
            <w:tcW w:w="1100" w:type="dxa"/>
            <w:vAlign w:val="bottom"/>
          </w:tcPr>
          <w:p>
            <w:pPr>
              <w:ind w:left="100"/>
              <w:spacing w:after="0"/>
              <w:rPr>
                <w:sz w:val="20"/>
                <w:szCs w:val="20"/>
                <w:color w:val="auto"/>
              </w:rPr>
            </w:pPr>
            <w:r>
              <w:rPr>
                <w:rFonts w:ascii="Arial" w:cs="Arial" w:eastAsia="Arial" w:hAnsi="Arial"/>
                <w:sz w:val="18"/>
                <w:szCs w:val="18"/>
                <w:color w:val="auto"/>
              </w:rPr>
              <w:t>CID000189</w:t>
            </w:r>
          </w:p>
        </w:tc>
        <w:tc>
          <w:tcPr>
            <w:tcW w:w="154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00" w:type="dxa"/>
            <w:vAlign w:val="bottom"/>
          </w:tcPr>
          <w:p>
            <w:pPr>
              <w:ind w:left="80"/>
              <w:spacing w:after="0"/>
              <w:rPr>
                <w:sz w:val="20"/>
                <w:szCs w:val="20"/>
                <w:color w:val="auto"/>
              </w:rPr>
            </w:pPr>
            <w:r>
              <w:rPr>
                <w:rFonts w:ascii="Arial" w:cs="Arial" w:eastAsia="Arial" w:hAnsi="Arial"/>
                <w:sz w:val="18"/>
                <w:szCs w:val="18"/>
                <w:color w:val="auto"/>
              </w:rPr>
              <w:t>Gejiu Zili Mining And Metallurgy Co., Ltd.</w:t>
            </w:r>
          </w:p>
        </w:tc>
        <w:tc>
          <w:tcPr>
            <w:tcW w:w="2320" w:type="dxa"/>
            <w:vAlign w:val="bottom"/>
          </w:tcPr>
          <w:p>
            <w:pPr>
              <w:ind w:left="10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CID000555</w:t>
            </w:r>
          </w:p>
        </w:tc>
        <w:tc>
          <w:tcPr>
            <w:tcW w:w="154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600" w:type="dxa"/>
            <w:vAlign w:val="bottom"/>
          </w:tcPr>
          <w:p>
            <w:pPr>
              <w:ind w:left="80"/>
              <w:spacing w:after="0"/>
              <w:rPr>
                <w:sz w:val="20"/>
                <w:szCs w:val="20"/>
                <w:color w:val="auto"/>
              </w:rPr>
            </w:pPr>
            <w:r>
              <w:rPr>
                <w:rFonts w:ascii="Arial" w:cs="Arial" w:eastAsia="Arial" w:hAnsi="Arial"/>
                <w:sz w:val="18"/>
                <w:szCs w:val="18"/>
                <w:color w:val="auto"/>
              </w:rPr>
              <w:t>Hunan Jintai New Material Co., Ltd.</w:t>
            </w:r>
          </w:p>
        </w:tc>
        <w:tc>
          <w:tcPr>
            <w:tcW w:w="2320" w:type="dxa"/>
            <w:vAlign w:val="bottom"/>
          </w:tcPr>
          <w:p>
            <w:pPr>
              <w:ind w:left="10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CID000769</w:t>
            </w:r>
          </w:p>
        </w:tc>
        <w:tc>
          <w:tcPr>
            <w:tcW w:w="154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00" w:type="dxa"/>
            <w:vAlign w:val="bottom"/>
          </w:tcPr>
          <w:p>
            <w:pPr>
              <w:ind w:left="80"/>
              <w:spacing w:after="0"/>
              <w:rPr>
                <w:sz w:val="20"/>
                <w:szCs w:val="20"/>
                <w:color w:val="auto"/>
              </w:rPr>
            </w:pPr>
            <w:r>
              <w:rPr>
                <w:rFonts w:ascii="Arial" w:cs="Arial" w:eastAsia="Arial" w:hAnsi="Arial"/>
                <w:sz w:val="18"/>
                <w:szCs w:val="18"/>
                <w:color w:val="auto"/>
              </w:rPr>
              <w:t>Gejiu Kai Meng Industry and Trade LLC</w:t>
            </w:r>
          </w:p>
        </w:tc>
        <w:tc>
          <w:tcPr>
            <w:tcW w:w="2320" w:type="dxa"/>
            <w:vAlign w:val="bottom"/>
          </w:tcPr>
          <w:p>
            <w:pPr>
              <w:ind w:left="10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CID000942</w:t>
            </w:r>
          </w:p>
        </w:tc>
        <w:tc>
          <w:tcPr>
            <w:tcW w:w="1540" w:type="dxa"/>
            <w:vAlign w:val="bottom"/>
          </w:tcPr>
          <w:p>
            <w:pPr>
              <w:ind w:left="100"/>
              <w:spacing w:after="0"/>
              <w:rPr>
                <w:sz w:val="20"/>
                <w:szCs w:val="20"/>
                <w:color w:val="auto"/>
              </w:rPr>
            </w:pPr>
            <w:r>
              <w:rPr>
                <w:rFonts w:ascii="Arial" w:cs="Arial" w:eastAsia="Arial" w:hAnsi="Arial"/>
                <w:sz w:val="18"/>
                <w:szCs w:val="18"/>
                <w:color w:val="auto"/>
              </w:rPr>
              <w:t>Non Conformant</w:t>
            </w:r>
          </w:p>
        </w:tc>
      </w:tr>
    </w:tbl>
    <w:p>
      <w:pPr>
        <w:sectPr>
          <w:pgSz w:w="11900" w:h="16838" w:orient="portrait"/>
          <w:cols w:equalWidth="0" w:num="1">
            <w:col w:w="10360"/>
          </w:cols>
          <w:pgMar w:left="440" w:top="269" w:right="109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20" w:type="dxa"/>
            <w:vAlign w:val="bottom"/>
          </w:tcPr>
          <w:p>
            <w:pPr>
              <w:ind w:left="80"/>
              <w:spacing w:after="0"/>
              <w:rPr>
                <w:sz w:val="20"/>
                <w:szCs w:val="20"/>
                <w:color w:val="auto"/>
              </w:rPr>
            </w:pPr>
            <w:r>
              <w:rPr>
                <w:rFonts w:ascii="Arial" w:cs="Arial" w:eastAsia="Arial" w:hAnsi="Arial"/>
                <w:sz w:val="18"/>
                <w:szCs w:val="18"/>
                <w:color w:val="auto"/>
              </w:rPr>
              <w:t>Kyrgyzaltyn JSC</w:t>
            </w:r>
          </w:p>
        </w:tc>
        <w:tc>
          <w:tcPr>
            <w:tcW w:w="2300" w:type="dxa"/>
            <w:vAlign w:val="bottom"/>
          </w:tcPr>
          <w:p>
            <w:pPr>
              <w:ind w:left="80"/>
              <w:spacing w:after="0"/>
              <w:rPr>
                <w:sz w:val="20"/>
                <w:szCs w:val="20"/>
                <w:color w:val="auto"/>
              </w:rPr>
            </w:pPr>
            <w:r>
              <w:rPr>
                <w:rFonts w:ascii="Arial" w:cs="Arial" w:eastAsia="Arial" w:hAnsi="Arial"/>
                <w:sz w:val="18"/>
                <w:szCs w:val="18"/>
                <w:color w:val="auto"/>
              </w:rPr>
              <w:t>Kyrgyzstan</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CID001029</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20" w:type="dxa"/>
            <w:vAlign w:val="bottom"/>
          </w:tcPr>
          <w:p>
            <w:pPr>
              <w:ind w:left="80"/>
              <w:spacing w:after="0"/>
              <w:rPr>
                <w:sz w:val="20"/>
                <w:szCs w:val="20"/>
                <w:color w:val="auto"/>
              </w:rPr>
            </w:pPr>
            <w:r>
              <w:rPr>
                <w:rFonts w:ascii="Arial" w:cs="Arial" w:eastAsia="Arial" w:hAnsi="Arial"/>
                <w:sz w:val="18"/>
                <w:szCs w:val="18"/>
                <w:color w:val="auto"/>
              </w:rPr>
              <w:t>Samduck Precious Metals</w:t>
            </w:r>
          </w:p>
        </w:tc>
        <w:tc>
          <w:tcPr>
            <w:tcW w:w="2300" w:type="dxa"/>
            <w:vAlign w:val="bottom"/>
          </w:tcPr>
          <w:p>
            <w:pPr>
              <w:ind w:left="80"/>
              <w:spacing w:after="0"/>
              <w:rPr>
                <w:sz w:val="20"/>
                <w:szCs w:val="20"/>
                <w:color w:val="auto"/>
              </w:rPr>
            </w:pPr>
            <w:r>
              <w:rPr>
                <w:rFonts w:ascii="Arial" w:cs="Arial" w:eastAsia="Arial" w:hAnsi="Arial"/>
                <w:sz w:val="18"/>
                <w:szCs w:val="18"/>
                <w:color w:val="auto"/>
              </w:rPr>
              <w:t>Korea, Republic Of</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CID001555</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80"/>
              <w:spacing w:after="0"/>
              <w:rPr>
                <w:sz w:val="20"/>
                <w:szCs w:val="20"/>
                <w:color w:val="auto"/>
              </w:rPr>
            </w:pPr>
            <w:r>
              <w:rPr>
                <w:rFonts w:ascii="Arial" w:cs="Arial" w:eastAsia="Arial" w:hAnsi="Arial"/>
                <w:sz w:val="18"/>
                <w:szCs w:val="18"/>
                <w:color w:val="auto"/>
              </w:rPr>
              <w:t>Gejiu Yunxin Nonferrous Electrolysis Co., Ltd.</w:t>
            </w:r>
          </w:p>
        </w:tc>
        <w:tc>
          <w:tcPr>
            <w:tcW w:w="2300" w:type="dxa"/>
            <w:vAlign w:val="bottom"/>
          </w:tcPr>
          <w:p>
            <w:pPr>
              <w:ind w:left="8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CID001908</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20" w:type="dxa"/>
            <w:vAlign w:val="bottom"/>
          </w:tcPr>
          <w:p>
            <w:pPr>
              <w:ind w:left="80"/>
              <w:spacing w:after="0"/>
              <w:rPr>
                <w:sz w:val="20"/>
                <w:szCs w:val="20"/>
                <w:color w:val="auto"/>
              </w:rPr>
            </w:pPr>
            <w:r>
              <w:rPr>
                <w:rFonts w:ascii="Arial" w:cs="Arial" w:eastAsia="Arial" w:hAnsi="Arial"/>
                <w:sz w:val="18"/>
                <w:szCs w:val="18"/>
                <w:color w:val="auto"/>
              </w:rPr>
              <w:t>Torecom</w:t>
            </w:r>
          </w:p>
        </w:tc>
        <w:tc>
          <w:tcPr>
            <w:tcW w:w="2300" w:type="dxa"/>
            <w:vAlign w:val="bottom"/>
          </w:tcPr>
          <w:p>
            <w:pPr>
              <w:ind w:left="80"/>
              <w:spacing w:after="0"/>
              <w:rPr>
                <w:sz w:val="20"/>
                <w:szCs w:val="20"/>
                <w:color w:val="auto"/>
              </w:rPr>
            </w:pPr>
            <w:r>
              <w:rPr>
                <w:rFonts w:ascii="Arial" w:cs="Arial" w:eastAsia="Arial" w:hAnsi="Arial"/>
                <w:sz w:val="18"/>
                <w:szCs w:val="18"/>
                <w:color w:val="auto"/>
              </w:rPr>
              <w:t>Korea, Republic Of</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CID001955</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20" w:type="dxa"/>
            <w:vAlign w:val="bottom"/>
          </w:tcPr>
          <w:p>
            <w:pPr>
              <w:ind w:left="80"/>
              <w:spacing w:after="0"/>
              <w:rPr>
                <w:sz w:val="20"/>
                <w:szCs w:val="20"/>
                <w:color w:val="auto"/>
              </w:rPr>
            </w:pPr>
            <w:r>
              <w:rPr>
                <w:rFonts w:ascii="Arial" w:cs="Arial" w:eastAsia="Arial" w:hAnsi="Arial"/>
                <w:sz w:val="18"/>
                <w:szCs w:val="18"/>
                <w:color w:val="auto"/>
              </w:rPr>
              <w:t>Umicore Precious Metals Thailand</w:t>
            </w:r>
          </w:p>
        </w:tc>
        <w:tc>
          <w:tcPr>
            <w:tcW w:w="2300" w:type="dxa"/>
            <w:vAlign w:val="bottom"/>
          </w:tcPr>
          <w:p>
            <w:pPr>
              <w:ind w:left="80"/>
              <w:spacing w:after="0"/>
              <w:rPr>
                <w:sz w:val="20"/>
                <w:szCs w:val="20"/>
                <w:color w:val="auto"/>
              </w:rPr>
            </w:pPr>
            <w:r>
              <w:rPr>
                <w:rFonts w:ascii="Arial" w:cs="Arial" w:eastAsia="Arial" w:hAnsi="Arial"/>
                <w:sz w:val="18"/>
                <w:szCs w:val="18"/>
                <w:color w:val="auto"/>
              </w:rPr>
              <w:t>Thailand</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CID002314</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80"/>
              <w:spacing w:after="0"/>
              <w:rPr>
                <w:sz w:val="20"/>
                <w:szCs w:val="20"/>
                <w:color w:val="auto"/>
              </w:rPr>
            </w:pPr>
            <w:r>
              <w:rPr>
                <w:rFonts w:ascii="Arial" w:cs="Arial" w:eastAsia="Arial" w:hAnsi="Arial"/>
                <w:sz w:val="18"/>
                <w:szCs w:val="18"/>
                <w:color w:val="auto"/>
              </w:rPr>
              <w:t>Melt Metais e Ligas S.A.</w:t>
            </w:r>
          </w:p>
        </w:tc>
        <w:tc>
          <w:tcPr>
            <w:tcW w:w="2300" w:type="dxa"/>
            <w:vAlign w:val="bottom"/>
          </w:tcPr>
          <w:p>
            <w:pPr>
              <w:ind w:left="80"/>
              <w:spacing w:after="0"/>
              <w:rPr>
                <w:sz w:val="20"/>
                <w:szCs w:val="20"/>
                <w:color w:val="auto"/>
              </w:rPr>
            </w:pPr>
            <w:r>
              <w:rPr>
                <w:rFonts w:ascii="Arial" w:cs="Arial" w:eastAsia="Arial" w:hAnsi="Arial"/>
                <w:sz w:val="18"/>
                <w:szCs w:val="18"/>
                <w:color w:val="auto"/>
              </w:rPr>
              <w:t>Brazil</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CID002500</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20" w:type="dxa"/>
            <w:vAlign w:val="bottom"/>
          </w:tcPr>
          <w:p>
            <w:pPr>
              <w:ind w:left="80"/>
              <w:spacing w:after="0"/>
              <w:rPr>
                <w:sz w:val="20"/>
                <w:szCs w:val="20"/>
                <w:color w:val="auto"/>
              </w:rPr>
            </w:pPr>
            <w:r>
              <w:rPr>
                <w:rFonts w:ascii="Arial" w:cs="Arial" w:eastAsia="Arial" w:hAnsi="Arial"/>
                <w:sz w:val="18"/>
                <w:szCs w:val="18"/>
                <w:color w:val="auto"/>
              </w:rPr>
              <w:t>Singway Technology Co., Ltd.</w:t>
            </w:r>
          </w:p>
        </w:tc>
        <w:tc>
          <w:tcPr>
            <w:tcW w:w="2300" w:type="dxa"/>
            <w:vAlign w:val="bottom"/>
          </w:tcPr>
          <w:p>
            <w:pPr>
              <w:ind w:left="80"/>
              <w:spacing w:after="0"/>
              <w:rPr>
                <w:sz w:val="20"/>
                <w:szCs w:val="20"/>
                <w:color w:val="auto"/>
              </w:rPr>
            </w:pPr>
            <w:r>
              <w:rPr>
                <w:rFonts w:ascii="Arial" w:cs="Arial" w:eastAsia="Arial" w:hAnsi="Arial"/>
                <w:sz w:val="18"/>
                <w:szCs w:val="18"/>
                <w:color w:val="auto"/>
              </w:rPr>
              <w:t>Taiwan, Province Of 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CID002516</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20" w:type="dxa"/>
            <w:vAlign w:val="bottom"/>
          </w:tcPr>
          <w:p>
            <w:pPr>
              <w:ind w:left="80"/>
              <w:spacing w:after="0"/>
              <w:rPr>
                <w:sz w:val="20"/>
                <w:szCs w:val="20"/>
                <w:color w:val="auto"/>
              </w:rPr>
            </w:pPr>
            <w:r>
              <w:rPr>
                <w:rFonts w:ascii="Arial" w:cs="Arial" w:eastAsia="Arial" w:hAnsi="Arial"/>
                <w:sz w:val="18"/>
                <w:szCs w:val="18"/>
                <w:color w:val="auto"/>
              </w:rPr>
              <w:t>Al Etihad Gold Refinery DMCC</w:t>
            </w:r>
          </w:p>
        </w:tc>
        <w:tc>
          <w:tcPr>
            <w:tcW w:w="2300" w:type="dxa"/>
            <w:vAlign w:val="bottom"/>
          </w:tcPr>
          <w:p>
            <w:pPr>
              <w:ind w:left="80"/>
              <w:spacing w:after="0"/>
              <w:rPr>
                <w:sz w:val="20"/>
                <w:szCs w:val="20"/>
                <w:color w:val="auto"/>
              </w:rPr>
            </w:pPr>
            <w:r>
              <w:rPr>
                <w:rFonts w:ascii="Arial" w:cs="Arial" w:eastAsia="Arial" w:hAnsi="Arial"/>
                <w:sz w:val="18"/>
                <w:szCs w:val="18"/>
                <w:color w:val="auto"/>
              </w:rPr>
              <w:t>United Arab Emirates</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CID002560</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20" w:type="dxa"/>
            <w:vAlign w:val="bottom"/>
          </w:tcPr>
          <w:p>
            <w:pPr>
              <w:ind w:left="80"/>
              <w:spacing w:after="0"/>
              <w:rPr>
                <w:sz w:val="20"/>
                <w:szCs w:val="20"/>
                <w:color w:val="auto"/>
              </w:rPr>
            </w:pPr>
            <w:r>
              <w:rPr>
                <w:rFonts w:ascii="Arial" w:cs="Arial" w:eastAsia="Arial" w:hAnsi="Arial"/>
                <w:sz w:val="18"/>
                <w:szCs w:val="18"/>
                <w:color w:val="auto"/>
              </w:rPr>
              <w:t>Emirates Gold DMCC</w:t>
            </w:r>
          </w:p>
        </w:tc>
        <w:tc>
          <w:tcPr>
            <w:tcW w:w="2300" w:type="dxa"/>
            <w:vAlign w:val="bottom"/>
          </w:tcPr>
          <w:p>
            <w:pPr>
              <w:ind w:left="80"/>
              <w:spacing w:after="0"/>
              <w:rPr>
                <w:sz w:val="20"/>
                <w:szCs w:val="20"/>
                <w:color w:val="auto"/>
              </w:rPr>
            </w:pPr>
            <w:r>
              <w:rPr>
                <w:rFonts w:ascii="Arial" w:cs="Arial" w:eastAsia="Arial" w:hAnsi="Arial"/>
                <w:sz w:val="18"/>
                <w:szCs w:val="18"/>
                <w:color w:val="auto"/>
              </w:rPr>
              <w:t>United Arab Emirates</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CID002561</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288"/>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80"/>
              <w:spacing w:after="0"/>
              <w:rPr>
                <w:sz w:val="20"/>
                <w:szCs w:val="20"/>
                <w:color w:val="auto"/>
              </w:rPr>
            </w:pPr>
            <w:r>
              <w:rPr>
                <w:rFonts w:ascii="Arial" w:cs="Arial" w:eastAsia="Arial" w:hAnsi="Arial"/>
                <w:sz w:val="18"/>
                <w:szCs w:val="18"/>
                <w:color w:val="auto"/>
              </w:rPr>
              <w:t>Electro-Mechanical Facility of the Cao Bang Minerals &amp;</w:t>
            </w:r>
          </w:p>
        </w:tc>
        <w:tc>
          <w:tcPr>
            <w:tcW w:w="2300" w:type="dxa"/>
            <w:vAlign w:val="bottom"/>
          </w:tcPr>
          <w:p>
            <w:pPr>
              <w:ind w:left="80"/>
              <w:spacing w:after="0"/>
              <w:rPr>
                <w:sz w:val="20"/>
                <w:szCs w:val="20"/>
                <w:color w:val="auto"/>
              </w:rPr>
            </w:pPr>
            <w:r>
              <w:rPr>
                <w:rFonts w:ascii="Arial" w:cs="Arial" w:eastAsia="Arial" w:hAnsi="Arial"/>
                <w:sz w:val="18"/>
                <w:szCs w:val="18"/>
                <w:color w:val="auto"/>
              </w:rPr>
              <w:t>Viet Nam</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CID002572</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239"/>
        </w:trPr>
        <w:tc>
          <w:tcPr>
            <w:tcW w:w="800" w:type="dxa"/>
            <w:vAlign w:val="bottom"/>
          </w:tcPr>
          <w:p>
            <w:pPr>
              <w:spacing w:after="0"/>
              <w:rPr>
                <w:sz w:val="20"/>
                <w:szCs w:val="20"/>
                <w:color w:val="auto"/>
              </w:rPr>
            </w:pPr>
          </w:p>
        </w:tc>
        <w:tc>
          <w:tcPr>
            <w:tcW w:w="4620" w:type="dxa"/>
            <w:vAlign w:val="bottom"/>
          </w:tcPr>
          <w:p>
            <w:pPr>
              <w:ind w:left="80"/>
              <w:spacing w:after="0"/>
              <w:rPr>
                <w:sz w:val="20"/>
                <w:szCs w:val="20"/>
                <w:color w:val="auto"/>
              </w:rPr>
            </w:pPr>
            <w:r>
              <w:rPr>
                <w:rFonts w:ascii="Arial" w:cs="Arial" w:eastAsia="Arial" w:hAnsi="Arial"/>
                <w:sz w:val="18"/>
                <w:szCs w:val="18"/>
                <w:color w:val="auto"/>
              </w:rPr>
              <w:t>Metallurgy Joint Stock Company</w:t>
            </w:r>
          </w:p>
        </w:tc>
        <w:tc>
          <w:tcPr>
            <w:tcW w:w="2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11"/>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20" w:type="dxa"/>
            <w:vAlign w:val="bottom"/>
          </w:tcPr>
          <w:p>
            <w:pPr>
              <w:ind w:left="80"/>
              <w:spacing w:after="0"/>
              <w:rPr>
                <w:sz w:val="20"/>
                <w:szCs w:val="20"/>
                <w:color w:val="auto"/>
              </w:rPr>
            </w:pPr>
            <w:r>
              <w:rPr>
                <w:rFonts w:ascii="Arial" w:cs="Arial" w:eastAsia="Arial" w:hAnsi="Arial"/>
                <w:sz w:val="18"/>
                <w:szCs w:val="18"/>
                <w:color w:val="auto"/>
              </w:rPr>
              <w:t>Marsam Metals</w:t>
            </w:r>
          </w:p>
        </w:tc>
        <w:tc>
          <w:tcPr>
            <w:tcW w:w="2300" w:type="dxa"/>
            <w:vAlign w:val="bottom"/>
          </w:tcPr>
          <w:p>
            <w:pPr>
              <w:ind w:left="80"/>
              <w:spacing w:after="0"/>
              <w:rPr>
                <w:sz w:val="20"/>
                <w:szCs w:val="20"/>
                <w:color w:val="auto"/>
              </w:rPr>
            </w:pPr>
            <w:r>
              <w:rPr>
                <w:rFonts w:ascii="Arial" w:cs="Arial" w:eastAsia="Arial" w:hAnsi="Arial"/>
                <w:sz w:val="18"/>
                <w:szCs w:val="18"/>
                <w:color w:val="auto"/>
              </w:rPr>
              <w:t>Brazil</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CID002606</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620" w:type="dxa"/>
            <w:vAlign w:val="bottom"/>
          </w:tcPr>
          <w:p>
            <w:pPr>
              <w:ind w:left="80"/>
              <w:spacing w:after="0"/>
              <w:rPr>
                <w:sz w:val="20"/>
                <w:szCs w:val="20"/>
                <w:color w:val="auto"/>
              </w:rPr>
            </w:pPr>
            <w:r>
              <w:rPr>
                <w:rFonts w:ascii="Arial" w:cs="Arial" w:eastAsia="Arial" w:hAnsi="Arial"/>
                <w:sz w:val="18"/>
                <w:szCs w:val="18"/>
                <w:color w:val="auto"/>
              </w:rPr>
              <w:t>Unecha Refractory metals plant</w:t>
            </w:r>
          </w:p>
        </w:tc>
        <w:tc>
          <w:tcPr>
            <w:tcW w:w="2300" w:type="dxa"/>
            <w:vAlign w:val="bottom"/>
          </w:tcPr>
          <w:p>
            <w:pPr>
              <w:ind w:left="80"/>
              <w:spacing w:after="0"/>
              <w:rPr>
                <w:sz w:val="20"/>
                <w:szCs w:val="20"/>
                <w:color w:val="auto"/>
              </w:rPr>
            </w:pPr>
            <w:r>
              <w:rPr>
                <w:rFonts w:ascii="Arial" w:cs="Arial" w:eastAsia="Arial" w:hAnsi="Arial"/>
                <w:sz w:val="18"/>
                <w:szCs w:val="18"/>
                <w:color w:val="auto"/>
              </w:rPr>
              <w:t>Russian Federation</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CID002724</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20" w:type="dxa"/>
            <w:vAlign w:val="bottom"/>
          </w:tcPr>
          <w:p>
            <w:pPr>
              <w:ind w:left="80"/>
              <w:spacing w:after="0"/>
              <w:rPr>
                <w:sz w:val="20"/>
                <w:szCs w:val="20"/>
                <w:color w:val="auto"/>
              </w:rPr>
            </w:pPr>
            <w:r>
              <w:rPr>
                <w:rFonts w:ascii="Arial" w:cs="Arial" w:eastAsia="Arial" w:hAnsi="Arial"/>
                <w:sz w:val="18"/>
                <w:szCs w:val="18"/>
                <w:color w:val="auto"/>
              </w:rPr>
              <w:t>SAAMP</w:t>
            </w:r>
          </w:p>
        </w:tc>
        <w:tc>
          <w:tcPr>
            <w:tcW w:w="2300" w:type="dxa"/>
            <w:vAlign w:val="bottom"/>
          </w:tcPr>
          <w:p>
            <w:pPr>
              <w:ind w:left="80"/>
              <w:spacing w:after="0"/>
              <w:rPr>
                <w:sz w:val="20"/>
                <w:szCs w:val="20"/>
                <w:color w:val="auto"/>
              </w:rPr>
            </w:pPr>
            <w:r>
              <w:rPr>
                <w:rFonts w:ascii="Arial" w:cs="Arial" w:eastAsia="Arial" w:hAnsi="Arial"/>
                <w:sz w:val="18"/>
                <w:szCs w:val="18"/>
                <w:color w:val="auto"/>
              </w:rPr>
              <w:t>France</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CID002761</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20" w:type="dxa"/>
            <w:vAlign w:val="bottom"/>
          </w:tcPr>
          <w:p>
            <w:pPr>
              <w:ind w:left="80"/>
              <w:spacing w:after="0"/>
              <w:rPr>
                <w:sz w:val="20"/>
                <w:szCs w:val="20"/>
                <w:color w:val="auto"/>
              </w:rPr>
            </w:pPr>
            <w:r>
              <w:rPr>
                <w:rFonts w:ascii="Arial" w:cs="Arial" w:eastAsia="Arial" w:hAnsi="Arial"/>
                <w:sz w:val="18"/>
                <w:szCs w:val="18"/>
                <w:color w:val="auto"/>
              </w:rPr>
              <w:t>L’Orfebre S.A.</w:t>
            </w:r>
          </w:p>
        </w:tc>
        <w:tc>
          <w:tcPr>
            <w:tcW w:w="2300" w:type="dxa"/>
            <w:vAlign w:val="bottom"/>
          </w:tcPr>
          <w:p>
            <w:pPr>
              <w:ind w:left="80"/>
              <w:spacing w:after="0"/>
              <w:rPr>
                <w:sz w:val="20"/>
                <w:szCs w:val="20"/>
                <w:color w:val="auto"/>
              </w:rPr>
            </w:pPr>
            <w:r>
              <w:rPr>
                <w:rFonts w:ascii="Arial" w:cs="Arial" w:eastAsia="Arial" w:hAnsi="Arial"/>
                <w:sz w:val="18"/>
                <w:szCs w:val="18"/>
                <w:color w:val="auto"/>
              </w:rPr>
              <w:t>Andorra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CID002762</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20" w:type="dxa"/>
            <w:vAlign w:val="bottom"/>
          </w:tcPr>
          <w:p>
            <w:pPr>
              <w:ind w:left="80"/>
              <w:spacing w:after="0"/>
              <w:rPr>
                <w:sz w:val="20"/>
                <w:szCs w:val="20"/>
                <w:color w:val="auto"/>
              </w:rPr>
            </w:pPr>
            <w:r>
              <w:rPr>
                <w:rFonts w:ascii="Arial" w:cs="Arial" w:eastAsia="Arial" w:hAnsi="Arial"/>
                <w:sz w:val="18"/>
                <w:szCs w:val="18"/>
                <w:color w:val="auto"/>
              </w:rPr>
              <w:t>8853 S.p.A.</w:t>
            </w:r>
          </w:p>
        </w:tc>
        <w:tc>
          <w:tcPr>
            <w:tcW w:w="2300" w:type="dxa"/>
            <w:vAlign w:val="bottom"/>
          </w:tcPr>
          <w:p>
            <w:pPr>
              <w:ind w:left="80"/>
              <w:spacing w:after="0"/>
              <w:rPr>
                <w:sz w:val="20"/>
                <w:szCs w:val="20"/>
                <w:color w:val="auto"/>
              </w:rPr>
            </w:pPr>
            <w:r>
              <w:rPr>
                <w:rFonts w:ascii="Arial" w:cs="Arial" w:eastAsia="Arial" w:hAnsi="Arial"/>
                <w:sz w:val="18"/>
                <w:szCs w:val="18"/>
                <w:color w:val="auto"/>
              </w:rPr>
              <w:t>Italy</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CID002763</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20" w:type="dxa"/>
            <w:vAlign w:val="bottom"/>
          </w:tcPr>
          <w:p>
            <w:pPr>
              <w:ind w:left="80"/>
              <w:spacing w:after="0"/>
              <w:rPr>
                <w:sz w:val="20"/>
                <w:szCs w:val="20"/>
                <w:color w:val="auto"/>
              </w:rPr>
            </w:pPr>
            <w:r>
              <w:rPr>
                <w:rFonts w:ascii="Arial" w:cs="Arial" w:eastAsia="Arial" w:hAnsi="Arial"/>
                <w:sz w:val="18"/>
                <w:szCs w:val="18"/>
                <w:color w:val="auto"/>
              </w:rPr>
              <w:t>AU Traders and Refiners</w:t>
            </w:r>
          </w:p>
        </w:tc>
        <w:tc>
          <w:tcPr>
            <w:tcW w:w="2300" w:type="dxa"/>
            <w:vAlign w:val="bottom"/>
          </w:tcPr>
          <w:p>
            <w:pPr>
              <w:ind w:left="80"/>
              <w:spacing w:after="0"/>
              <w:rPr>
                <w:sz w:val="20"/>
                <w:szCs w:val="20"/>
                <w:color w:val="auto"/>
              </w:rPr>
            </w:pPr>
            <w:r>
              <w:rPr>
                <w:rFonts w:ascii="Arial" w:cs="Arial" w:eastAsia="Arial" w:hAnsi="Arial"/>
                <w:sz w:val="18"/>
                <w:szCs w:val="18"/>
                <w:color w:val="auto"/>
              </w:rPr>
              <w:t>South Africa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CID002850</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20" w:type="dxa"/>
            <w:vAlign w:val="bottom"/>
          </w:tcPr>
          <w:p>
            <w:pPr>
              <w:ind w:left="80"/>
              <w:spacing w:after="0"/>
              <w:rPr>
                <w:sz w:val="20"/>
                <w:szCs w:val="20"/>
                <w:color w:val="auto"/>
              </w:rPr>
            </w:pPr>
            <w:r>
              <w:rPr>
                <w:rFonts w:ascii="Arial" w:cs="Arial" w:eastAsia="Arial" w:hAnsi="Arial"/>
                <w:sz w:val="18"/>
                <w:szCs w:val="18"/>
                <w:color w:val="auto"/>
              </w:rPr>
              <w:t>GGC Gujrat Gold Centre Pvt. Ltd.</w:t>
            </w:r>
          </w:p>
        </w:tc>
        <w:tc>
          <w:tcPr>
            <w:tcW w:w="2300" w:type="dxa"/>
            <w:vAlign w:val="bottom"/>
          </w:tcPr>
          <w:p>
            <w:pPr>
              <w:ind w:left="80"/>
              <w:spacing w:after="0"/>
              <w:rPr>
                <w:sz w:val="20"/>
                <w:szCs w:val="20"/>
                <w:color w:val="auto"/>
              </w:rPr>
            </w:pPr>
            <w:r>
              <w:rPr>
                <w:rFonts w:ascii="Arial" w:cs="Arial" w:eastAsia="Arial" w:hAnsi="Arial"/>
                <w:sz w:val="18"/>
                <w:szCs w:val="18"/>
                <w:color w:val="auto"/>
              </w:rPr>
              <w:t>India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CID002852</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20" w:type="dxa"/>
            <w:vAlign w:val="bottom"/>
          </w:tcPr>
          <w:p>
            <w:pPr>
              <w:ind w:left="80"/>
              <w:spacing w:after="0"/>
              <w:rPr>
                <w:sz w:val="20"/>
                <w:szCs w:val="20"/>
                <w:color w:val="auto"/>
              </w:rPr>
            </w:pPr>
            <w:r>
              <w:rPr>
                <w:rFonts w:ascii="Arial" w:cs="Arial" w:eastAsia="Arial" w:hAnsi="Arial"/>
                <w:sz w:val="18"/>
                <w:szCs w:val="18"/>
                <w:color w:val="auto"/>
              </w:rPr>
              <w:t>Modeltech Sdn Bhd</w:t>
            </w:r>
          </w:p>
        </w:tc>
        <w:tc>
          <w:tcPr>
            <w:tcW w:w="2300" w:type="dxa"/>
            <w:vAlign w:val="bottom"/>
          </w:tcPr>
          <w:p>
            <w:pPr>
              <w:ind w:left="80"/>
              <w:spacing w:after="0"/>
              <w:rPr>
                <w:sz w:val="20"/>
                <w:szCs w:val="20"/>
                <w:color w:val="auto"/>
              </w:rPr>
            </w:pPr>
            <w:r>
              <w:rPr>
                <w:rFonts w:ascii="Arial" w:cs="Arial" w:eastAsia="Arial" w:hAnsi="Arial"/>
                <w:sz w:val="18"/>
                <w:szCs w:val="18"/>
                <w:color w:val="auto"/>
              </w:rPr>
              <w:t>Malaysia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CID002857</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80"/>
              <w:spacing w:after="0"/>
              <w:rPr>
                <w:sz w:val="20"/>
                <w:szCs w:val="20"/>
                <w:color w:val="auto"/>
              </w:rPr>
            </w:pPr>
            <w:r>
              <w:rPr>
                <w:rFonts w:ascii="Arial" w:cs="Arial" w:eastAsia="Arial" w:hAnsi="Arial"/>
                <w:sz w:val="18"/>
                <w:szCs w:val="18"/>
                <w:color w:val="auto"/>
              </w:rPr>
              <w:t>Modeltech Sdn Bhd</w:t>
            </w:r>
          </w:p>
        </w:tc>
        <w:tc>
          <w:tcPr>
            <w:tcW w:w="2300" w:type="dxa"/>
            <w:vAlign w:val="bottom"/>
          </w:tcPr>
          <w:p>
            <w:pPr>
              <w:ind w:left="80"/>
              <w:spacing w:after="0"/>
              <w:rPr>
                <w:sz w:val="20"/>
                <w:szCs w:val="20"/>
                <w:color w:val="auto"/>
              </w:rPr>
            </w:pPr>
            <w:r>
              <w:rPr>
                <w:rFonts w:ascii="Arial" w:cs="Arial" w:eastAsia="Arial" w:hAnsi="Arial"/>
                <w:sz w:val="18"/>
                <w:szCs w:val="18"/>
                <w:color w:val="auto"/>
              </w:rPr>
              <w:t>Malaysia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CID002858</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20" w:type="dxa"/>
            <w:vAlign w:val="bottom"/>
          </w:tcPr>
          <w:p>
            <w:pPr>
              <w:ind w:left="80"/>
              <w:spacing w:after="0"/>
              <w:rPr>
                <w:sz w:val="20"/>
                <w:szCs w:val="20"/>
                <w:color w:val="auto"/>
              </w:rPr>
            </w:pPr>
            <w:r>
              <w:rPr>
                <w:rFonts w:ascii="Arial" w:cs="Arial" w:eastAsia="Arial" w:hAnsi="Arial"/>
                <w:sz w:val="18"/>
                <w:szCs w:val="18"/>
                <w:color w:val="auto"/>
              </w:rPr>
              <w:t>Safimet S.p.A</w:t>
            </w:r>
          </w:p>
        </w:tc>
        <w:tc>
          <w:tcPr>
            <w:tcW w:w="2300" w:type="dxa"/>
            <w:vAlign w:val="bottom"/>
          </w:tcPr>
          <w:p>
            <w:pPr>
              <w:ind w:left="80"/>
              <w:spacing w:after="0"/>
              <w:rPr>
                <w:sz w:val="20"/>
                <w:szCs w:val="20"/>
                <w:color w:val="auto"/>
              </w:rPr>
            </w:pPr>
            <w:r>
              <w:rPr>
                <w:rFonts w:ascii="Arial" w:cs="Arial" w:eastAsia="Arial" w:hAnsi="Arial"/>
                <w:sz w:val="18"/>
                <w:szCs w:val="18"/>
                <w:color w:val="auto"/>
              </w:rPr>
              <w:t>Italy</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CID002973</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80"/>
              <w:spacing w:after="0"/>
              <w:rPr>
                <w:sz w:val="20"/>
                <w:szCs w:val="20"/>
                <w:color w:val="auto"/>
              </w:rPr>
            </w:pPr>
            <w:r>
              <w:rPr>
                <w:rFonts w:ascii="Arial" w:cs="Arial" w:eastAsia="Arial" w:hAnsi="Arial"/>
                <w:sz w:val="18"/>
                <w:szCs w:val="18"/>
                <w:color w:val="auto"/>
              </w:rPr>
              <w:t>Dongguan CiEXPO Environmental Engineering Co., Ltd.</w:t>
            </w:r>
          </w:p>
        </w:tc>
        <w:tc>
          <w:tcPr>
            <w:tcW w:w="2300" w:type="dxa"/>
            <w:vAlign w:val="bottom"/>
          </w:tcPr>
          <w:p>
            <w:pPr>
              <w:ind w:left="8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CID003356</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80"/>
              <w:spacing w:after="0"/>
              <w:rPr>
                <w:sz w:val="20"/>
                <w:szCs w:val="20"/>
                <w:color w:val="auto"/>
              </w:rPr>
            </w:pPr>
            <w:r>
              <w:rPr>
                <w:rFonts w:ascii="Arial" w:cs="Arial" w:eastAsia="Arial" w:hAnsi="Arial"/>
                <w:sz w:val="18"/>
                <w:szCs w:val="18"/>
                <w:color w:val="auto"/>
              </w:rPr>
              <w:t>Ma’anshan Weitai Tin Co., Ltd.</w:t>
            </w:r>
          </w:p>
        </w:tc>
        <w:tc>
          <w:tcPr>
            <w:tcW w:w="2300" w:type="dxa"/>
            <w:vAlign w:val="bottom"/>
          </w:tcPr>
          <w:p>
            <w:pPr>
              <w:ind w:left="8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CID003379</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80"/>
              <w:spacing w:after="0"/>
              <w:rPr>
                <w:sz w:val="20"/>
                <w:szCs w:val="20"/>
                <w:color w:val="auto"/>
              </w:rPr>
            </w:pPr>
            <w:r>
              <w:rPr>
                <w:rFonts w:ascii="Arial" w:cs="Arial" w:eastAsia="Arial" w:hAnsi="Arial"/>
                <w:sz w:val="18"/>
                <w:szCs w:val="18"/>
                <w:color w:val="auto"/>
              </w:rPr>
              <w:t>PT Masbro Alam Stania</w:t>
            </w:r>
          </w:p>
        </w:tc>
        <w:tc>
          <w:tcPr>
            <w:tcW w:w="2300" w:type="dxa"/>
            <w:vAlign w:val="bottom"/>
          </w:tcPr>
          <w:p>
            <w:pPr>
              <w:ind w:left="80"/>
              <w:spacing w:after="0"/>
              <w:rPr>
                <w:sz w:val="20"/>
                <w:szCs w:val="20"/>
                <w:color w:val="auto"/>
              </w:rPr>
            </w:pPr>
            <w:r>
              <w:rPr>
                <w:rFonts w:ascii="Arial" w:cs="Arial" w:eastAsia="Arial" w:hAnsi="Arial"/>
                <w:sz w:val="18"/>
                <w:szCs w:val="18"/>
                <w:color w:val="auto"/>
              </w:rPr>
              <w:t>Indonesia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CID003380</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80"/>
              <w:spacing w:after="0"/>
              <w:rPr>
                <w:sz w:val="20"/>
                <w:szCs w:val="20"/>
                <w:color w:val="auto"/>
              </w:rPr>
            </w:pPr>
            <w:r>
              <w:rPr>
                <w:rFonts w:ascii="Arial" w:cs="Arial" w:eastAsia="Arial" w:hAnsi="Arial"/>
                <w:sz w:val="18"/>
                <w:szCs w:val="18"/>
                <w:color w:val="auto"/>
              </w:rPr>
              <w:t>Precious Minerals and Smelting Limited</w:t>
            </w:r>
          </w:p>
        </w:tc>
        <w:tc>
          <w:tcPr>
            <w:tcW w:w="2300" w:type="dxa"/>
            <w:vAlign w:val="bottom"/>
          </w:tcPr>
          <w:p>
            <w:pPr>
              <w:ind w:left="80"/>
              <w:spacing w:after="0"/>
              <w:rPr>
                <w:sz w:val="20"/>
                <w:szCs w:val="20"/>
                <w:color w:val="auto"/>
              </w:rPr>
            </w:pPr>
            <w:r>
              <w:rPr>
                <w:rFonts w:ascii="Arial" w:cs="Arial" w:eastAsia="Arial" w:hAnsi="Arial"/>
                <w:sz w:val="18"/>
                <w:szCs w:val="18"/>
                <w:color w:val="auto"/>
              </w:rPr>
              <w:t>India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CID003409</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288"/>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620" w:type="dxa"/>
            <w:vAlign w:val="bottom"/>
          </w:tcPr>
          <w:p>
            <w:pPr>
              <w:ind w:left="80"/>
              <w:spacing w:after="0"/>
              <w:rPr>
                <w:sz w:val="20"/>
                <w:szCs w:val="20"/>
                <w:color w:val="auto"/>
              </w:rPr>
            </w:pPr>
            <w:r>
              <w:rPr>
                <w:rFonts w:ascii="Arial" w:cs="Arial" w:eastAsia="Arial" w:hAnsi="Arial"/>
                <w:sz w:val="18"/>
                <w:szCs w:val="18"/>
                <w:color w:val="auto"/>
              </w:rPr>
              <w:t>Albasteel Industria e Comercio de Ligas Para Fundicao</w:t>
            </w:r>
          </w:p>
        </w:tc>
        <w:tc>
          <w:tcPr>
            <w:tcW w:w="2300" w:type="dxa"/>
            <w:vAlign w:val="bottom"/>
          </w:tcPr>
          <w:p>
            <w:pPr>
              <w:ind w:left="80"/>
              <w:spacing w:after="0"/>
              <w:rPr>
                <w:sz w:val="20"/>
                <w:szCs w:val="20"/>
                <w:color w:val="auto"/>
              </w:rPr>
            </w:pPr>
            <w:r>
              <w:rPr>
                <w:rFonts w:ascii="Arial" w:cs="Arial" w:eastAsia="Arial" w:hAnsi="Arial"/>
                <w:sz w:val="18"/>
                <w:szCs w:val="18"/>
                <w:color w:val="auto"/>
              </w:rPr>
              <w:t>Brazil</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CID003427</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239"/>
        </w:trPr>
        <w:tc>
          <w:tcPr>
            <w:tcW w:w="800" w:type="dxa"/>
            <w:vAlign w:val="bottom"/>
          </w:tcPr>
          <w:p>
            <w:pPr>
              <w:spacing w:after="0"/>
              <w:rPr>
                <w:sz w:val="20"/>
                <w:szCs w:val="20"/>
                <w:color w:val="auto"/>
              </w:rPr>
            </w:pPr>
          </w:p>
        </w:tc>
        <w:tc>
          <w:tcPr>
            <w:tcW w:w="4620" w:type="dxa"/>
            <w:vAlign w:val="bottom"/>
          </w:tcPr>
          <w:p>
            <w:pPr>
              <w:ind w:left="80"/>
              <w:spacing w:after="0"/>
              <w:rPr>
                <w:sz w:val="20"/>
                <w:szCs w:val="20"/>
                <w:color w:val="auto"/>
              </w:rPr>
            </w:pPr>
            <w:r>
              <w:rPr>
                <w:rFonts w:ascii="Arial" w:cs="Arial" w:eastAsia="Arial" w:hAnsi="Arial"/>
                <w:sz w:val="18"/>
                <w:szCs w:val="18"/>
                <w:color w:val="auto"/>
              </w:rPr>
              <w:t>Ltd.</w:t>
            </w:r>
          </w:p>
        </w:tc>
        <w:tc>
          <w:tcPr>
            <w:tcW w:w="2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20" w:type="dxa"/>
            <w:vAlign w:val="bottom"/>
          </w:tcPr>
          <w:p>
            <w:pPr>
              <w:ind w:left="80"/>
              <w:spacing w:after="0"/>
              <w:rPr>
                <w:sz w:val="20"/>
                <w:szCs w:val="20"/>
                <w:color w:val="auto"/>
              </w:rPr>
            </w:pPr>
            <w:r>
              <w:rPr>
                <w:rFonts w:ascii="Arial" w:cs="Arial" w:eastAsia="Arial" w:hAnsi="Arial"/>
                <w:sz w:val="18"/>
                <w:szCs w:val="18"/>
                <w:color w:val="auto"/>
              </w:rPr>
              <w:t>Augmont Enterprises Private Limited</w:t>
            </w:r>
          </w:p>
        </w:tc>
        <w:tc>
          <w:tcPr>
            <w:tcW w:w="2300" w:type="dxa"/>
            <w:vAlign w:val="bottom"/>
          </w:tcPr>
          <w:p>
            <w:pPr>
              <w:ind w:left="80"/>
              <w:spacing w:after="0"/>
              <w:rPr>
                <w:sz w:val="20"/>
                <w:szCs w:val="20"/>
                <w:color w:val="auto"/>
              </w:rPr>
            </w:pPr>
            <w:r>
              <w:rPr>
                <w:rFonts w:ascii="Arial" w:cs="Arial" w:eastAsia="Arial" w:hAnsi="Arial"/>
                <w:sz w:val="18"/>
                <w:szCs w:val="18"/>
                <w:color w:val="auto"/>
              </w:rPr>
              <w:t>India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CID003461</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20" w:type="dxa"/>
            <w:vAlign w:val="bottom"/>
          </w:tcPr>
          <w:p>
            <w:pPr>
              <w:ind w:left="80"/>
              <w:spacing w:after="0"/>
              <w:rPr>
                <w:sz w:val="20"/>
                <w:szCs w:val="20"/>
                <w:color w:val="auto"/>
              </w:rPr>
            </w:pPr>
            <w:r>
              <w:rPr>
                <w:rFonts w:ascii="Arial" w:cs="Arial" w:eastAsia="Arial" w:hAnsi="Arial"/>
                <w:sz w:val="18"/>
                <w:szCs w:val="18"/>
                <w:color w:val="auto"/>
              </w:rPr>
              <w:t>Alexy Metals</w:t>
            </w:r>
          </w:p>
        </w:tc>
        <w:tc>
          <w:tcPr>
            <w:tcW w:w="2300" w:type="dxa"/>
            <w:vAlign w:val="bottom"/>
          </w:tcPr>
          <w:p>
            <w:pPr>
              <w:ind w:left="80"/>
              <w:spacing w:after="0"/>
              <w:rPr>
                <w:sz w:val="20"/>
                <w:szCs w:val="20"/>
                <w:color w:val="auto"/>
              </w:rPr>
            </w:pPr>
            <w:r>
              <w:rPr>
                <w:rFonts w:ascii="Arial" w:cs="Arial" w:eastAsia="Arial" w:hAnsi="Arial"/>
                <w:sz w:val="18"/>
                <w:szCs w:val="18"/>
                <w:color w:val="auto"/>
              </w:rPr>
              <w:t>United States Of America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CID003500</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620" w:type="dxa"/>
            <w:vAlign w:val="bottom"/>
          </w:tcPr>
          <w:p>
            <w:pPr>
              <w:ind w:left="80"/>
              <w:spacing w:after="0"/>
              <w:rPr>
                <w:sz w:val="20"/>
                <w:szCs w:val="20"/>
                <w:color w:val="auto"/>
              </w:rPr>
            </w:pPr>
            <w:r>
              <w:rPr>
                <w:rFonts w:ascii="Arial" w:cs="Arial" w:eastAsia="Arial" w:hAnsi="Arial"/>
                <w:sz w:val="18"/>
                <w:szCs w:val="18"/>
                <w:color w:val="auto"/>
              </w:rPr>
              <w:t>Philippine Carreytech Metal Corp.</w:t>
            </w:r>
          </w:p>
        </w:tc>
        <w:tc>
          <w:tcPr>
            <w:tcW w:w="2300" w:type="dxa"/>
            <w:vAlign w:val="bottom"/>
          </w:tcPr>
          <w:p>
            <w:pPr>
              <w:ind w:left="80"/>
              <w:spacing w:after="0"/>
              <w:rPr>
                <w:sz w:val="20"/>
                <w:szCs w:val="20"/>
                <w:color w:val="auto"/>
              </w:rPr>
            </w:pPr>
            <w:r>
              <w:rPr>
                <w:rFonts w:ascii="Arial" w:cs="Arial" w:eastAsia="Arial" w:hAnsi="Arial"/>
                <w:sz w:val="18"/>
                <w:szCs w:val="18"/>
                <w:color w:val="auto"/>
              </w:rPr>
              <w:t>Philippines</w:t>
            </w:r>
          </w:p>
        </w:tc>
        <w:tc>
          <w:tcPr>
            <w:tcW w:w="1100" w:type="dxa"/>
            <w:vAlign w:val="bottom"/>
          </w:tcPr>
          <w:p>
            <w:pPr>
              <w:ind w:left="100"/>
              <w:spacing w:after="0"/>
              <w:rPr>
                <w:sz w:val="20"/>
                <w:szCs w:val="20"/>
                <w:color w:val="auto"/>
              </w:rPr>
            </w:pPr>
            <w:r>
              <w:rPr>
                <w:rFonts w:ascii="Arial" w:cs="Arial" w:eastAsia="Arial" w:hAnsi="Arial"/>
                <w:sz w:val="18"/>
                <w:szCs w:val="18"/>
                <w:color w:val="auto"/>
              </w:rPr>
              <w:t>CID004438</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20" w:type="dxa"/>
            <w:vAlign w:val="bottom"/>
          </w:tcPr>
          <w:p>
            <w:pPr>
              <w:ind w:left="80"/>
              <w:spacing w:after="0"/>
              <w:rPr>
                <w:sz w:val="20"/>
                <w:szCs w:val="20"/>
                <w:color w:val="auto"/>
              </w:rPr>
            </w:pPr>
            <w:r>
              <w:rPr>
                <w:rFonts w:ascii="Arial" w:cs="Arial" w:eastAsia="Arial" w:hAnsi="Arial"/>
                <w:sz w:val="18"/>
                <w:szCs w:val="18"/>
                <w:color w:val="auto"/>
              </w:rPr>
              <w:t>TITAN COMPANY LIMITED, JEWELLERY DIVISION</w:t>
            </w:r>
          </w:p>
        </w:tc>
        <w:tc>
          <w:tcPr>
            <w:tcW w:w="2300" w:type="dxa"/>
            <w:vAlign w:val="bottom"/>
          </w:tcPr>
          <w:p>
            <w:pPr>
              <w:ind w:left="80"/>
              <w:spacing w:after="0"/>
              <w:rPr>
                <w:sz w:val="20"/>
                <w:szCs w:val="20"/>
                <w:color w:val="auto"/>
              </w:rPr>
            </w:pPr>
            <w:r>
              <w:rPr>
                <w:rFonts w:ascii="Arial" w:cs="Arial" w:eastAsia="Arial" w:hAnsi="Arial"/>
                <w:sz w:val="18"/>
                <w:szCs w:val="18"/>
                <w:color w:val="auto"/>
              </w:rPr>
              <w:t>India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CID004491</w:t>
            </w:r>
          </w:p>
        </w:tc>
        <w:tc>
          <w:tcPr>
            <w:tcW w:w="1620" w:type="dxa"/>
            <w:vAlign w:val="bottom"/>
          </w:tcPr>
          <w:p>
            <w:pPr>
              <w:ind w:left="100"/>
              <w:spacing w:after="0"/>
              <w:rPr>
                <w:sz w:val="20"/>
                <w:szCs w:val="20"/>
                <w:color w:val="auto"/>
              </w:rPr>
            </w:pPr>
            <w:r>
              <w:rPr>
                <w:rFonts w:ascii="Arial" w:cs="Arial" w:eastAsia="Arial" w:hAnsi="Arial"/>
                <w:sz w:val="18"/>
                <w:szCs w:val="18"/>
                <w:color w:val="auto"/>
              </w:rPr>
              <w:t>Non Conformant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20" w:type="dxa"/>
            <w:vAlign w:val="bottom"/>
          </w:tcPr>
          <w:p>
            <w:pPr>
              <w:ind w:left="80"/>
              <w:spacing w:after="0"/>
              <w:rPr>
                <w:sz w:val="20"/>
                <w:szCs w:val="20"/>
                <w:color w:val="auto"/>
              </w:rPr>
            </w:pPr>
            <w:r>
              <w:rPr>
                <w:rFonts w:ascii="Arial" w:cs="Arial" w:eastAsia="Arial" w:hAnsi="Arial"/>
                <w:sz w:val="18"/>
                <w:szCs w:val="18"/>
                <w:color w:val="auto"/>
              </w:rPr>
              <w:t>Caridad</w:t>
            </w:r>
          </w:p>
        </w:tc>
        <w:tc>
          <w:tcPr>
            <w:tcW w:w="2300" w:type="dxa"/>
            <w:vAlign w:val="bottom"/>
          </w:tcPr>
          <w:p>
            <w:pPr>
              <w:ind w:left="80"/>
              <w:spacing w:after="0"/>
              <w:rPr>
                <w:sz w:val="20"/>
                <w:szCs w:val="20"/>
                <w:color w:val="auto"/>
              </w:rPr>
            </w:pPr>
            <w:r>
              <w:rPr>
                <w:rFonts w:ascii="Arial" w:cs="Arial" w:eastAsia="Arial" w:hAnsi="Arial"/>
                <w:sz w:val="18"/>
                <w:szCs w:val="18"/>
                <w:color w:val="auto"/>
              </w:rPr>
              <w:t>Mexico</w:t>
            </w:r>
          </w:p>
        </w:tc>
        <w:tc>
          <w:tcPr>
            <w:tcW w:w="1100" w:type="dxa"/>
            <w:vAlign w:val="bottom"/>
          </w:tcPr>
          <w:p>
            <w:pPr>
              <w:ind w:left="100"/>
              <w:spacing w:after="0"/>
              <w:rPr>
                <w:sz w:val="20"/>
                <w:szCs w:val="20"/>
                <w:color w:val="auto"/>
              </w:rPr>
            </w:pPr>
            <w:r>
              <w:rPr>
                <w:rFonts w:ascii="Arial" w:cs="Arial" w:eastAsia="Arial" w:hAnsi="Arial"/>
                <w:sz w:val="18"/>
                <w:szCs w:val="18"/>
                <w:color w:val="auto"/>
              </w:rPr>
              <w:t>CID000180</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20" w:type="dxa"/>
            <w:vAlign w:val="bottom"/>
          </w:tcPr>
          <w:p>
            <w:pPr>
              <w:ind w:left="80"/>
              <w:spacing w:after="0"/>
              <w:rPr>
                <w:sz w:val="20"/>
                <w:szCs w:val="20"/>
                <w:color w:val="auto"/>
              </w:rPr>
            </w:pPr>
            <w:r>
              <w:rPr>
                <w:rFonts w:ascii="Arial" w:cs="Arial" w:eastAsia="Arial" w:hAnsi="Arial"/>
                <w:sz w:val="18"/>
                <w:szCs w:val="18"/>
                <w:color w:val="auto"/>
              </w:rPr>
              <w:t>Yunnan Copper Industry Co., Ltd.</w:t>
            </w:r>
          </w:p>
        </w:tc>
        <w:tc>
          <w:tcPr>
            <w:tcW w:w="2300" w:type="dxa"/>
            <w:vAlign w:val="bottom"/>
          </w:tcPr>
          <w:p>
            <w:pPr>
              <w:ind w:left="8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CID000197</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bl>
    <w:p>
      <w:pPr>
        <w:sectPr>
          <w:pgSz w:w="11900" w:h="16838" w:orient="portrait"/>
          <w:cols w:equalWidth="0" w:num="1">
            <w:col w:w="10440"/>
          </w:cols>
          <w:pgMar w:left="440" w:top="269" w:right="101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Daye Non-Ferrous Metals Mining Ltd.</w:t>
            </w:r>
          </w:p>
        </w:tc>
        <w:tc>
          <w:tcPr>
            <w:tcW w:w="2300" w:type="dxa"/>
            <w:vAlign w:val="bottom"/>
          </w:tcPr>
          <w:p>
            <w:pPr>
              <w:ind w:left="8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CID000343</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Hangzhou Fuchunjiang Smelting Co., Ltd.</w:t>
            </w:r>
          </w:p>
        </w:tc>
        <w:tc>
          <w:tcPr>
            <w:tcW w:w="2300" w:type="dxa"/>
            <w:vAlign w:val="bottom"/>
          </w:tcPr>
          <w:p>
            <w:pPr>
              <w:ind w:left="8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CID000671</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Hunan Chenzhou Mining Co., Ltd.</w:t>
            </w:r>
          </w:p>
        </w:tc>
        <w:tc>
          <w:tcPr>
            <w:tcW w:w="2300" w:type="dxa"/>
            <w:vAlign w:val="bottom"/>
          </w:tcPr>
          <w:p>
            <w:pPr>
              <w:ind w:left="8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CID000767</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Hunan Guiyang yinxing Nonferrous Smelting Co., Ltd.</w:t>
            </w:r>
          </w:p>
        </w:tc>
        <w:tc>
          <w:tcPr>
            <w:tcW w:w="2300" w:type="dxa"/>
            <w:vAlign w:val="bottom"/>
          </w:tcPr>
          <w:p>
            <w:pPr>
              <w:ind w:left="8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CID000773</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Kazakhmys Smelting LLC</w:t>
            </w:r>
          </w:p>
        </w:tc>
        <w:tc>
          <w:tcPr>
            <w:tcW w:w="2300" w:type="dxa"/>
            <w:vAlign w:val="bottom"/>
          </w:tcPr>
          <w:p>
            <w:pPr>
              <w:ind w:left="80"/>
              <w:spacing w:after="0"/>
              <w:rPr>
                <w:sz w:val="20"/>
                <w:szCs w:val="20"/>
                <w:color w:val="auto"/>
              </w:rPr>
            </w:pPr>
            <w:r>
              <w:rPr>
                <w:rFonts w:ascii="Arial" w:cs="Arial" w:eastAsia="Arial" w:hAnsi="Arial"/>
                <w:sz w:val="18"/>
                <w:szCs w:val="18"/>
                <w:color w:val="auto"/>
              </w:rPr>
              <w:t>Kazakhstan</w:t>
            </w:r>
          </w:p>
        </w:tc>
        <w:tc>
          <w:tcPr>
            <w:tcW w:w="1100" w:type="dxa"/>
            <w:vAlign w:val="bottom"/>
          </w:tcPr>
          <w:p>
            <w:pPr>
              <w:ind w:left="100"/>
              <w:spacing w:after="0"/>
              <w:rPr>
                <w:sz w:val="20"/>
                <w:szCs w:val="20"/>
                <w:color w:val="auto"/>
              </w:rPr>
            </w:pPr>
            <w:r>
              <w:rPr>
                <w:rFonts w:ascii="Arial" w:cs="Arial" w:eastAsia="Arial" w:hAnsi="Arial"/>
                <w:sz w:val="18"/>
                <w:szCs w:val="18"/>
                <w:color w:val="auto"/>
              </w:rPr>
              <w:t>CID000956</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Lingbao Gold Co., Ltd.</w:t>
            </w:r>
          </w:p>
        </w:tc>
        <w:tc>
          <w:tcPr>
            <w:tcW w:w="2300" w:type="dxa"/>
            <w:vAlign w:val="bottom"/>
          </w:tcPr>
          <w:p>
            <w:pPr>
              <w:ind w:left="8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CID001056</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Luoyang Zijin Yinhui Gold Refinery Co., Ltd.</w:t>
            </w:r>
          </w:p>
        </w:tc>
        <w:tc>
          <w:tcPr>
            <w:tcW w:w="2300" w:type="dxa"/>
            <w:vAlign w:val="bottom"/>
          </w:tcPr>
          <w:p>
            <w:pPr>
              <w:ind w:left="8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CID001093</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Penglai Penggang Gold Industry Co., Ltd.</w:t>
            </w:r>
          </w:p>
        </w:tc>
        <w:tc>
          <w:tcPr>
            <w:tcW w:w="2300" w:type="dxa"/>
            <w:vAlign w:val="bottom"/>
          </w:tcPr>
          <w:p>
            <w:pPr>
              <w:ind w:left="8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CID001362</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Shandong Tiancheng Biological Gold Industrial Co., Ltd.</w:t>
            </w:r>
          </w:p>
        </w:tc>
        <w:tc>
          <w:tcPr>
            <w:tcW w:w="2300" w:type="dxa"/>
            <w:vAlign w:val="bottom"/>
          </w:tcPr>
          <w:p>
            <w:pPr>
              <w:ind w:left="8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CID001619</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Super Dragon Technology Co., Ltd.</w:t>
            </w:r>
          </w:p>
        </w:tc>
        <w:tc>
          <w:tcPr>
            <w:tcW w:w="2300" w:type="dxa"/>
            <w:vAlign w:val="bottom"/>
          </w:tcPr>
          <w:p>
            <w:pPr>
              <w:ind w:left="80"/>
              <w:spacing w:after="0"/>
              <w:rPr>
                <w:sz w:val="20"/>
                <w:szCs w:val="20"/>
                <w:color w:val="auto"/>
              </w:rPr>
            </w:pPr>
            <w:r>
              <w:rPr>
                <w:rFonts w:ascii="Arial" w:cs="Arial" w:eastAsia="Arial" w:hAnsi="Arial"/>
                <w:sz w:val="18"/>
                <w:szCs w:val="18"/>
                <w:color w:val="auto"/>
              </w:rPr>
              <w:t>Taiwan, Province Of 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CID001810</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Great Wall Precious Metals Co., Ltd. of CBPM</w:t>
            </w:r>
          </w:p>
        </w:tc>
        <w:tc>
          <w:tcPr>
            <w:tcW w:w="2300" w:type="dxa"/>
            <w:vAlign w:val="bottom"/>
          </w:tcPr>
          <w:p>
            <w:pPr>
              <w:ind w:left="8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CID001909</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Tongling Nonferrous Metals Group Co., Ltd.</w:t>
            </w:r>
          </w:p>
        </w:tc>
        <w:tc>
          <w:tcPr>
            <w:tcW w:w="2300" w:type="dxa"/>
            <w:vAlign w:val="bottom"/>
          </w:tcPr>
          <w:p>
            <w:pPr>
              <w:ind w:left="8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CID001947</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Tin</w:t>
            </w:r>
          </w:p>
        </w:tc>
        <w:tc>
          <w:tcPr>
            <w:tcW w:w="4800" w:type="dxa"/>
            <w:vAlign w:val="bottom"/>
          </w:tcPr>
          <w:p>
            <w:pPr>
              <w:ind w:left="260"/>
              <w:spacing w:after="0"/>
              <w:rPr>
                <w:sz w:val="20"/>
                <w:szCs w:val="20"/>
                <w:color w:val="auto"/>
              </w:rPr>
            </w:pPr>
            <w:r>
              <w:rPr>
                <w:rFonts w:ascii="Arial" w:cs="Arial" w:eastAsia="Arial" w:hAnsi="Arial"/>
                <w:sz w:val="18"/>
                <w:szCs w:val="18"/>
                <w:color w:val="auto"/>
              </w:rPr>
              <w:t>VQB Mineral and Trading Group JSC</w:t>
            </w:r>
          </w:p>
        </w:tc>
        <w:tc>
          <w:tcPr>
            <w:tcW w:w="2300" w:type="dxa"/>
            <w:vAlign w:val="bottom"/>
          </w:tcPr>
          <w:p>
            <w:pPr>
              <w:ind w:left="80"/>
              <w:spacing w:after="0"/>
              <w:rPr>
                <w:sz w:val="20"/>
                <w:szCs w:val="20"/>
                <w:color w:val="auto"/>
              </w:rPr>
            </w:pPr>
            <w:r>
              <w:rPr>
                <w:rFonts w:ascii="Arial" w:cs="Arial" w:eastAsia="Arial" w:hAnsi="Arial"/>
                <w:sz w:val="18"/>
                <w:szCs w:val="18"/>
                <w:color w:val="auto"/>
              </w:rPr>
              <w:t>Viet Nam</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CID002015</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Morris and Watson</w:t>
            </w:r>
          </w:p>
        </w:tc>
        <w:tc>
          <w:tcPr>
            <w:tcW w:w="2300" w:type="dxa"/>
            <w:vAlign w:val="bottom"/>
          </w:tcPr>
          <w:p>
            <w:pPr>
              <w:ind w:left="80"/>
              <w:spacing w:after="0"/>
              <w:rPr>
                <w:sz w:val="20"/>
                <w:szCs w:val="20"/>
                <w:color w:val="auto"/>
              </w:rPr>
            </w:pPr>
            <w:r>
              <w:rPr>
                <w:rFonts w:ascii="Arial" w:cs="Arial" w:eastAsia="Arial" w:hAnsi="Arial"/>
                <w:sz w:val="18"/>
                <w:szCs w:val="18"/>
                <w:color w:val="auto"/>
              </w:rPr>
              <w:t>New Zealand</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CID002282</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Shandong Humon Smelting Co., Ltd.</w:t>
            </w:r>
          </w:p>
        </w:tc>
        <w:tc>
          <w:tcPr>
            <w:tcW w:w="2300" w:type="dxa"/>
            <w:vAlign w:val="bottom"/>
          </w:tcPr>
          <w:p>
            <w:pPr>
              <w:ind w:left="8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CID002525</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Shenzhen Zhonghenglong Real Industry Co., Ltd.</w:t>
            </w:r>
          </w:p>
        </w:tc>
        <w:tc>
          <w:tcPr>
            <w:tcW w:w="2300" w:type="dxa"/>
            <w:vAlign w:val="bottom"/>
          </w:tcPr>
          <w:p>
            <w:pPr>
              <w:ind w:left="8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CID002527</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International Precious Metal Refiners</w:t>
            </w:r>
          </w:p>
        </w:tc>
        <w:tc>
          <w:tcPr>
            <w:tcW w:w="2300" w:type="dxa"/>
            <w:vAlign w:val="bottom"/>
          </w:tcPr>
          <w:p>
            <w:pPr>
              <w:ind w:left="80"/>
              <w:spacing w:after="0"/>
              <w:rPr>
                <w:sz w:val="20"/>
                <w:szCs w:val="20"/>
                <w:color w:val="auto"/>
              </w:rPr>
            </w:pPr>
            <w:r>
              <w:rPr>
                <w:rFonts w:ascii="Arial" w:cs="Arial" w:eastAsia="Arial" w:hAnsi="Arial"/>
                <w:sz w:val="18"/>
                <w:szCs w:val="18"/>
                <w:color w:val="auto"/>
              </w:rPr>
              <w:t>United Arab Emirates</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CID002562</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Tin</w:t>
            </w:r>
          </w:p>
        </w:tc>
        <w:tc>
          <w:tcPr>
            <w:tcW w:w="4800" w:type="dxa"/>
            <w:vAlign w:val="bottom"/>
          </w:tcPr>
          <w:p>
            <w:pPr>
              <w:ind w:left="260"/>
              <w:spacing w:after="0"/>
              <w:rPr>
                <w:sz w:val="20"/>
                <w:szCs w:val="20"/>
                <w:color w:val="auto"/>
              </w:rPr>
            </w:pPr>
            <w:r>
              <w:rPr>
                <w:rFonts w:ascii="Arial" w:cs="Arial" w:eastAsia="Arial" w:hAnsi="Arial"/>
                <w:sz w:val="18"/>
                <w:szCs w:val="18"/>
                <w:color w:val="auto"/>
              </w:rPr>
              <w:t>Nghe Tinh Non-Ferrous Metals Joint Stock Company</w:t>
            </w:r>
          </w:p>
        </w:tc>
        <w:tc>
          <w:tcPr>
            <w:tcW w:w="2300" w:type="dxa"/>
            <w:vAlign w:val="bottom"/>
          </w:tcPr>
          <w:p>
            <w:pPr>
              <w:ind w:left="80"/>
              <w:spacing w:after="0"/>
              <w:rPr>
                <w:sz w:val="20"/>
                <w:szCs w:val="20"/>
                <w:color w:val="auto"/>
              </w:rPr>
            </w:pPr>
            <w:r>
              <w:rPr>
                <w:rFonts w:ascii="Arial" w:cs="Arial" w:eastAsia="Arial" w:hAnsi="Arial"/>
                <w:sz w:val="18"/>
                <w:szCs w:val="18"/>
                <w:color w:val="auto"/>
              </w:rPr>
              <w:t>Viet Nam</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CID002573</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Fujairah Gold FZC</w:t>
            </w:r>
          </w:p>
        </w:tc>
        <w:tc>
          <w:tcPr>
            <w:tcW w:w="2300" w:type="dxa"/>
            <w:vAlign w:val="bottom"/>
          </w:tcPr>
          <w:p>
            <w:pPr>
              <w:ind w:left="80"/>
              <w:spacing w:after="0"/>
              <w:rPr>
                <w:sz w:val="20"/>
                <w:szCs w:val="20"/>
                <w:color w:val="auto"/>
              </w:rPr>
            </w:pPr>
            <w:r>
              <w:rPr>
                <w:rFonts w:ascii="Arial" w:cs="Arial" w:eastAsia="Arial" w:hAnsi="Arial"/>
                <w:sz w:val="18"/>
                <w:szCs w:val="18"/>
                <w:color w:val="auto"/>
              </w:rPr>
              <w:t>United Arab Emirates</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CID002584</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Shirpur Gold Refinery Ltd.</w:t>
            </w:r>
          </w:p>
        </w:tc>
        <w:tc>
          <w:tcPr>
            <w:tcW w:w="2300" w:type="dxa"/>
            <w:vAlign w:val="bottom"/>
          </w:tcPr>
          <w:p>
            <w:pPr>
              <w:ind w:left="80"/>
              <w:spacing w:after="0"/>
              <w:rPr>
                <w:sz w:val="20"/>
                <w:szCs w:val="20"/>
                <w:color w:val="auto"/>
              </w:rPr>
            </w:pPr>
            <w:r>
              <w:rPr>
                <w:rFonts w:ascii="Arial" w:cs="Arial" w:eastAsia="Arial" w:hAnsi="Arial"/>
                <w:sz w:val="18"/>
                <w:szCs w:val="18"/>
                <w:color w:val="auto"/>
              </w:rPr>
              <w:t>India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CID002588</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Tin</w:t>
            </w:r>
          </w:p>
        </w:tc>
        <w:tc>
          <w:tcPr>
            <w:tcW w:w="4800" w:type="dxa"/>
            <w:vAlign w:val="bottom"/>
          </w:tcPr>
          <w:p>
            <w:pPr>
              <w:ind w:left="260"/>
              <w:spacing w:after="0"/>
              <w:rPr>
                <w:sz w:val="20"/>
                <w:szCs w:val="20"/>
                <w:color w:val="auto"/>
              </w:rPr>
            </w:pPr>
            <w:r>
              <w:rPr>
                <w:rFonts w:ascii="Arial" w:cs="Arial" w:eastAsia="Arial" w:hAnsi="Arial"/>
                <w:sz w:val="18"/>
                <w:szCs w:val="18"/>
                <w:color w:val="auto"/>
              </w:rPr>
              <w:t>An Vinh Joint Stock Mineral Processing Company</w:t>
            </w:r>
          </w:p>
        </w:tc>
        <w:tc>
          <w:tcPr>
            <w:tcW w:w="2300" w:type="dxa"/>
            <w:vAlign w:val="bottom"/>
          </w:tcPr>
          <w:p>
            <w:pPr>
              <w:ind w:left="80"/>
              <w:spacing w:after="0"/>
              <w:rPr>
                <w:sz w:val="20"/>
                <w:szCs w:val="20"/>
                <w:color w:val="auto"/>
              </w:rPr>
            </w:pPr>
            <w:r>
              <w:rPr>
                <w:rFonts w:ascii="Arial" w:cs="Arial" w:eastAsia="Arial" w:hAnsi="Arial"/>
                <w:sz w:val="18"/>
                <w:szCs w:val="18"/>
                <w:color w:val="auto"/>
              </w:rPr>
              <w:t>Viet Nam</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CID002703</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Shenzhen CuiLu Gold Co., Ltd.</w:t>
            </w:r>
          </w:p>
        </w:tc>
        <w:tc>
          <w:tcPr>
            <w:tcW w:w="2300" w:type="dxa"/>
            <w:vAlign w:val="bottom"/>
          </w:tcPr>
          <w:p>
            <w:pPr>
              <w:ind w:left="80"/>
              <w:spacing w:after="0"/>
              <w:rPr>
                <w:sz w:val="20"/>
                <w:szCs w:val="20"/>
                <w:color w:val="auto"/>
              </w:rPr>
            </w:pPr>
            <w:r>
              <w:rPr>
                <w:rFonts w:ascii="Arial" w:cs="Arial" w:eastAsia="Arial" w:hAnsi="Arial"/>
                <w:sz w:val="18"/>
                <w:szCs w:val="18"/>
                <w:color w:val="auto"/>
              </w:rPr>
              <w:t>China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CID002750</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Albino Mountinho Lda.</w:t>
            </w:r>
          </w:p>
        </w:tc>
        <w:tc>
          <w:tcPr>
            <w:tcW w:w="2300" w:type="dxa"/>
            <w:vAlign w:val="bottom"/>
          </w:tcPr>
          <w:p>
            <w:pPr>
              <w:ind w:left="80"/>
              <w:spacing w:after="0"/>
              <w:rPr>
                <w:sz w:val="20"/>
                <w:szCs w:val="20"/>
                <w:color w:val="auto"/>
              </w:rPr>
            </w:pPr>
            <w:r>
              <w:rPr>
                <w:rFonts w:ascii="Arial" w:cs="Arial" w:eastAsia="Arial" w:hAnsi="Arial"/>
                <w:sz w:val="18"/>
                <w:szCs w:val="18"/>
                <w:color w:val="auto"/>
              </w:rPr>
              <w:t>Portugal</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CID002760</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Degussa Sonne / Mond Goldhandel GmbH</w:t>
            </w:r>
          </w:p>
        </w:tc>
        <w:tc>
          <w:tcPr>
            <w:tcW w:w="2300" w:type="dxa"/>
            <w:vAlign w:val="bottom"/>
          </w:tcPr>
          <w:p>
            <w:pPr>
              <w:ind w:left="80"/>
              <w:spacing w:after="0"/>
              <w:rPr>
                <w:sz w:val="20"/>
                <w:szCs w:val="20"/>
                <w:color w:val="auto"/>
              </w:rPr>
            </w:pPr>
            <w:r>
              <w:rPr>
                <w:rFonts w:ascii="Arial" w:cs="Arial" w:eastAsia="Arial" w:hAnsi="Arial"/>
                <w:sz w:val="18"/>
                <w:szCs w:val="18"/>
                <w:color w:val="auto"/>
              </w:rPr>
              <w:t>Germany</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CID002867</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JALAN &amp; Company</w:t>
            </w:r>
          </w:p>
        </w:tc>
        <w:tc>
          <w:tcPr>
            <w:tcW w:w="2300" w:type="dxa"/>
            <w:vAlign w:val="bottom"/>
          </w:tcPr>
          <w:p>
            <w:pPr>
              <w:ind w:left="80"/>
              <w:spacing w:after="0"/>
              <w:rPr>
                <w:sz w:val="20"/>
                <w:szCs w:val="20"/>
                <w:color w:val="auto"/>
              </w:rPr>
            </w:pPr>
            <w:r>
              <w:rPr>
                <w:rFonts w:ascii="Arial" w:cs="Arial" w:eastAsia="Arial" w:hAnsi="Arial"/>
                <w:sz w:val="18"/>
                <w:szCs w:val="18"/>
                <w:color w:val="auto"/>
              </w:rPr>
              <w:t>India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CID002893</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4800" w:type="dxa"/>
            <w:vAlign w:val="bottom"/>
          </w:tcPr>
          <w:p>
            <w:pPr>
              <w:ind w:left="260"/>
              <w:spacing w:after="0"/>
              <w:rPr>
                <w:sz w:val="20"/>
                <w:szCs w:val="20"/>
                <w:color w:val="auto"/>
              </w:rPr>
            </w:pPr>
            <w:r>
              <w:rPr>
                <w:rFonts w:ascii="Arial" w:cs="Arial" w:eastAsia="Arial" w:hAnsi="Arial"/>
                <w:sz w:val="18"/>
                <w:szCs w:val="18"/>
                <w:color w:val="auto"/>
              </w:rPr>
              <w:t>ABC Refinery Pty Ltd.</w:t>
            </w:r>
          </w:p>
        </w:tc>
        <w:tc>
          <w:tcPr>
            <w:tcW w:w="2300" w:type="dxa"/>
            <w:vAlign w:val="bottom"/>
          </w:tcPr>
          <w:p>
            <w:pPr>
              <w:ind w:left="80"/>
              <w:spacing w:after="0"/>
              <w:rPr>
                <w:sz w:val="20"/>
                <w:szCs w:val="20"/>
                <w:color w:val="auto"/>
              </w:rPr>
            </w:pPr>
            <w:r>
              <w:rPr>
                <w:rFonts w:ascii="Arial" w:cs="Arial" w:eastAsia="Arial" w:hAnsi="Arial"/>
                <w:sz w:val="18"/>
                <w:szCs w:val="18"/>
                <w:color w:val="auto"/>
              </w:rPr>
              <w:t>Australia</w:t>
            </w:r>
          </w:p>
        </w:tc>
        <w:tc>
          <w:tcPr>
            <w:tcW w:w="1100" w:type="dxa"/>
            <w:vAlign w:val="bottom"/>
          </w:tcPr>
          <w:p>
            <w:pPr>
              <w:ind w:left="100"/>
              <w:spacing w:after="0"/>
              <w:rPr>
                <w:sz w:val="20"/>
                <w:szCs w:val="20"/>
                <w:color w:val="auto"/>
              </w:rPr>
            </w:pPr>
            <w:r>
              <w:rPr>
                <w:rFonts w:ascii="Arial" w:cs="Arial" w:eastAsia="Arial" w:hAnsi="Arial"/>
                <w:sz w:val="18"/>
                <w:szCs w:val="18"/>
                <w:color w:val="auto"/>
              </w:rPr>
              <w:t>CID002920</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bl>
    <w:p>
      <w:pPr>
        <w:sectPr>
          <w:pgSz w:w="11900" w:h="16838" w:orient="portrait"/>
          <w:cols w:equalWidth="0" w:num="1">
            <w:col w:w="10440"/>
          </w:cols>
          <w:pgMar w:left="440" w:top="269" w:right="101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State Research Institute Center for Physical Sciences</w:t>
            </w:r>
          </w:p>
        </w:tc>
        <w:tc>
          <w:tcPr>
            <w:tcW w:w="2280" w:type="dxa"/>
            <w:vAlign w:val="bottom"/>
          </w:tcPr>
          <w:p>
            <w:pPr>
              <w:ind w:left="100"/>
              <w:spacing w:after="0"/>
              <w:rPr>
                <w:sz w:val="20"/>
                <w:szCs w:val="20"/>
                <w:color w:val="auto"/>
              </w:rPr>
            </w:pPr>
            <w:r>
              <w:rPr>
                <w:rFonts w:ascii="Arial" w:cs="Arial" w:eastAsia="Arial" w:hAnsi="Arial"/>
                <w:sz w:val="18"/>
                <w:szCs w:val="18"/>
                <w:color w:val="auto"/>
              </w:rPr>
              <w:t>Lithuania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CID003153</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239"/>
        </w:trPr>
        <w:tc>
          <w:tcPr>
            <w:tcW w:w="800" w:type="dxa"/>
            <w:vAlign w:val="bottom"/>
          </w:tcPr>
          <w:p>
            <w:pPr>
              <w:spacing w:after="0"/>
              <w:rPr>
                <w:sz w:val="20"/>
                <w:szCs w:val="20"/>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and Technology</w:t>
            </w:r>
          </w:p>
        </w:tc>
        <w:tc>
          <w:tcPr>
            <w:tcW w:w="2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11"/>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Gold Coast Refinery</w:t>
            </w:r>
          </w:p>
        </w:tc>
        <w:tc>
          <w:tcPr>
            <w:tcW w:w="2280" w:type="dxa"/>
            <w:vAlign w:val="bottom"/>
          </w:tcPr>
          <w:p>
            <w:pPr>
              <w:ind w:left="100"/>
              <w:spacing w:after="0"/>
              <w:rPr>
                <w:sz w:val="20"/>
                <w:szCs w:val="20"/>
                <w:color w:val="auto"/>
              </w:rPr>
            </w:pPr>
            <w:r>
              <w:rPr>
                <w:rFonts w:ascii="Arial" w:cs="Arial" w:eastAsia="Arial" w:hAnsi="Arial"/>
                <w:sz w:val="18"/>
                <w:szCs w:val="18"/>
                <w:color w:val="auto"/>
              </w:rPr>
              <w:t>Ghana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CID003186</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QG Refining, LLC</w:t>
            </w:r>
          </w:p>
        </w:tc>
        <w:tc>
          <w:tcPr>
            <w:tcW w:w="2280" w:type="dxa"/>
            <w:vAlign w:val="bottom"/>
          </w:tcPr>
          <w:p>
            <w:pPr>
              <w:ind w:left="100"/>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CID003324</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Dijllah Gold Refinery FZC</w:t>
            </w:r>
          </w:p>
        </w:tc>
        <w:tc>
          <w:tcPr>
            <w:tcW w:w="2280" w:type="dxa"/>
            <w:vAlign w:val="bottom"/>
          </w:tcPr>
          <w:p>
            <w:pPr>
              <w:ind w:left="100"/>
              <w:spacing w:after="0"/>
              <w:rPr>
                <w:sz w:val="20"/>
                <w:szCs w:val="20"/>
                <w:color w:val="auto"/>
              </w:rPr>
            </w:pPr>
            <w:r>
              <w:rPr>
                <w:rFonts w:ascii="Arial" w:cs="Arial" w:eastAsia="Arial" w:hAnsi="Arial"/>
                <w:sz w:val="18"/>
                <w:szCs w:val="18"/>
                <w:color w:val="auto"/>
              </w:rPr>
              <w:t>United Arab Emirates</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CID003348</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Atlantic Copper</w:t>
            </w:r>
          </w:p>
        </w:tc>
        <w:tc>
          <w:tcPr>
            <w:tcW w:w="2280" w:type="dxa"/>
            <w:vAlign w:val="bottom"/>
          </w:tcPr>
          <w:p>
            <w:pPr>
              <w:ind w:left="100"/>
              <w:spacing w:after="0"/>
              <w:rPr>
                <w:sz w:val="20"/>
                <w:szCs w:val="20"/>
                <w:color w:val="auto"/>
              </w:rPr>
            </w:pPr>
            <w:r>
              <w:rPr>
                <w:rFonts w:ascii="Arial" w:cs="Arial" w:eastAsia="Arial" w:hAnsi="Arial"/>
                <w:sz w:val="18"/>
                <w:szCs w:val="18"/>
                <w:color w:val="auto"/>
              </w:rPr>
              <w:t>Spain</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CID003350</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CGR Metalloys Pvt Ltd.</w:t>
            </w:r>
          </w:p>
        </w:tc>
        <w:tc>
          <w:tcPr>
            <w:tcW w:w="2280" w:type="dxa"/>
            <w:vAlign w:val="bottom"/>
          </w:tcPr>
          <w:p>
            <w:pPr>
              <w:ind w:left="100"/>
              <w:spacing w:after="0"/>
              <w:rPr>
                <w:sz w:val="20"/>
                <w:szCs w:val="20"/>
                <w:color w:val="auto"/>
              </w:rPr>
            </w:pPr>
            <w:r>
              <w:rPr>
                <w:rFonts w:ascii="Arial" w:cs="Arial" w:eastAsia="Arial" w:hAnsi="Arial"/>
                <w:sz w:val="18"/>
                <w:szCs w:val="18"/>
                <w:color w:val="auto"/>
              </w:rPr>
              <w:t>India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CID003382</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Sovereign Metals</w:t>
            </w:r>
          </w:p>
        </w:tc>
        <w:tc>
          <w:tcPr>
            <w:tcW w:w="2280" w:type="dxa"/>
            <w:vAlign w:val="bottom"/>
          </w:tcPr>
          <w:p>
            <w:pPr>
              <w:ind w:left="100"/>
              <w:spacing w:after="0"/>
              <w:rPr>
                <w:sz w:val="20"/>
                <w:szCs w:val="20"/>
                <w:color w:val="auto"/>
              </w:rPr>
            </w:pPr>
            <w:r>
              <w:rPr>
                <w:rFonts w:ascii="Arial" w:cs="Arial" w:eastAsia="Arial" w:hAnsi="Arial"/>
                <w:sz w:val="18"/>
                <w:szCs w:val="18"/>
                <w:color w:val="auto"/>
              </w:rPr>
              <w:t>India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CID003383</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00" w:type="dxa"/>
            <w:vAlign w:val="bottom"/>
          </w:tcPr>
          <w:p>
            <w:pPr>
              <w:ind w:left="80"/>
              <w:spacing w:after="0"/>
              <w:rPr>
                <w:sz w:val="20"/>
                <w:szCs w:val="20"/>
                <w:color w:val="auto"/>
              </w:rPr>
            </w:pPr>
            <w:r>
              <w:rPr>
                <w:rFonts w:ascii="Arial" w:cs="Arial" w:eastAsia="Arial" w:hAnsi="Arial"/>
                <w:sz w:val="18"/>
                <w:szCs w:val="18"/>
                <w:color w:val="auto"/>
              </w:rPr>
              <w:t>Gejiu City Fuxiang Industry and Trade Co., Ltd.</w:t>
            </w:r>
          </w:p>
        </w:tc>
        <w:tc>
          <w:tcPr>
            <w:tcW w:w="2280" w:type="dxa"/>
            <w:vAlign w:val="bottom"/>
          </w:tcPr>
          <w:p>
            <w:pPr>
              <w:ind w:left="10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CID003410</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Kundan Care Products Ltd.</w:t>
            </w:r>
          </w:p>
        </w:tc>
        <w:tc>
          <w:tcPr>
            <w:tcW w:w="2280" w:type="dxa"/>
            <w:vAlign w:val="bottom"/>
          </w:tcPr>
          <w:p>
            <w:pPr>
              <w:ind w:left="100"/>
              <w:spacing w:after="0"/>
              <w:rPr>
                <w:sz w:val="20"/>
                <w:szCs w:val="20"/>
                <w:color w:val="auto"/>
              </w:rPr>
            </w:pPr>
            <w:r>
              <w:rPr>
                <w:rFonts w:ascii="Arial" w:cs="Arial" w:eastAsia="Arial" w:hAnsi="Arial"/>
                <w:sz w:val="18"/>
                <w:szCs w:val="18"/>
                <w:color w:val="auto"/>
              </w:rPr>
              <w:t>India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CID003463</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Emerald Jewel Industry India Limited (Unit 1)</w:t>
            </w:r>
          </w:p>
        </w:tc>
        <w:tc>
          <w:tcPr>
            <w:tcW w:w="2280" w:type="dxa"/>
            <w:vAlign w:val="bottom"/>
          </w:tcPr>
          <w:p>
            <w:pPr>
              <w:ind w:left="100"/>
              <w:spacing w:after="0"/>
              <w:rPr>
                <w:sz w:val="20"/>
                <w:szCs w:val="20"/>
                <w:color w:val="auto"/>
              </w:rPr>
            </w:pPr>
            <w:r>
              <w:rPr>
                <w:rFonts w:ascii="Arial" w:cs="Arial" w:eastAsia="Arial" w:hAnsi="Arial"/>
                <w:sz w:val="18"/>
                <w:szCs w:val="18"/>
                <w:color w:val="auto"/>
              </w:rPr>
              <w:t>India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CID003487</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Emerald Jewel Industry India Limited (Unit 2)</w:t>
            </w:r>
          </w:p>
        </w:tc>
        <w:tc>
          <w:tcPr>
            <w:tcW w:w="2280" w:type="dxa"/>
            <w:vAlign w:val="bottom"/>
          </w:tcPr>
          <w:p>
            <w:pPr>
              <w:ind w:left="100"/>
              <w:spacing w:after="0"/>
              <w:rPr>
                <w:sz w:val="20"/>
                <w:szCs w:val="20"/>
                <w:color w:val="auto"/>
              </w:rPr>
            </w:pPr>
            <w:r>
              <w:rPr>
                <w:rFonts w:ascii="Arial" w:cs="Arial" w:eastAsia="Arial" w:hAnsi="Arial"/>
                <w:sz w:val="18"/>
                <w:szCs w:val="18"/>
                <w:color w:val="auto"/>
              </w:rPr>
              <w:t>India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CID003488</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Emerald Jewel Industry India Limited (Unit 3)</w:t>
            </w:r>
          </w:p>
        </w:tc>
        <w:tc>
          <w:tcPr>
            <w:tcW w:w="2280" w:type="dxa"/>
            <w:vAlign w:val="bottom"/>
          </w:tcPr>
          <w:p>
            <w:pPr>
              <w:ind w:left="100"/>
              <w:spacing w:after="0"/>
              <w:rPr>
                <w:sz w:val="20"/>
                <w:szCs w:val="20"/>
                <w:color w:val="auto"/>
              </w:rPr>
            </w:pPr>
            <w:r>
              <w:rPr>
                <w:rFonts w:ascii="Arial" w:cs="Arial" w:eastAsia="Arial" w:hAnsi="Arial"/>
                <w:sz w:val="18"/>
                <w:szCs w:val="18"/>
                <w:color w:val="auto"/>
              </w:rPr>
              <w:t>India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CID003489</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Emerald Jewel Industry India Limited (Unit 4)</w:t>
            </w:r>
          </w:p>
        </w:tc>
        <w:tc>
          <w:tcPr>
            <w:tcW w:w="2280" w:type="dxa"/>
            <w:vAlign w:val="bottom"/>
          </w:tcPr>
          <w:p>
            <w:pPr>
              <w:ind w:left="100"/>
              <w:spacing w:after="0"/>
              <w:rPr>
                <w:sz w:val="20"/>
                <w:szCs w:val="20"/>
                <w:color w:val="auto"/>
              </w:rPr>
            </w:pPr>
            <w:r>
              <w:rPr>
                <w:rFonts w:ascii="Arial" w:cs="Arial" w:eastAsia="Arial" w:hAnsi="Arial"/>
                <w:sz w:val="18"/>
                <w:szCs w:val="18"/>
                <w:color w:val="auto"/>
              </w:rPr>
              <w:t>India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CID003490</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K.A. Rasmussen</w:t>
            </w:r>
          </w:p>
        </w:tc>
        <w:tc>
          <w:tcPr>
            <w:tcW w:w="2280" w:type="dxa"/>
            <w:vAlign w:val="bottom"/>
          </w:tcPr>
          <w:p>
            <w:pPr>
              <w:ind w:left="100"/>
              <w:spacing w:after="0"/>
              <w:rPr>
                <w:sz w:val="20"/>
                <w:szCs w:val="20"/>
                <w:color w:val="auto"/>
              </w:rPr>
            </w:pPr>
            <w:r>
              <w:rPr>
                <w:rFonts w:ascii="Arial" w:cs="Arial" w:eastAsia="Arial" w:hAnsi="Arial"/>
                <w:sz w:val="18"/>
                <w:szCs w:val="18"/>
                <w:color w:val="auto"/>
              </w:rPr>
              <w:t>Norway</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CID003497</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MD Overseas</w:t>
            </w:r>
          </w:p>
        </w:tc>
        <w:tc>
          <w:tcPr>
            <w:tcW w:w="2280" w:type="dxa"/>
            <w:vAlign w:val="bottom"/>
          </w:tcPr>
          <w:p>
            <w:pPr>
              <w:ind w:left="100"/>
              <w:spacing w:after="0"/>
              <w:rPr>
                <w:sz w:val="20"/>
                <w:szCs w:val="20"/>
                <w:color w:val="auto"/>
              </w:rPr>
            </w:pPr>
            <w:r>
              <w:rPr>
                <w:rFonts w:ascii="Arial" w:cs="Arial" w:eastAsia="Arial" w:hAnsi="Arial"/>
                <w:sz w:val="18"/>
                <w:szCs w:val="18"/>
                <w:color w:val="auto"/>
              </w:rPr>
              <w:t>India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CID003548</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Metallix Refining Inc.</w:t>
            </w:r>
          </w:p>
        </w:tc>
        <w:tc>
          <w:tcPr>
            <w:tcW w:w="2280" w:type="dxa"/>
            <w:vAlign w:val="bottom"/>
          </w:tcPr>
          <w:p>
            <w:pPr>
              <w:ind w:left="100"/>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CID003557</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600" w:type="dxa"/>
            <w:vAlign w:val="bottom"/>
          </w:tcPr>
          <w:p>
            <w:pPr>
              <w:ind w:left="80"/>
              <w:spacing w:after="0"/>
              <w:rPr>
                <w:sz w:val="20"/>
                <w:szCs w:val="20"/>
                <w:color w:val="auto"/>
              </w:rPr>
            </w:pPr>
            <w:r>
              <w:rPr>
                <w:rFonts w:ascii="Arial" w:cs="Arial" w:eastAsia="Arial" w:hAnsi="Arial"/>
                <w:sz w:val="18"/>
                <w:szCs w:val="18"/>
                <w:color w:val="auto"/>
              </w:rPr>
              <w:t>YUDU ANSHENG TUNGSTEN CO., LTD.</w:t>
            </w:r>
          </w:p>
        </w:tc>
        <w:tc>
          <w:tcPr>
            <w:tcW w:w="2280" w:type="dxa"/>
            <w:vAlign w:val="bottom"/>
          </w:tcPr>
          <w:p>
            <w:pPr>
              <w:ind w:left="10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CID003662</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Dongwu Gold Group</w:t>
            </w:r>
          </w:p>
        </w:tc>
        <w:tc>
          <w:tcPr>
            <w:tcW w:w="2280" w:type="dxa"/>
            <w:vAlign w:val="bottom"/>
          </w:tcPr>
          <w:p>
            <w:pPr>
              <w:ind w:left="10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CID003663</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Sam Precious Metals</w:t>
            </w:r>
          </w:p>
        </w:tc>
        <w:tc>
          <w:tcPr>
            <w:tcW w:w="2280" w:type="dxa"/>
            <w:vAlign w:val="bottom"/>
          </w:tcPr>
          <w:p>
            <w:pPr>
              <w:ind w:left="100"/>
              <w:spacing w:after="0"/>
              <w:rPr>
                <w:sz w:val="20"/>
                <w:szCs w:val="20"/>
                <w:color w:val="auto"/>
              </w:rPr>
            </w:pPr>
            <w:r>
              <w:rPr>
                <w:rFonts w:ascii="Arial" w:cs="Arial" w:eastAsia="Arial" w:hAnsi="Arial"/>
                <w:sz w:val="18"/>
                <w:szCs w:val="18"/>
                <w:color w:val="auto"/>
              </w:rPr>
              <w:t>United Arab Emirates</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CID003666</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NOBLE METAL SERVICES</w:t>
            </w:r>
          </w:p>
        </w:tc>
        <w:tc>
          <w:tcPr>
            <w:tcW w:w="2280" w:type="dxa"/>
            <w:vAlign w:val="bottom"/>
          </w:tcPr>
          <w:p>
            <w:pPr>
              <w:ind w:left="100"/>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CID003690</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600" w:type="dxa"/>
            <w:vAlign w:val="bottom"/>
          </w:tcPr>
          <w:p>
            <w:pPr>
              <w:ind w:left="80"/>
              <w:spacing w:after="0"/>
              <w:rPr>
                <w:sz w:val="20"/>
                <w:szCs w:val="20"/>
                <w:color w:val="auto"/>
              </w:rPr>
            </w:pPr>
            <w:r>
              <w:rPr>
                <w:rFonts w:ascii="Arial" w:cs="Arial" w:eastAsia="Arial" w:hAnsi="Arial"/>
                <w:sz w:val="18"/>
                <w:szCs w:val="18"/>
                <w:color w:val="auto"/>
              </w:rPr>
              <w:t>5D Production OU</w:t>
            </w:r>
          </w:p>
        </w:tc>
        <w:tc>
          <w:tcPr>
            <w:tcW w:w="2280" w:type="dxa"/>
            <w:vAlign w:val="bottom"/>
          </w:tcPr>
          <w:p>
            <w:pPr>
              <w:ind w:left="100"/>
              <w:spacing w:after="0"/>
              <w:rPr>
                <w:sz w:val="20"/>
                <w:szCs w:val="20"/>
                <w:color w:val="auto"/>
              </w:rPr>
            </w:pPr>
            <w:r>
              <w:rPr>
                <w:rFonts w:ascii="Arial" w:cs="Arial" w:eastAsia="Arial" w:hAnsi="Arial"/>
                <w:sz w:val="18"/>
                <w:szCs w:val="18"/>
                <w:color w:val="auto"/>
              </w:rPr>
              <w:t>Estonia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CID003926</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600" w:type="dxa"/>
            <w:vAlign w:val="bottom"/>
          </w:tcPr>
          <w:p>
            <w:pPr>
              <w:ind w:left="80"/>
              <w:spacing w:after="0"/>
              <w:rPr>
                <w:sz w:val="20"/>
                <w:szCs w:val="20"/>
                <w:color w:val="auto"/>
              </w:rPr>
            </w:pPr>
            <w:r>
              <w:rPr>
                <w:rFonts w:ascii="Arial" w:cs="Arial" w:eastAsia="Arial" w:hAnsi="Arial"/>
                <w:sz w:val="18"/>
                <w:szCs w:val="18"/>
                <w:color w:val="auto"/>
              </w:rPr>
              <w:t>Nam Viet Cromit Joint Stock Company</w:t>
            </w:r>
          </w:p>
        </w:tc>
        <w:tc>
          <w:tcPr>
            <w:tcW w:w="2280" w:type="dxa"/>
            <w:vAlign w:val="bottom"/>
          </w:tcPr>
          <w:p>
            <w:pPr>
              <w:ind w:left="100"/>
              <w:spacing w:after="0"/>
              <w:rPr>
                <w:sz w:val="20"/>
                <w:szCs w:val="20"/>
                <w:color w:val="auto"/>
              </w:rPr>
            </w:pPr>
            <w:r>
              <w:rPr>
                <w:rFonts w:ascii="Arial" w:cs="Arial" w:eastAsia="Arial" w:hAnsi="Arial"/>
                <w:sz w:val="18"/>
                <w:szCs w:val="18"/>
                <w:color w:val="auto"/>
              </w:rPr>
              <w:t>Viet Nam</w:t>
            </w:r>
          </w:p>
        </w:tc>
        <w:tc>
          <w:tcPr>
            <w:tcW w:w="1140" w:type="dxa"/>
            <w:vAlign w:val="bottom"/>
          </w:tcPr>
          <w:p>
            <w:pPr>
              <w:ind w:left="140"/>
              <w:spacing w:after="0"/>
              <w:rPr>
                <w:sz w:val="20"/>
                <w:szCs w:val="20"/>
                <w:color w:val="auto"/>
              </w:rPr>
            </w:pPr>
            <w:r>
              <w:rPr>
                <w:rFonts w:ascii="Arial" w:cs="Arial" w:eastAsia="Arial" w:hAnsi="Arial"/>
                <w:sz w:val="18"/>
                <w:szCs w:val="18"/>
                <w:color w:val="auto"/>
              </w:rPr>
              <w:t>CID004034</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288"/>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SHENZHEN JINJUNWEI RESOURCE</w:t>
            </w:r>
          </w:p>
        </w:tc>
        <w:tc>
          <w:tcPr>
            <w:tcW w:w="2280" w:type="dxa"/>
            <w:vAlign w:val="bottom"/>
          </w:tcPr>
          <w:p>
            <w:pPr>
              <w:ind w:left="10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CID004435</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239"/>
        </w:trPr>
        <w:tc>
          <w:tcPr>
            <w:tcW w:w="800" w:type="dxa"/>
            <w:vAlign w:val="bottom"/>
          </w:tcPr>
          <w:p>
            <w:pPr>
              <w:spacing w:after="0"/>
              <w:rPr>
                <w:sz w:val="20"/>
                <w:szCs w:val="20"/>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COMPREHENSIVE DEVELOPMENT CO., LTD.</w:t>
            </w:r>
          </w:p>
        </w:tc>
        <w:tc>
          <w:tcPr>
            <w:tcW w:w="2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00" w:type="dxa"/>
            <w:vAlign w:val="bottom"/>
          </w:tcPr>
          <w:p>
            <w:pPr>
              <w:ind w:left="80"/>
              <w:spacing w:after="0"/>
              <w:rPr>
                <w:sz w:val="20"/>
                <w:szCs w:val="20"/>
                <w:color w:val="auto"/>
              </w:rPr>
            </w:pPr>
            <w:r>
              <w:rPr>
                <w:rFonts w:ascii="Arial" w:cs="Arial" w:eastAsia="Arial" w:hAnsi="Arial"/>
                <w:sz w:val="18"/>
                <w:szCs w:val="18"/>
                <w:color w:val="auto"/>
              </w:rPr>
              <w:t>RIKAYAA GREENTECH PRIVATE LIMITED</w:t>
            </w:r>
          </w:p>
        </w:tc>
        <w:tc>
          <w:tcPr>
            <w:tcW w:w="2280" w:type="dxa"/>
            <w:vAlign w:val="bottom"/>
          </w:tcPr>
          <w:p>
            <w:pPr>
              <w:ind w:left="100"/>
              <w:spacing w:after="0"/>
              <w:rPr>
                <w:sz w:val="20"/>
                <w:szCs w:val="20"/>
                <w:color w:val="auto"/>
              </w:rPr>
            </w:pPr>
            <w:r>
              <w:rPr>
                <w:rFonts w:ascii="Arial" w:cs="Arial" w:eastAsia="Arial" w:hAnsi="Arial"/>
                <w:sz w:val="18"/>
                <w:szCs w:val="18"/>
                <w:color w:val="auto"/>
              </w:rPr>
              <w:t>India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CID004692</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Attero Recycling Pvt Ltd</w:t>
            </w:r>
          </w:p>
        </w:tc>
        <w:tc>
          <w:tcPr>
            <w:tcW w:w="2280" w:type="dxa"/>
            <w:vAlign w:val="bottom"/>
          </w:tcPr>
          <w:p>
            <w:pPr>
              <w:ind w:left="100"/>
              <w:spacing w:after="0"/>
              <w:rPr>
                <w:sz w:val="20"/>
                <w:szCs w:val="20"/>
                <w:color w:val="auto"/>
              </w:rPr>
            </w:pPr>
            <w:r>
              <w:rPr>
                <w:rFonts w:ascii="Arial" w:cs="Arial" w:eastAsia="Arial" w:hAnsi="Arial"/>
                <w:sz w:val="18"/>
                <w:szCs w:val="18"/>
                <w:color w:val="auto"/>
              </w:rPr>
              <w:t>India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CID004697</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288"/>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600" w:type="dxa"/>
            <w:vAlign w:val="bottom"/>
          </w:tcPr>
          <w:p>
            <w:pPr>
              <w:ind w:left="80"/>
              <w:spacing w:after="0"/>
              <w:rPr>
                <w:sz w:val="20"/>
                <w:szCs w:val="20"/>
                <w:color w:val="auto"/>
              </w:rPr>
            </w:pPr>
            <w:r>
              <w:rPr>
                <w:rFonts w:ascii="Arial" w:cs="Arial" w:eastAsia="Arial" w:hAnsi="Arial"/>
                <w:sz w:val="18"/>
                <w:szCs w:val="18"/>
                <w:color w:val="auto"/>
              </w:rPr>
              <w:t>Longnan Chuangyue Environmental Protection</w:t>
            </w:r>
          </w:p>
        </w:tc>
        <w:tc>
          <w:tcPr>
            <w:tcW w:w="2280" w:type="dxa"/>
            <w:vAlign w:val="bottom"/>
          </w:tcPr>
          <w:p>
            <w:pPr>
              <w:ind w:left="100"/>
              <w:spacing w:after="0"/>
              <w:rPr>
                <w:sz w:val="20"/>
                <w:szCs w:val="20"/>
                <w:color w:val="auto"/>
              </w:rPr>
            </w:pPr>
            <w:r>
              <w:rPr>
                <w:rFonts w:ascii="Arial" w:cs="Arial" w:eastAsia="Arial" w:hAnsi="Arial"/>
                <w:sz w:val="18"/>
                <w:szCs w:val="18"/>
                <w:color w:val="auto"/>
              </w:rPr>
              <w:t>China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CID004796</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239"/>
        </w:trPr>
        <w:tc>
          <w:tcPr>
            <w:tcW w:w="800" w:type="dxa"/>
            <w:vAlign w:val="bottom"/>
          </w:tcPr>
          <w:p>
            <w:pPr>
              <w:spacing w:after="0"/>
              <w:rPr>
                <w:sz w:val="20"/>
                <w:szCs w:val="20"/>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Technology Development Co., Ltd</w:t>
            </w:r>
          </w:p>
        </w:tc>
        <w:tc>
          <w:tcPr>
            <w:tcW w:w="2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600" w:type="dxa"/>
            <w:vAlign w:val="bottom"/>
          </w:tcPr>
          <w:p>
            <w:pPr>
              <w:ind w:left="80"/>
              <w:spacing w:after="0"/>
              <w:rPr>
                <w:sz w:val="20"/>
                <w:szCs w:val="20"/>
                <w:color w:val="auto"/>
              </w:rPr>
            </w:pPr>
            <w:r>
              <w:rPr>
                <w:rFonts w:ascii="Arial" w:cs="Arial" w:eastAsia="Arial" w:hAnsi="Arial"/>
                <w:sz w:val="18"/>
                <w:szCs w:val="18"/>
                <w:color w:val="auto"/>
              </w:rPr>
              <w:t>Geo Enterprise</w:t>
            </w:r>
          </w:p>
        </w:tc>
        <w:tc>
          <w:tcPr>
            <w:tcW w:w="2280" w:type="dxa"/>
            <w:vAlign w:val="bottom"/>
          </w:tcPr>
          <w:p>
            <w:pPr>
              <w:ind w:left="100"/>
              <w:spacing w:after="0"/>
              <w:rPr>
                <w:sz w:val="20"/>
                <w:szCs w:val="20"/>
                <w:color w:val="auto"/>
              </w:rPr>
            </w:pPr>
            <w:r>
              <w:rPr>
                <w:rFonts w:ascii="Arial" w:cs="Arial" w:eastAsia="Arial" w:hAnsi="Arial"/>
                <w:sz w:val="18"/>
                <w:szCs w:val="18"/>
                <w:color w:val="auto"/>
              </w:rPr>
              <w:t>Georgia</w:t>
            </w:r>
          </w:p>
        </w:tc>
        <w:tc>
          <w:tcPr>
            <w:tcW w:w="1140" w:type="dxa"/>
            <w:vAlign w:val="bottom"/>
          </w:tcPr>
          <w:p>
            <w:pPr>
              <w:ind w:left="140"/>
              <w:spacing w:after="0"/>
              <w:rPr>
                <w:sz w:val="20"/>
                <w:szCs w:val="20"/>
                <w:color w:val="auto"/>
              </w:rPr>
            </w:pPr>
            <w:r>
              <w:rPr>
                <w:rFonts w:ascii="Arial" w:cs="Arial" w:eastAsia="Arial" w:hAnsi="Arial"/>
                <w:sz w:val="18"/>
                <w:szCs w:val="18"/>
                <w:color w:val="auto"/>
              </w:rPr>
              <w:t>CID005373</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Naoshima Smelter &amp; Refinery</w:t>
            </w:r>
          </w:p>
        </w:tc>
        <w:tc>
          <w:tcPr>
            <w:tcW w:w="2280" w:type="dxa"/>
            <w:vAlign w:val="bottom"/>
          </w:tcPr>
          <w:p>
            <w:pPr>
              <w:ind w:left="100"/>
              <w:spacing w:after="0"/>
              <w:rPr>
                <w:sz w:val="20"/>
                <w:szCs w:val="20"/>
                <w:color w:val="auto"/>
              </w:rPr>
            </w:pPr>
            <w:r>
              <w:rPr>
                <w:rFonts w:ascii="Arial" w:cs="Arial" w:eastAsia="Arial" w:hAnsi="Arial"/>
                <w:sz w:val="18"/>
                <w:szCs w:val="18"/>
                <w:color w:val="auto"/>
              </w:rPr>
              <w:t>Japan</w:t>
            </w:r>
          </w:p>
        </w:tc>
        <w:tc>
          <w:tcPr>
            <w:tcW w:w="1140" w:type="dxa"/>
            <w:vAlign w:val="bottom"/>
          </w:tcPr>
          <w:p>
            <w:pPr>
              <w:ind w:left="140"/>
              <w:spacing w:after="0"/>
              <w:rPr>
                <w:sz w:val="20"/>
                <w:szCs w:val="20"/>
                <w:color w:val="auto"/>
              </w:rPr>
            </w:pPr>
            <w:r>
              <w:rPr>
                <w:rFonts w:ascii="Arial" w:cs="Arial" w:eastAsia="Arial" w:hAnsi="Arial"/>
                <w:sz w:val="18"/>
                <w:szCs w:val="18"/>
                <w:color w:val="auto"/>
              </w:rPr>
              <w:t>CID005396</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600" w:type="dxa"/>
            <w:vAlign w:val="bottom"/>
          </w:tcPr>
          <w:p>
            <w:pPr>
              <w:ind w:left="80"/>
              <w:spacing w:after="0"/>
              <w:rPr>
                <w:sz w:val="20"/>
                <w:szCs w:val="20"/>
                <w:color w:val="auto"/>
              </w:rPr>
            </w:pPr>
            <w:r>
              <w:rPr>
                <w:rFonts w:ascii="Arial" w:cs="Arial" w:eastAsia="Arial" w:hAnsi="Arial"/>
                <w:sz w:val="18"/>
                <w:szCs w:val="18"/>
                <w:color w:val="auto"/>
              </w:rPr>
              <w:t>KGHM Polska Miedz S.A. Oddzial Huta Miedzi, Glogow</w:t>
            </w:r>
          </w:p>
        </w:tc>
        <w:tc>
          <w:tcPr>
            <w:tcW w:w="2280" w:type="dxa"/>
            <w:vAlign w:val="bottom"/>
          </w:tcPr>
          <w:p>
            <w:pPr>
              <w:ind w:left="100"/>
              <w:spacing w:after="0"/>
              <w:rPr>
                <w:sz w:val="20"/>
                <w:szCs w:val="20"/>
                <w:color w:val="auto"/>
              </w:rPr>
            </w:pPr>
            <w:r>
              <w:rPr>
                <w:rFonts w:ascii="Arial" w:cs="Arial" w:eastAsia="Arial" w:hAnsi="Arial"/>
                <w:sz w:val="18"/>
                <w:szCs w:val="18"/>
                <w:color w:val="auto"/>
              </w:rPr>
              <w:t>Poland</w:t>
            </w:r>
          </w:p>
        </w:tc>
        <w:tc>
          <w:tcPr>
            <w:tcW w:w="1140" w:type="dxa"/>
            <w:vAlign w:val="bottom"/>
          </w:tcPr>
          <w:p>
            <w:pPr>
              <w:ind w:left="140"/>
              <w:spacing w:after="0"/>
              <w:rPr>
                <w:sz w:val="20"/>
                <w:szCs w:val="20"/>
                <w:color w:val="auto"/>
              </w:rPr>
            </w:pPr>
            <w:r>
              <w:rPr>
                <w:rFonts w:ascii="Arial" w:cs="Arial" w:eastAsia="Arial" w:hAnsi="Arial"/>
                <w:sz w:val="18"/>
                <w:szCs w:val="18"/>
                <w:color w:val="auto"/>
              </w:rPr>
              <w:t>CID005401</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bl>
    <w:p>
      <w:pPr>
        <w:sectPr>
          <w:pgSz w:w="11900" w:h="16838" w:orient="portrait"/>
          <w:cols w:equalWidth="0" w:num="1">
            <w:col w:w="10440"/>
          </w:cols>
          <w:pgMar w:left="440" w:top="265" w:right="101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Aurubis AG, Hamburg</w:t>
            </w:r>
          </w:p>
        </w:tc>
        <w:tc>
          <w:tcPr>
            <w:tcW w:w="2080" w:type="dxa"/>
            <w:vAlign w:val="bottom"/>
          </w:tcPr>
          <w:p>
            <w:pPr>
              <w:ind w:left="140"/>
              <w:spacing w:after="0"/>
              <w:rPr>
                <w:sz w:val="20"/>
                <w:szCs w:val="20"/>
                <w:color w:val="auto"/>
              </w:rPr>
            </w:pPr>
            <w:r>
              <w:rPr>
                <w:rFonts w:ascii="Arial" w:cs="Arial" w:eastAsia="Arial" w:hAnsi="Arial"/>
                <w:sz w:val="18"/>
                <w:szCs w:val="18"/>
                <w:color w:val="auto"/>
              </w:rPr>
              <w:t>Germany</w:t>
            </w:r>
          </w:p>
        </w:tc>
        <w:tc>
          <w:tcPr>
            <w:tcW w:w="1380" w:type="dxa"/>
            <w:vAlign w:val="bottom"/>
          </w:tcPr>
          <w:p>
            <w:pPr>
              <w:ind w:left="380"/>
              <w:spacing w:after="0"/>
              <w:rPr>
                <w:sz w:val="20"/>
                <w:szCs w:val="20"/>
                <w:color w:val="auto"/>
              </w:rPr>
            </w:pPr>
            <w:r>
              <w:rPr>
                <w:rFonts w:ascii="Arial" w:cs="Arial" w:eastAsia="Arial" w:hAnsi="Arial"/>
                <w:sz w:val="18"/>
                <w:szCs w:val="18"/>
                <w:color w:val="auto"/>
              </w:rPr>
              <w:t>CID005476</w:t>
            </w:r>
          </w:p>
        </w:tc>
        <w:tc>
          <w:tcPr>
            <w:tcW w:w="1620" w:type="dxa"/>
            <w:vAlign w:val="bottom"/>
          </w:tcPr>
          <w:p>
            <w:pPr>
              <w:ind w:left="100"/>
              <w:spacing w:after="0"/>
              <w:rPr>
                <w:sz w:val="20"/>
                <w:szCs w:val="20"/>
                <w:color w:val="auto"/>
              </w:rPr>
            </w:pPr>
            <w:r>
              <w:rPr>
                <w:rFonts w:ascii="Arial" w:cs="Arial" w:eastAsia="Arial" w:hAnsi="Arial"/>
                <w:sz w:val="18"/>
                <w:szCs w:val="18"/>
                <w:color w:val="auto"/>
                <w:w w:val="98"/>
              </w:rPr>
              <w:t>Outreach Required</w:t>
            </w:r>
          </w:p>
        </w:tc>
      </w:tr>
      <w:tr>
        <w:trPr>
          <w:trHeight w:val="288"/>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JSC Novosibirsk Refinery</w:t>
            </w:r>
          </w:p>
        </w:tc>
        <w:tc>
          <w:tcPr>
            <w:tcW w:w="2080" w:type="dxa"/>
            <w:vAlign w:val="bottom"/>
          </w:tcPr>
          <w:p>
            <w:pPr>
              <w:ind w:left="140"/>
              <w:spacing w:after="0"/>
              <w:rPr>
                <w:sz w:val="20"/>
                <w:szCs w:val="20"/>
                <w:color w:val="auto"/>
              </w:rPr>
            </w:pPr>
            <w:r>
              <w:rPr>
                <w:rFonts w:ascii="Arial" w:cs="Arial" w:eastAsia="Arial" w:hAnsi="Arial"/>
                <w:sz w:val="18"/>
                <w:szCs w:val="18"/>
                <w:color w:val="auto"/>
              </w:rPr>
              <w:t>Russian Federation</w:t>
            </w:r>
          </w:p>
        </w:tc>
        <w:tc>
          <w:tcPr>
            <w:tcW w:w="1380" w:type="dxa"/>
            <w:vAlign w:val="bottom"/>
          </w:tcPr>
          <w:p>
            <w:pPr>
              <w:ind w:left="380"/>
              <w:spacing w:after="0"/>
              <w:rPr>
                <w:sz w:val="20"/>
                <w:szCs w:val="20"/>
                <w:color w:val="auto"/>
              </w:rPr>
            </w:pPr>
            <w:r>
              <w:rPr>
                <w:rFonts w:ascii="Arial" w:cs="Arial" w:eastAsia="Arial" w:hAnsi="Arial"/>
                <w:sz w:val="18"/>
                <w:szCs w:val="18"/>
                <w:color w:val="auto"/>
              </w:rPr>
              <w:t>CID000493</w:t>
            </w:r>
          </w:p>
        </w:tc>
        <w:tc>
          <w:tcPr>
            <w:tcW w:w="1620" w:type="dxa"/>
            <w:vAlign w:val="bottom"/>
          </w:tcPr>
          <w:p>
            <w:pPr>
              <w:ind w:left="100"/>
              <w:spacing w:after="0"/>
              <w:rPr>
                <w:sz w:val="20"/>
                <w:szCs w:val="20"/>
                <w:color w:val="auto"/>
              </w:rPr>
            </w:pPr>
            <w:r>
              <w:rPr>
                <w:rFonts w:ascii="Arial" w:cs="Arial" w:eastAsia="Arial" w:hAnsi="Arial"/>
                <w:sz w:val="18"/>
                <w:szCs w:val="18"/>
                <w:color w:val="auto"/>
                <w:w w:val="99"/>
              </w:rPr>
              <w:t>RMI Due Diligence</w:t>
            </w:r>
          </w:p>
        </w:tc>
      </w:tr>
      <w:tr>
        <w:trPr>
          <w:trHeight w:val="203"/>
        </w:trPr>
        <w:tc>
          <w:tcPr>
            <w:tcW w:w="8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ind w:left="100"/>
              <w:spacing w:after="0" w:line="202" w:lineRule="exact"/>
              <w:rPr>
                <w:sz w:val="20"/>
                <w:szCs w:val="20"/>
                <w:color w:val="auto"/>
              </w:rPr>
            </w:pPr>
            <w:r>
              <w:rPr>
                <w:rFonts w:ascii="Arial" w:cs="Arial" w:eastAsia="Arial" w:hAnsi="Arial"/>
                <w:sz w:val="18"/>
                <w:szCs w:val="18"/>
                <w:color w:val="auto"/>
                <w:w w:val="98"/>
              </w:rPr>
              <w:t>Review - Unable to</w:t>
            </w:r>
          </w:p>
        </w:tc>
      </w:tr>
      <w:tr>
        <w:trPr>
          <w:trHeight w:val="239"/>
        </w:trPr>
        <w:tc>
          <w:tcPr>
            <w:tcW w:w="8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Proceed</w:t>
            </w:r>
          </w:p>
        </w:tc>
      </w:tr>
      <w:tr>
        <w:trPr>
          <w:trHeight w:val="27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JSC Ekaterinburg Non-Ferrous Metal Processing Plant</w:t>
            </w:r>
          </w:p>
        </w:tc>
        <w:tc>
          <w:tcPr>
            <w:tcW w:w="2080" w:type="dxa"/>
            <w:vAlign w:val="bottom"/>
          </w:tcPr>
          <w:p>
            <w:pPr>
              <w:ind w:left="140"/>
              <w:spacing w:after="0"/>
              <w:rPr>
                <w:sz w:val="20"/>
                <w:szCs w:val="20"/>
                <w:color w:val="auto"/>
              </w:rPr>
            </w:pPr>
            <w:r>
              <w:rPr>
                <w:rFonts w:ascii="Arial" w:cs="Arial" w:eastAsia="Arial" w:hAnsi="Arial"/>
                <w:sz w:val="18"/>
                <w:szCs w:val="18"/>
                <w:color w:val="auto"/>
              </w:rPr>
              <w:t>Russian Federation</w:t>
            </w:r>
          </w:p>
        </w:tc>
        <w:tc>
          <w:tcPr>
            <w:tcW w:w="1380" w:type="dxa"/>
            <w:vAlign w:val="bottom"/>
          </w:tcPr>
          <w:p>
            <w:pPr>
              <w:ind w:left="380"/>
              <w:spacing w:after="0"/>
              <w:rPr>
                <w:sz w:val="20"/>
                <w:szCs w:val="20"/>
                <w:color w:val="auto"/>
              </w:rPr>
            </w:pPr>
            <w:r>
              <w:rPr>
                <w:rFonts w:ascii="Arial" w:cs="Arial" w:eastAsia="Arial" w:hAnsi="Arial"/>
                <w:sz w:val="18"/>
                <w:szCs w:val="18"/>
                <w:color w:val="auto"/>
              </w:rPr>
              <w:t>CID000927</w:t>
            </w:r>
          </w:p>
        </w:tc>
        <w:tc>
          <w:tcPr>
            <w:tcW w:w="1620" w:type="dxa"/>
            <w:vAlign w:val="bottom"/>
          </w:tcPr>
          <w:p>
            <w:pPr>
              <w:ind w:left="100"/>
              <w:spacing w:after="0"/>
              <w:rPr>
                <w:sz w:val="20"/>
                <w:szCs w:val="20"/>
                <w:color w:val="auto"/>
              </w:rPr>
            </w:pPr>
            <w:r>
              <w:rPr>
                <w:rFonts w:ascii="Arial" w:cs="Arial" w:eastAsia="Arial" w:hAnsi="Arial"/>
                <w:sz w:val="18"/>
                <w:szCs w:val="18"/>
                <w:color w:val="auto"/>
                <w:w w:val="99"/>
              </w:rPr>
              <w:t>RMI Due Diligence</w:t>
            </w:r>
          </w:p>
        </w:tc>
      </w:tr>
      <w:tr>
        <w:trPr>
          <w:trHeight w:val="203"/>
        </w:trPr>
        <w:tc>
          <w:tcPr>
            <w:tcW w:w="8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ind w:left="100"/>
              <w:spacing w:after="0" w:line="202" w:lineRule="exact"/>
              <w:rPr>
                <w:sz w:val="20"/>
                <w:szCs w:val="20"/>
                <w:color w:val="auto"/>
              </w:rPr>
            </w:pPr>
            <w:r>
              <w:rPr>
                <w:rFonts w:ascii="Arial" w:cs="Arial" w:eastAsia="Arial" w:hAnsi="Arial"/>
                <w:sz w:val="18"/>
                <w:szCs w:val="18"/>
                <w:color w:val="auto"/>
                <w:w w:val="98"/>
              </w:rPr>
              <w:t>Review - Unable to</w:t>
            </w:r>
          </w:p>
        </w:tc>
      </w:tr>
      <w:tr>
        <w:trPr>
          <w:trHeight w:val="239"/>
        </w:trPr>
        <w:tc>
          <w:tcPr>
            <w:tcW w:w="8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Proceed</w:t>
            </w:r>
          </w:p>
        </w:tc>
      </w:tr>
      <w:tr>
        <w:trPr>
          <w:trHeight w:val="27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JSC Uralelectromed</w:t>
            </w:r>
          </w:p>
        </w:tc>
        <w:tc>
          <w:tcPr>
            <w:tcW w:w="2080" w:type="dxa"/>
            <w:vAlign w:val="bottom"/>
          </w:tcPr>
          <w:p>
            <w:pPr>
              <w:ind w:left="140"/>
              <w:spacing w:after="0"/>
              <w:rPr>
                <w:sz w:val="20"/>
                <w:szCs w:val="20"/>
                <w:color w:val="auto"/>
              </w:rPr>
            </w:pPr>
            <w:r>
              <w:rPr>
                <w:rFonts w:ascii="Arial" w:cs="Arial" w:eastAsia="Arial" w:hAnsi="Arial"/>
                <w:sz w:val="18"/>
                <w:szCs w:val="18"/>
                <w:color w:val="auto"/>
              </w:rPr>
              <w:t>Russian Federation</w:t>
            </w:r>
          </w:p>
        </w:tc>
        <w:tc>
          <w:tcPr>
            <w:tcW w:w="1380" w:type="dxa"/>
            <w:vAlign w:val="bottom"/>
          </w:tcPr>
          <w:p>
            <w:pPr>
              <w:ind w:left="380"/>
              <w:spacing w:after="0"/>
              <w:rPr>
                <w:sz w:val="20"/>
                <w:szCs w:val="20"/>
                <w:color w:val="auto"/>
              </w:rPr>
            </w:pPr>
            <w:r>
              <w:rPr>
                <w:rFonts w:ascii="Arial" w:cs="Arial" w:eastAsia="Arial" w:hAnsi="Arial"/>
                <w:sz w:val="18"/>
                <w:szCs w:val="18"/>
                <w:color w:val="auto"/>
              </w:rPr>
              <w:t>CID000929</w:t>
            </w:r>
          </w:p>
        </w:tc>
        <w:tc>
          <w:tcPr>
            <w:tcW w:w="1620" w:type="dxa"/>
            <w:vAlign w:val="bottom"/>
          </w:tcPr>
          <w:p>
            <w:pPr>
              <w:ind w:left="100"/>
              <w:spacing w:after="0"/>
              <w:rPr>
                <w:sz w:val="20"/>
                <w:szCs w:val="20"/>
                <w:color w:val="auto"/>
              </w:rPr>
            </w:pPr>
            <w:r>
              <w:rPr>
                <w:rFonts w:ascii="Arial" w:cs="Arial" w:eastAsia="Arial" w:hAnsi="Arial"/>
                <w:sz w:val="18"/>
                <w:szCs w:val="18"/>
                <w:color w:val="auto"/>
                <w:w w:val="99"/>
              </w:rPr>
              <w:t>RMI Due Diligence</w:t>
            </w:r>
          </w:p>
        </w:tc>
      </w:tr>
      <w:tr>
        <w:trPr>
          <w:trHeight w:val="203"/>
        </w:trPr>
        <w:tc>
          <w:tcPr>
            <w:tcW w:w="8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ind w:left="100"/>
              <w:spacing w:after="0" w:line="202" w:lineRule="exact"/>
              <w:rPr>
                <w:sz w:val="20"/>
                <w:szCs w:val="20"/>
                <w:color w:val="auto"/>
              </w:rPr>
            </w:pPr>
            <w:r>
              <w:rPr>
                <w:rFonts w:ascii="Arial" w:cs="Arial" w:eastAsia="Arial" w:hAnsi="Arial"/>
                <w:sz w:val="18"/>
                <w:szCs w:val="18"/>
                <w:color w:val="auto"/>
                <w:w w:val="98"/>
              </w:rPr>
              <w:t>Review - Unable to</w:t>
            </w:r>
          </w:p>
        </w:tc>
      </w:tr>
      <w:tr>
        <w:trPr>
          <w:trHeight w:val="239"/>
        </w:trPr>
        <w:tc>
          <w:tcPr>
            <w:tcW w:w="8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Proceed</w:t>
            </w:r>
          </w:p>
        </w:tc>
      </w:tr>
      <w:tr>
        <w:trPr>
          <w:trHeight w:val="27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Moscow Special Alloys Processing Plant</w:t>
            </w:r>
          </w:p>
        </w:tc>
        <w:tc>
          <w:tcPr>
            <w:tcW w:w="2080" w:type="dxa"/>
            <w:vAlign w:val="bottom"/>
          </w:tcPr>
          <w:p>
            <w:pPr>
              <w:ind w:left="140"/>
              <w:spacing w:after="0"/>
              <w:rPr>
                <w:sz w:val="20"/>
                <w:szCs w:val="20"/>
                <w:color w:val="auto"/>
              </w:rPr>
            </w:pPr>
            <w:r>
              <w:rPr>
                <w:rFonts w:ascii="Arial" w:cs="Arial" w:eastAsia="Arial" w:hAnsi="Arial"/>
                <w:sz w:val="18"/>
                <w:szCs w:val="18"/>
                <w:color w:val="auto"/>
              </w:rPr>
              <w:t>Russian Federation</w:t>
            </w:r>
          </w:p>
        </w:tc>
        <w:tc>
          <w:tcPr>
            <w:tcW w:w="1380" w:type="dxa"/>
            <w:vAlign w:val="bottom"/>
          </w:tcPr>
          <w:p>
            <w:pPr>
              <w:ind w:left="380"/>
              <w:spacing w:after="0"/>
              <w:rPr>
                <w:sz w:val="20"/>
                <w:szCs w:val="20"/>
                <w:color w:val="auto"/>
              </w:rPr>
            </w:pPr>
            <w:r>
              <w:rPr>
                <w:rFonts w:ascii="Arial" w:cs="Arial" w:eastAsia="Arial" w:hAnsi="Arial"/>
                <w:sz w:val="18"/>
                <w:szCs w:val="18"/>
                <w:color w:val="auto"/>
              </w:rPr>
              <w:t>CID001204</w:t>
            </w:r>
          </w:p>
        </w:tc>
        <w:tc>
          <w:tcPr>
            <w:tcW w:w="1620" w:type="dxa"/>
            <w:vAlign w:val="bottom"/>
          </w:tcPr>
          <w:p>
            <w:pPr>
              <w:ind w:left="100"/>
              <w:spacing w:after="0"/>
              <w:rPr>
                <w:sz w:val="20"/>
                <w:szCs w:val="20"/>
                <w:color w:val="auto"/>
              </w:rPr>
            </w:pPr>
            <w:r>
              <w:rPr>
                <w:rFonts w:ascii="Arial" w:cs="Arial" w:eastAsia="Arial" w:hAnsi="Arial"/>
                <w:sz w:val="18"/>
                <w:szCs w:val="18"/>
                <w:color w:val="auto"/>
                <w:w w:val="99"/>
              </w:rPr>
              <w:t>RMI Due Diligence</w:t>
            </w:r>
          </w:p>
        </w:tc>
      </w:tr>
      <w:tr>
        <w:trPr>
          <w:trHeight w:val="203"/>
        </w:trPr>
        <w:tc>
          <w:tcPr>
            <w:tcW w:w="8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ind w:left="100"/>
              <w:spacing w:after="0" w:line="202" w:lineRule="exact"/>
              <w:rPr>
                <w:sz w:val="20"/>
                <w:szCs w:val="20"/>
                <w:color w:val="auto"/>
              </w:rPr>
            </w:pPr>
            <w:r>
              <w:rPr>
                <w:rFonts w:ascii="Arial" w:cs="Arial" w:eastAsia="Arial" w:hAnsi="Arial"/>
                <w:sz w:val="18"/>
                <w:szCs w:val="18"/>
                <w:color w:val="auto"/>
                <w:w w:val="98"/>
              </w:rPr>
              <w:t>Review - Unable to</w:t>
            </w:r>
          </w:p>
        </w:tc>
      </w:tr>
      <w:tr>
        <w:trPr>
          <w:trHeight w:val="239"/>
        </w:trPr>
        <w:tc>
          <w:tcPr>
            <w:tcW w:w="8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Proceed</w:t>
            </w:r>
          </w:p>
        </w:tc>
      </w:tr>
      <w:tr>
        <w:trPr>
          <w:trHeight w:val="274"/>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4560" w:type="dxa"/>
            <w:vAlign w:val="bottom"/>
          </w:tcPr>
          <w:p>
            <w:pPr>
              <w:ind w:left="80"/>
              <w:spacing w:after="0"/>
              <w:rPr>
                <w:sz w:val="20"/>
                <w:szCs w:val="20"/>
                <w:color w:val="auto"/>
              </w:rPr>
            </w:pPr>
            <w:r>
              <w:rPr>
                <w:rFonts w:ascii="Arial" w:cs="Arial" w:eastAsia="Arial" w:hAnsi="Arial"/>
                <w:sz w:val="18"/>
                <w:szCs w:val="18"/>
                <w:color w:val="auto"/>
              </w:rPr>
              <w:t>Novosibirsk Tin Combine</w:t>
            </w:r>
          </w:p>
        </w:tc>
        <w:tc>
          <w:tcPr>
            <w:tcW w:w="2080" w:type="dxa"/>
            <w:vAlign w:val="bottom"/>
          </w:tcPr>
          <w:p>
            <w:pPr>
              <w:ind w:left="140"/>
              <w:spacing w:after="0"/>
              <w:rPr>
                <w:sz w:val="20"/>
                <w:szCs w:val="20"/>
                <w:color w:val="auto"/>
              </w:rPr>
            </w:pPr>
            <w:r>
              <w:rPr>
                <w:rFonts w:ascii="Arial" w:cs="Arial" w:eastAsia="Arial" w:hAnsi="Arial"/>
                <w:sz w:val="18"/>
                <w:szCs w:val="18"/>
                <w:color w:val="auto"/>
              </w:rPr>
              <w:t>Russian Federation</w:t>
            </w:r>
          </w:p>
        </w:tc>
        <w:tc>
          <w:tcPr>
            <w:tcW w:w="1380" w:type="dxa"/>
            <w:vAlign w:val="bottom"/>
          </w:tcPr>
          <w:p>
            <w:pPr>
              <w:ind w:left="380"/>
              <w:spacing w:after="0"/>
              <w:rPr>
                <w:sz w:val="20"/>
                <w:szCs w:val="20"/>
                <w:color w:val="auto"/>
              </w:rPr>
            </w:pPr>
            <w:r>
              <w:rPr>
                <w:rFonts w:ascii="Arial" w:cs="Arial" w:eastAsia="Arial" w:hAnsi="Arial"/>
                <w:sz w:val="18"/>
                <w:szCs w:val="18"/>
                <w:color w:val="auto"/>
              </w:rPr>
              <w:t>CID001305</w:t>
            </w:r>
          </w:p>
        </w:tc>
        <w:tc>
          <w:tcPr>
            <w:tcW w:w="1620" w:type="dxa"/>
            <w:vAlign w:val="bottom"/>
          </w:tcPr>
          <w:p>
            <w:pPr>
              <w:ind w:left="100"/>
              <w:spacing w:after="0"/>
              <w:rPr>
                <w:sz w:val="20"/>
                <w:szCs w:val="20"/>
                <w:color w:val="auto"/>
              </w:rPr>
            </w:pPr>
            <w:r>
              <w:rPr>
                <w:rFonts w:ascii="Arial" w:cs="Arial" w:eastAsia="Arial" w:hAnsi="Arial"/>
                <w:sz w:val="18"/>
                <w:szCs w:val="18"/>
                <w:color w:val="auto"/>
                <w:w w:val="99"/>
              </w:rPr>
              <w:t>RMI Due Diligence</w:t>
            </w:r>
          </w:p>
        </w:tc>
      </w:tr>
      <w:tr>
        <w:trPr>
          <w:trHeight w:val="203"/>
        </w:trPr>
        <w:tc>
          <w:tcPr>
            <w:tcW w:w="8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ind w:left="100"/>
              <w:spacing w:after="0" w:line="202" w:lineRule="exact"/>
              <w:rPr>
                <w:sz w:val="20"/>
                <w:szCs w:val="20"/>
                <w:color w:val="auto"/>
              </w:rPr>
            </w:pPr>
            <w:r>
              <w:rPr>
                <w:rFonts w:ascii="Arial" w:cs="Arial" w:eastAsia="Arial" w:hAnsi="Arial"/>
                <w:sz w:val="18"/>
                <w:szCs w:val="18"/>
                <w:color w:val="auto"/>
                <w:w w:val="98"/>
              </w:rPr>
              <w:t>Review - Unable to</w:t>
            </w:r>
          </w:p>
        </w:tc>
      </w:tr>
      <w:tr>
        <w:trPr>
          <w:trHeight w:val="239"/>
        </w:trPr>
        <w:tc>
          <w:tcPr>
            <w:tcW w:w="8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Proceed</w:t>
            </w:r>
          </w:p>
        </w:tc>
      </w:tr>
      <w:tr>
        <w:trPr>
          <w:trHeight w:val="27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OJSC “The Gulidov Krasnoyarsk Non-Ferrous Metals</w:t>
            </w:r>
          </w:p>
        </w:tc>
        <w:tc>
          <w:tcPr>
            <w:tcW w:w="2080" w:type="dxa"/>
            <w:vAlign w:val="bottom"/>
          </w:tcPr>
          <w:p>
            <w:pPr>
              <w:ind w:left="140"/>
              <w:spacing w:after="0"/>
              <w:rPr>
                <w:sz w:val="20"/>
                <w:szCs w:val="20"/>
                <w:color w:val="auto"/>
              </w:rPr>
            </w:pPr>
            <w:r>
              <w:rPr>
                <w:rFonts w:ascii="Arial" w:cs="Arial" w:eastAsia="Arial" w:hAnsi="Arial"/>
                <w:sz w:val="18"/>
                <w:szCs w:val="18"/>
                <w:color w:val="auto"/>
              </w:rPr>
              <w:t>Russian Federation</w:t>
            </w:r>
          </w:p>
        </w:tc>
        <w:tc>
          <w:tcPr>
            <w:tcW w:w="1380" w:type="dxa"/>
            <w:vAlign w:val="bottom"/>
          </w:tcPr>
          <w:p>
            <w:pPr>
              <w:ind w:left="380"/>
              <w:spacing w:after="0"/>
              <w:rPr>
                <w:sz w:val="20"/>
                <w:szCs w:val="20"/>
                <w:color w:val="auto"/>
              </w:rPr>
            </w:pPr>
            <w:r>
              <w:rPr>
                <w:rFonts w:ascii="Arial" w:cs="Arial" w:eastAsia="Arial" w:hAnsi="Arial"/>
                <w:sz w:val="18"/>
                <w:szCs w:val="18"/>
                <w:color w:val="auto"/>
              </w:rPr>
              <w:t>CID001326</w:t>
            </w:r>
          </w:p>
        </w:tc>
        <w:tc>
          <w:tcPr>
            <w:tcW w:w="1620" w:type="dxa"/>
            <w:vAlign w:val="bottom"/>
          </w:tcPr>
          <w:p>
            <w:pPr>
              <w:ind w:left="100"/>
              <w:spacing w:after="0"/>
              <w:rPr>
                <w:sz w:val="20"/>
                <w:szCs w:val="20"/>
                <w:color w:val="auto"/>
              </w:rPr>
            </w:pPr>
            <w:r>
              <w:rPr>
                <w:rFonts w:ascii="Arial" w:cs="Arial" w:eastAsia="Arial" w:hAnsi="Arial"/>
                <w:sz w:val="18"/>
                <w:szCs w:val="18"/>
                <w:color w:val="auto"/>
                <w:w w:val="99"/>
              </w:rPr>
              <w:t>RMI Due Diligence</w:t>
            </w:r>
          </w:p>
        </w:tc>
      </w:tr>
      <w:tr>
        <w:trPr>
          <w:trHeight w:val="203"/>
        </w:trPr>
        <w:tc>
          <w:tcPr>
            <w:tcW w:w="800" w:type="dxa"/>
            <w:vAlign w:val="bottom"/>
          </w:tcPr>
          <w:p>
            <w:pPr>
              <w:spacing w:after="0"/>
              <w:rPr>
                <w:sz w:val="17"/>
                <w:szCs w:val="17"/>
                <w:color w:val="auto"/>
              </w:rPr>
            </w:pPr>
          </w:p>
        </w:tc>
        <w:tc>
          <w:tcPr>
            <w:tcW w:w="4560" w:type="dxa"/>
            <w:vAlign w:val="bottom"/>
          </w:tcPr>
          <w:p>
            <w:pPr>
              <w:ind w:left="80"/>
              <w:spacing w:after="0" w:line="202" w:lineRule="exact"/>
              <w:rPr>
                <w:sz w:val="20"/>
                <w:szCs w:val="20"/>
                <w:color w:val="auto"/>
              </w:rPr>
            </w:pPr>
            <w:r>
              <w:rPr>
                <w:rFonts w:ascii="Arial" w:cs="Arial" w:eastAsia="Arial" w:hAnsi="Arial"/>
                <w:sz w:val="18"/>
                <w:szCs w:val="18"/>
                <w:color w:val="auto"/>
              </w:rPr>
              <w:t>Plant” (OJSC Krastsvetmet)</w:t>
            </w:r>
          </w:p>
        </w:tc>
        <w:tc>
          <w:tcPr>
            <w:tcW w:w="2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ind w:left="100"/>
              <w:spacing w:after="0" w:line="202" w:lineRule="exact"/>
              <w:rPr>
                <w:sz w:val="20"/>
                <w:szCs w:val="20"/>
                <w:color w:val="auto"/>
              </w:rPr>
            </w:pPr>
            <w:r>
              <w:rPr>
                <w:rFonts w:ascii="Arial" w:cs="Arial" w:eastAsia="Arial" w:hAnsi="Arial"/>
                <w:sz w:val="18"/>
                <w:szCs w:val="18"/>
                <w:color w:val="auto"/>
                <w:w w:val="98"/>
              </w:rPr>
              <w:t>Review - Unable to</w:t>
            </w:r>
          </w:p>
        </w:tc>
      </w:tr>
      <w:tr>
        <w:trPr>
          <w:trHeight w:val="239"/>
        </w:trPr>
        <w:tc>
          <w:tcPr>
            <w:tcW w:w="8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Proceed</w:t>
            </w:r>
          </w:p>
        </w:tc>
      </w:tr>
      <w:tr>
        <w:trPr>
          <w:trHeight w:val="27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Prioksky Plant of Non-Ferrous Metals</w:t>
            </w:r>
          </w:p>
        </w:tc>
        <w:tc>
          <w:tcPr>
            <w:tcW w:w="2080" w:type="dxa"/>
            <w:vAlign w:val="bottom"/>
          </w:tcPr>
          <w:p>
            <w:pPr>
              <w:ind w:left="140"/>
              <w:spacing w:after="0"/>
              <w:rPr>
                <w:sz w:val="20"/>
                <w:szCs w:val="20"/>
                <w:color w:val="auto"/>
              </w:rPr>
            </w:pPr>
            <w:r>
              <w:rPr>
                <w:rFonts w:ascii="Arial" w:cs="Arial" w:eastAsia="Arial" w:hAnsi="Arial"/>
                <w:sz w:val="18"/>
                <w:szCs w:val="18"/>
                <w:color w:val="auto"/>
              </w:rPr>
              <w:t>Russian Federation</w:t>
            </w:r>
          </w:p>
        </w:tc>
        <w:tc>
          <w:tcPr>
            <w:tcW w:w="1380" w:type="dxa"/>
            <w:vAlign w:val="bottom"/>
          </w:tcPr>
          <w:p>
            <w:pPr>
              <w:ind w:left="380"/>
              <w:spacing w:after="0"/>
              <w:rPr>
                <w:sz w:val="20"/>
                <w:szCs w:val="20"/>
                <w:color w:val="auto"/>
              </w:rPr>
            </w:pPr>
            <w:r>
              <w:rPr>
                <w:rFonts w:ascii="Arial" w:cs="Arial" w:eastAsia="Arial" w:hAnsi="Arial"/>
                <w:sz w:val="18"/>
                <w:szCs w:val="18"/>
                <w:color w:val="auto"/>
              </w:rPr>
              <w:t>CID001386</w:t>
            </w:r>
          </w:p>
        </w:tc>
        <w:tc>
          <w:tcPr>
            <w:tcW w:w="1620" w:type="dxa"/>
            <w:vAlign w:val="bottom"/>
          </w:tcPr>
          <w:p>
            <w:pPr>
              <w:ind w:left="100"/>
              <w:spacing w:after="0"/>
              <w:rPr>
                <w:sz w:val="20"/>
                <w:szCs w:val="20"/>
                <w:color w:val="auto"/>
              </w:rPr>
            </w:pPr>
            <w:r>
              <w:rPr>
                <w:rFonts w:ascii="Arial" w:cs="Arial" w:eastAsia="Arial" w:hAnsi="Arial"/>
                <w:sz w:val="18"/>
                <w:szCs w:val="18"/>
                <w:color w:val="auto"/>
                <w:w w:val="99"/>
              </w:rPr>
              <w:t>RMI Due Diligence</w:t>
            </w:r>
          </w:p>
        </w:tc>
      </w:tr>
      <w:tr>
        <w:trPr>
          <w:trHeight w:val="203"/>
        </w:trPr>
        <w:tc>
          <w:tcPr>
            <w:tcW w:w="8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ind w:left="100"/>
              <w:spacing w:after="0" w:line="202" w:lineRule="exact"/>
              <w:rPr>
                <w:sz w:val="20"/>
                <w:szCs w:val="20"/>
                <w:color w:val="auto"/>
              </w:rPr>
            </w:pPr>
            <w:r>
              <w:rPr>
                <w:rFonts w:ascii="Arial" w:cs="Arial" w:eastAsia="Arial" w:hAnsi="Arial"/>
                <w:sz w:val="18"/>
                <w:szCs w:val="18"/>
                <w:color w:val="auto"/>
                <w:w w:val="98"/>
              </w:rPr>
              <w:t>Review - Unable to</w:t>
            </w:r>
          </w:p>
        </w:tc>
      </w:tr>
      <w:tr>
        <w:trPr>
          <w:trHeight w:val="239"/>
        </w:trPr>
        <w:tc>
          <w:tcPr>
            <w:tcW w:w="8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Proceed</w:t>
            </w:r>
          </w:p>
        </w:tc>
      </w:tr>
      <w:tr>
        <w:trPr>
          <w:trHeight w:val="27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SOE Shyolkovsky Factory of Secondary Precious</w:t>
            </w:r>
          </w:p>
        </w:tc>
        <w:tc>
          <w:tcPr>
            <w:tcW w:w="2080" w:type="dxa"/>
            <w:vAlign w:val="bottom"/>
          </w:tcPr>
          <w:p>
            <w:pPr>
              <w:ind w:left="140"/>
              <w:spacing w:after="0"/>
              <w:rPr>
                <w:sz w:val="20"/>
                <w:szCs w:val="20"/>
                <w:color w:val="auto"/>
              </w:rPr>
            </w:pPr>
            <w:r>
              <w:rPr>
                <w:rFonts w:ascii="Arial" w:cs="Arial" w:eastAsia="Arial" w:hAnsi="Arial"/>
                <w:sz w:val="18"/>
                <w:szCs w:val="18"/>
                <w:color w:val="auto"/>
              </w:rPr>
              <w:t>Russian Federation</w:t>
            </w:r>
          </w:p>
        </w:tc>
        <w:tc>
          <w:tcPr>
            <w:tcW w:w="1380" w:type="dxa"/>
            <w:vAlign w:val="bottom"/>
          </w:tcPr>
          <w:p>
            <w:pPr>
              <w:ind w:left="380"/>
              <w:spacing w:after="0"/>
              <w:rPr>
                <w:sz w:val="20"/>
                <w:szCs w:val="20"/>
                <w:color w:val="auto"/>
              </w:rPr>
            </w:pPr>
            <w:r>
              <w:rPr>
                <w:rFonts w:ascii="Arial" w:cs="Arial" w:eastAsia="Arial" w:hAnsi="Arial"/>
                <w:sz w:val="18"/>
                <w:szCs w:val="18"/>
                <w:color w:val="auto"/>
              </w:rPr>
              <w:t>CID001756</w:t>
            </w:r>
          </w:p>
        </w:tc>
        <w:tc>
          <w:tcPr>
            <w:tcW w:w="1620" w:type="dxa"/>
            <w:vAlign w:val="bottom"/>
          </w:tcPr>
          <w:p>
            <w:pPr>
              <w:ind w:left="100"/>
              <w:spacing w:after="0"/>
              <w:rPr>
                <w:sz w:val="20"/>
                <w:szCs w:val="20"/>
                <w:color w:val="auto"/>
              </w:rPr>
            </w:pPr>
            <w:r>
              <w:rPr>
                <w:rFonts w:ascii="Arial" w:cs="Arial" w:eastAsia="Arial" w:hAnsi="Arial"/>
                <w:sz w:val="18"/>
                <w:szCs w:val="18"/>
                <w:color w:val="auto"/>
                <w:w w:val="99"/>
              </w:rPr>
              <w:t>RMI Due Diligence</w:t>
            </w:r>
          </w:p>
        </w:tc>
      </w:tr>
      <w:tr>
        <w:trPr>
          <w:trHeight w:val="203"/>
        </w:trPr>
        <w:tc>
          <w:tcPr>
            <w:tcW w:w="800" w:type="dxa"/>
            <w:vAlign w:val="bottom"/>
          </w:tcPr>
          <w:p>
            <w:pPr>
              <w:spacing w:after="0"/>
              <w:rPr>
                <w:sz w:val="17"/>
                <w:szCs w:val="17"/>
                <w:color w:val="auto"/>
              </w:rPr>
            </w:pPr>
          </w:p>
        </w:tc>
        <w:tc>
          <w:tcPr>
            <w:tcW w:w="4560" w:type="dxa"/>
            <w:vAlign w:val="bottom"/>
          </w:tcPr>
          <w:p>
            <w:pPr>
              <w:ind w:left="80"/>
              <w:spacing w:after="0" w:line="202" w:lineRule="exact"/>
              <w:rPr>
                <w:sz w:val="20"/>
                <w:szCs w:val="20"/>
                <w:color w:val="auto"/>
              </w:rPr>
            </w:pPr>
            <w:r>
              <w:rPr>
                <w:rFonts w:ascii="Arial" w:cs="Arial" w:eastAsia="Arial" w:hAnsi="Arial"/>
                <w:sz w:val="18"/>
                <w:szCs w:val="18"/>
                <w:color w:val="auto"/>
              </w:rPr>
              <w:t>Metals</w:t>
            </w:r>
          </w:p>
        </w:tc>
        <w:tc>
          <w:tcPr>
            <w:tcW w:w="2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ind w:left="100"/>
              <w:spacing w:after="0" w:line="202" w:lineRule="exact"/>
              <w:rPr>
                <w:sz w:val="20"/>
                <w:szCs w:val="20"/>
                <w:color w:val="auto"/>
              </w:rPr>
            </w:pPr>
            <w:r>
              <w:rPr>
                <w:rFonts w:ascii="Arial" w:cs="Arial" w:eastAsia="Arial" w:hAnsi="Arial"/>
                <w:sz w:val="18"/>
                <w:szCs w:val="18"/>
                <w:color w:val="auto"/>
                <w:w w:val="98"/>
              </w:rPr>
              <w:t>Review - Unable to</w:t>
            </w:r>
          </w:p>
        </w:tc>
      </w:tr>
      <w:tr>
        <w:trPr>
          <w:trHeight w:val="239"/>
        </w:trPr>
        <w:tc>
          <w:tcPr>
            <w:tcW w:w="8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Proceed</w:t>
            </w:r>
          </w:p>
        </w:tc>
      </w:tr>
      <w:tr>
        <w:trPr>
          <w:trHeight w:val="274"/>
        </w:trPr>
        <w:tc>
          <w:tcPr>
            <w:tcW w:w="800" w:type="dxa"/>
            <w:vAlign w:val="bottom"/>
          </w:tcPr>
          <w:p>
            <w:pPr>
              <w:spacing w:after="0"/>
              <w:rPr>
                <w:sz w:val="20"/>
                <w:szCs w:val="20"/>
                <w:color w:val="auto"/>
              </w:rPr>
            </w:pPr>
            <w:r>
              <w:rPr>
                <w:rFonts w:ascii="Arial" w:cs="Arial" w:eastAsia="Arial" w:hAnsi="Arial"/>
                <w:sz w:val="18"/>
                <w:szCs w:val="18"/>
                <w:color w:val="auto"/>
              </w:rPr>
              <w:t>Tantalum</w:t>
            </w:r>
          </w:p>
        </w:tc>
        <w:tc>
          <w:tcPr>
            <w:tcW w:w="4560" w:type="dxa"/>
            <w:vAlign w:val="bottom"/>
          </w:tcPr>
          <w:p>
            <w:pPr>
              <w:ind w:left="80"/>
              <w:spacing w:after="0"/>
              <w:rPr>
                <w:sz w:val="20"/>
                <w:szCs w:val="20"/>
                <w:color w:val="auto"/>
              </w:rPr>
            </w:pPr>
            <w:r>
              <w:rPr>
                <w:rFonts w:ascii="Arial" w:cs="Arial" w:eastAsia="Arial" w:hAnsi="Arial"/>
                <w:sz w:val="18"/>
                <w:szCs w:val="18"/>
                <w:color w:val="auto"/>
              </w:rPr>
              <w:t>Solikamsk Magnesium Works OAO</w:t>
            </w:r>
          </w:p>
        </w:tc>
        <w:tc>
          <w:tcPr>
            <w:tcW w:w="2080" w:type="dxa"/>
            <w:vAlign w:val="bottom"/>
          </w:tcPr>
          <w:p>
            <w:pPr>
              <w:ind w:left="140"/>
              <w:spacing w:after="0"/>
              <w:rPr>
                <w:sz w:val="20"/>
                <w:szCs w:val="20"/>
                <w:color w:val="auto"/>
              </w:rPr>
            </w:pPr>
            <w:r>
              <w:rPr>
                <w:rFonts w:ascii="Arial" w:cs="Arial" w:eastAsia="Arial" w:hAnsi="Arial"/>
                <w:sz w:val="18"/>
                <w:szCs w:val="18"/>
                <w:color w:val="auto"/>
              </w:rPr>
              <w:t>Russian Federation</w:t>
            </w:r>
          </w:p>
        </w:tc>
        <w:tc>
          <w:tcPr>
            <w:tcW w:w="1380" w:type="dxa"/>
            <w:vAlign w:val="bottom"/>
          </w:tcPr>
          <w:p>
            <w:pPr>
              <w:ind w:left="380"/>
              <w:spacing w:after="0"/>
              <w:rPr>
                <w:sz w:val="20"/>
                <w:szCs w:val="20"/>
                <w:color w:val="auto"/>
              </w:rPr>
            </w:pPr>
            <w:r>
              <w:rPr>
                <w:rFonts w:ascii="Arial" w:cs="Arial" w:eastAsia="Arial" w:hAnsi="Arial"/>
                <w:sz w:val="18"/>
                <w:szCs w:val="18"/>
                <w:color w:val="auto"/>
              </w:rPr>
              <w:t>CID001769</w:t>
            </w:r>
          </w:p>
        </w:tc>
        <w:tc>
          <w:tcPr>
            <w:tcW w:w="1620" w:type="dxa"/>
            <w:vAlign w:val="bottom"/>
          </w:tcPr>
          <w:p>
            <w:pPr>
              <w:ind w:left="100"/>
              <w:spacing w:after="0"/>
              <w:rPr>
                <w:sz w:val="20"/>
                <w:szCs w:val="20"/>
                <w:color w:val="auto"/>
              </w:rPr>
            </w:pPr>
            <w:r>
              <w:rPr>
                <w:rFonts w:ascii="Arial" w:cs="Arial" w:eastAsia="Arial" w:hAnsi="Arial"/>
                <w:sz w:val="18"/>
                <w:szCs w:val="18"/>
                <w:color w:val="auto"/>
                <w:w w:val="99"/>
              </w:rPr>
              <w:t>RMI Due Diligence</w:t>
            </w:r>
          </w:p>
        </w:tc>
      </w:tr>
      <w:tr>
        <w:trPr>
          <w:trHeight w:val="203"/>
        </w:trPr>
        <w:tc>
          <w:tcPr>
            <w:tcW w:w="8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ind w:left="100"/>
              <w:spacing w:after="0" w:line="202" w:lineRule="exact"/>
              <w:rPr>
                <w:sz w:val="20"/>
                <w:szCs w:val="20"/>
                <w:color w:val="auto"/>
              </w:rPr>
            </w:pPr>
            <w:r>
              <w:rPr>
                <w:rFonts w:ascii="Arial" w:cs="Arial" w:eastAsia="Arial" w:hAnsi="Arial"/>
                <w:sz w:val="18"/>
                <w:szCs w:val="18"/>
                <w:color w:val="auto"/>
                <w:w w:val="98"/>
              </w:rPr>
              <w:t>Review - Unable to</w:t>
            </w:r>
          </w:p>
        </w:tc>
      </w:tr>
      <w:tr>
        <w:trPr>
          <w:trHeight w:val="239"/>
        </w:trPr>
        <w:tc>
          <w:tcPr>
            <w:tcW w:w="8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Proceed</w:t>
            </w:r>
          </w:p>
        </w:tc>
      </w:tr>
      <w:tr>
        <w:trPr>
          <w:trHeight w:val="27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Fidelity Printers and Refiners Ltd.</w:t>
            </w:r>
          </w:p>
        </w:tc>
        <w:tc>
          <w:tcPr>
            <w:tcW w:w="2080" w:type="dxa"/>
            <w:vAlign w:val="bottom"/>
          </w:tcPr>
          <w:p>
            <w:pPr>
              <w:ind w:left="140"/>
              <w:spacing w:after="0"/>
              <w:rPr>
                <w:sz w:val="20"/>
                <w:szCs w:val="20"/>
                <w:color w:val="auto"/>
              </w:rPr>
            </w:pPr>
            <w:r>
              <w:rPr>
                <w:rFonts w:ascii="Arial" w:cs="Arial" w:eastAsia="Arial" w:hAnsi="Arial"/>
                <w:sz w:val="18"/>
                <w:szCs w:val="18"/>
                <w:color w:val="auto"/>
              </w:rPr>
              <w:t>Zimbabwe</w:t>
            </w:r>
          </w:p>
        </w:tc>
        <w:tc>
          <w:tcPr>
            <w:tcW w:w="1380" w:type="dxa"/>
            <w:vAlign w:val="bottom"/>
          </w:tcPr>
          <w:p>
            <w:pPr>
              <w:ind w:left="380"/>
              <w:spacing w:after="0"/>
              <w:rPr>
                <w:sz w:val="20"/>
                <w:szCs w:val="20"/>
                <w:color w:val="auto"/>
              </w:rPr>
            </w:pPr>
            <w:r>
              <w:rPr>
                <w:rFonts w:ascii="Arial" w:cs="Arial" w:eastAsia="Arial" w:hAnsi="Arial"/>
                <w:sz w:val="18"/>
                <w:szCs w:val="18"/>
                <w:color w:val="auto"/>
              </w:rPr>
              <w:t>CID002515</w:t>
            </w:r>
          </w:p>
        </w:tc>
        <w:tc>
          <w:tcPr>
            <w:tcW w:w="1620" w:type="dxa"/>
            <w:vAlign w:val="bottom"/>
          </w:tcPr>
          <w:p>
            <w:pPr>
              <w:ind w:left="100"/>
              <w:spacing w:after="0"/>
              <w:rPr>
                <w:sz w:val="20"/>
                <w:szCs w:val="20"/>
                <w:color w:val="auto"/>
              </w:rPr>
            </w:pPr>
            <w:r>
              <w:rPr>
                <w:rFonts w:ascii="Arial" w:cs="Arial" w:eastAsia="Arial" w:hAnsi="Arial"/>
                <w:sz w:val="18"/>
                <w:szCs w:val="18"/>
                <w:color w:val="auto"/>
                <w:w w:val="99"/>
              </w:rPr>
              <w:t>RMI Due Diligence</w:t>
            </w:r>
          </w:p>
        </w:tc>
      </w:tr>
      <w:tr>
        <w:trPr>
          <w:trHeight w:val="203"/>
        </w:trPr>
        <w:tc>
          <w:tcPr>
            <w:tcW w:w="8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ind w:left="100"/>
              <w:spacing w:after="0" w:line="202" w:lineRule="exact"/>
              <w:rPr>
                <w:sz w:val="20"/>
                <w:szCs w:val="20"/>
                <w:color w:val="auto"/>
              </w:rPr>
            </w:pPr>
            <w:r>
              <w:rPr>
                <w:rFonts w:ascii="Arial" w:cs="Arial" w:eastAsia="Arial" w:hAnsi="Arial"/>
                <w:sz w:val="18"/>
                <w:szCs w:val="18"/>
                <w:color w:val="auto"/>
                <w:w w:val="98"/>
              </w:rPr>
              <w:t>Review - Unable to</w:t>
            </w:r>
          </w:p>
        </w:tc>
      </w:tr>
      <w:tr>
        <w:trPr>
          <w:trHeight w:val="239"/>
        </w:trPr>
        <w:tc>
          <w:tcPr>
            <w:tcW w:w="8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Proceed</w:t>
            </w:r>
          </w:p>
        </w:tc>
      </w:tr>
      <w:tr>
        <w:trPr>
          <w:trHeight w:val="27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560" w:type="dxa"/>
            <w:vAlign w:val="bottom"/>
          </w:tcPr>
          <w:p>
            <w:pPr>
              <w:ind w:left="80"/>
              <w:spacing w:after="0"/>
              <w:rPr>
                <w:sz w:val="20"/>
                <w:szCs w:val="20"/>
                <w:color w:val="auto"/>
              </w:rPr>
            </w:pPr>
            <w:r>
              <w:rPr>
                <w:rFonts w:ascii="Arial" w:cs="Arial" w:eastAsia="Arial" w:hAnsi="Arial"/>
                <w:sz w:val="18"/>
                <w:szCs w:val="18"/>
                <w:color w:val="auto"/>
              </w:rPr>
              <w:t>Hydrometallurg, JSC</w:t>
            </w:r>
          </w:p>
        </w:tc>
        <w:tc>
          <w:tcPr>
            <w:tcW w:w="2080" w:type="dxa"/>
            <w:vAlign w:val="bottom"/>
          </w:tcPr>
          <w:p>
            <w:pPr>
              <w:ind w:left="140"/>
              <w:spacing w:after="0"/>
              <w:rPr>
                <w:sz w:val="20"/>
                <w:szCs w:val="20"/>
                <w:color w:val="auto"/>
              </w:rPr>
            </w:pPr>
            <w:r>
              <w:rPr>
                <w:rFonts w:ascii="Arial" w:cs="Arial" w:eastAsia="Arial" w:hAnsi="Arial"/>
                <w:sz w:val="18"/>
                <w:szCs w:val="18"/>
                <w:color w:val="auto"/>
              </w:rPr>
              <w:t>Russian Federation</w:t>
            </w:r>
          </w:p>
        </w:tc>
        <w:tc>
          <w:tcPr>
            <w:tcW w:w="1380" w:type="dxa"/>
            <w:vAlign w:val="bottom"/>
          </w:tcPr>
          <w:p>
            <w:pPr>
              <w:ind w:left="380"/>
              <w:spacing w:after="0"/>
              <w:rPr>
                <w:sz w:val="20"/>
                <w:szCs w:val="20"/>
                <w:color w:val="auto"/>
              </w:rPr>
            </w:pPr>
            <w:r>
              <w:rPr>
                <w:rFonts w:ascii="Arial" w:cs="Arial" w:eastAsia="Arial" w:hAnsi="Arial"/>
                <w:sz w:val="18"/>
                <w:szCs w:val="18"/>
                <w:color w:val="auto"/>
              </w:rPr>
              <w:t>CID002649</w:t>
            </w:r>
          </w:p>
        </w:tc>
        <w:tc>
          <w:tcPr>
            <w:tcW w:w="1620" w:type="dxa"/>
            <w:vAlign w:val="bottom"/>
          </w:tcPr>
          <w:p>
            <w:pPr>
              <w:ind w:left="100"/>
              <w:spacing w:after="0"/>
              <w:rPr>
                <w:sz w:val="20"/>
                <w:szCs w:val="20"/>
                <w:color w:val="auto"/>
              </w:rPr>
            </w:pPr>
            <w:r>
              <w:rPr>
                <w:rFonts w:ascii="Arial" w:cs="Arial" w:eastAsia="Arial" w:hAnsi="Arial"/>
                <w:sz w:val="18"/>
                <w:szCs w:val="18"/>
                <w:color w:val="auto"/>
                <w:w w:val="99"/>
              </w:rPr>
              <w:t>RMI Due Diligence</w:t>
            </w:r>
          </w:p>
        </w:tc>
      </w:tr>
      <w:tr>
        <w:trPr>
          <w:trHeight w:val="203"/>
        </w:trPr>
        <w:tc>
          <w:tcPr>
            <w:tcW w:w="8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ind w:left="100"/>
              <w:spacing w:after="0" w:line="202" w:lineRule="exact"/>
              <w:rPr>
                <w:sz w:val="20"/>
                <w:szCs w:val="20"/>
                <w:color w:val="auto"/>
              </w:rPr>
            </w:pPr>
            <w:r>
              <w:rPr>
                <w:rFonts w:ascii="Arial" w:cs="Arial" w:eastAsia="Arial" w:hAnsi="Arial"/>
                <w:sz w:val="18"/>
                <w:szCs w:val="18"/>
                <w:color w:val="auto"/>
                <w:w w:val="98"/>
              </w:rPr>
              <w:t>Review - Unable to</w:t>
            </w:r>
          </w:p>
        </w:tc>
      </w:tr>
      <w:tr>
        <w:trPr>
          <w:trHeight w:val="239"/>
        </w:trPr>
        <w:tc>
          <w:tcPr>
            <w:tcW w:w="8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Proceed</w:t>
            </w:r>
          </w:p>
        </w:tc>
      </w:tr>
      <w:tr>
        <w:trPr>
          <w:trHeight w:val="27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4560" w:type="dxa"/>
            <w:vAlign w:val="bottom"/>
          </w:tcPr>
          <w:p>
            <w:pPr>
              <w:ind w:left="80"/>
              <w:spacing w:after="0"/>
              <w:rPr>
                <w:sz w:val="20"/>
                <w:szCs w:val="20"/>
                <w:color w:val="auto"/>
              </w:rPr>
            </w:pPr>
            <w:r>
              <w:rPr>
                <w:rFonts w:ascii="Arial" w:cs="Arial" w:eastAsia="Arial" w:hAnsi="Arial"/>
                <w:sz w:val="18"/>
                <w:szCs w:val="18"/>
                <w:color w:val="auto"/>
              </w:rPr>
              <w:t>Moliren Ltd.</w:t>
            </w:r>
          </w:p>
        </w:tc>
        <w:tc>
          <w:tcPr>
            <w:tcW w:w="2080" w:type="dxa"/>
            <w:vAlign w:val="bottom"/>
          </w:tcPr>
          <w:p>
            <w:pPr>
              <w:ind w:left="140"/>
              <w:spacing w:after="0"/>
              <w:rPr>
                <w:sz w:val="20"/>
                <w:szCs w:val="20"/>
                <w:color w:val="auto"/>
              </w:rPr>
            </w:pPr>
            <w:r>
              <w:rPr>
                <w:rFonts w:ascii="Arial" w:cs="Arial" w:eastAsia="Arial" w:hAnsi="Arial"/>
                <w:sz w:val="18"/>
                <w:szCs w:val="18"/>
                <w:color w:val="auto"/>
              </w:rPr>
              <w:t>Russian Federation</w:t>
            </w:r>
          </w:p>
        </w:tc>
        <w:tc>
          <w:tcPr>
            <w:tcW w:w="1380" w:type="dxa"/>
            <w:vAlign w:val="bottom"/>
          </w:tcPr>
          <w:p>
            <w:pPr>
              <w:ind w:left="380"/>
              <w:spacing w:after="0"/>
              <w:rPr>
                <w:sz w:val="20"/>
                <w:szCs w:val="20"/>
                <w:color w:val="auto"/>
              </w:rPr>
            </w:pPr>
            <w:r>
              <w:rPr>
                <w:rFonts w:ascii="Arial" w:cs="Arial" w:eastAsia="Arial" w:hAnsi="Arial"/>
                <w:sz w:val="18"/>
                <w:szCs w:val="18"/>
                <w:color w:val="auto"/>
              </w:rPr>
              <w:t>CID002845</w:t>
            </w:r>
          </w:p>
        </w:tc>
        <w:tc>
          <w:tcPr>
            <w:tcW w:w="1620" w:type="dxa"/>
            <w:vAlign w:val="bottom"/>
          </w:tcPr>
          <w:p>
            <w:pPr>
              <w:ind w:left="100"/>
              <w:spacing w:after="0"/>
              <w:rPr>
                <w:sz w:val="20"/>
                <w:szCs w:val="20"/>
                <w:color w:val="auto"/>
              </w:rPr>
            </w:pPr>
            <w:r>
              <w:rPr>
                <w:rFonts w:ascii="Arial" w:cs="Arial" w:eastAsia="Arial" w:hAnsi="Arial"/>
                <w:sz w:val="18"/>
                <w:szCs w:val="18"/>
                <w:color w:val="auto"/>
                <w:w w:val="99"/>
              </w:rPr>
              <w:t>RMI Due Diligence</w:t>
            </w:r>
          </w:p>
        </w:tc>
      </w:tr>
      <w:tr>
        <w:trPr>
          <w:trHeight w:val="203"/>
        </w:trPr>
        <w:tc>
          <w:tcPr>
            <w:tcW w:w="8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ind w:left="100"/>
              <w:spacing w:after="0" w:line="202" w:lineRule="exact"/>
              <w:rPr>
                <w:sz w:val="20"/>
                <w:szCs w:val="20"/>
                <w:color w:val="auto"/>
              </w:rPr>
            </w:pPr>
            <w:r>
              <w:rPr>
                <w:rFonts w:ascii="Arial" w:cs="Arial" w:eastAsia="Arial" w:hAnsi="Arial"/>
                <w:sz w:val="18"/>
                <w:szCs w:val="18"/>
                <w:color w:val="auto"/>
                <w:w w:val="98"/>
              </w:rPr>
              <w:t>Review - Unable to</w:t>
            </w:r>
          </w:p>
        </w:tc>
      </w:tr>
      <w:tr>
        <w:trPr>
          <w:trHeight w:val="239"/>
        </w:trPr>
        <w:tc>
          <w:tcPr>
            <w:tcW w:w="8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Proceed</w:t>
            </w:r>
          </w:p>
        </w:tc>
      </w:tr>
      <w:tr>
        <w:trPr>
          <w:trHeight w:val="27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Kyshtym Copper-Electrolytic Plant ZAO</w:t>
            </w:r>
          </w:p>
        </w:tc>
        <w:tc>
          <w:tcPr>
            <w:tcW w:w="2080" w:type="dxa"/>
            <w:vAlign w:val="bottom"/>
          </w:tcPr>
          <w:p>
            <w:pPr>
              <w:ind w:left="140"/>
              <w:spacing w:after="0"/>
              <w:rPr>
                <w:sz w:val="20"/>
                <w:szCs w:val="20"/>
                <w:color w:val="auto"/>
              </w:rPr>
            </w:pPr>
            <w:r>
              <w:rPr>
                <w:rFonts w:ascii="Arial" w:cs="Arial" w:eastAsia="Arial" w:hAnsi="Arial"/>
                <w:sz w:val="18"/>
                <w:szCs w:val="18"/>
                <w:color w:val="auto"/>
              </w:rPr>
              <w:t>Russian Federation</w:t>
            </w:r>
          </w:p>
        </w:tc>
        <w:tc>
          <w:tcPr>
            <w:tcW w:w="1380" w:type="dxa"/>
            <w:vAlign w:val="bottom"/>
          </w:tcPr>
          <w:p>
            <w:pPr>
              <w:ind w:left="380"/>
              <w:spacing w:after="0"/>
              <w:rPr>
                <w:sz w:val="20"/>
                <w:szCs w:val="20"/>
                <w:color w:val="auto"/>
              </w:rPr>
            </w:pPr>
            <w:r>
              <w:rPr>
                <w:rFonts w:ascii="Arial" w:cs="Arial" w:eastAsia="Arial" w:hAnsi="Arial"/>
                <w:sz w:val="18"/>
                <w:szCs w:val="18"/>
                <w:color w:val="auto"/>
              </w:rPr>
              <w:t>CID002865</w:t>
            </w:r>
          </w:p>
        </w:tc>
        <w:tc>
          <w:tcPr>
            <w:tcW w:w="1620" w:type="dxa"/>
            <w:vAlign w:val="bottom"/>
          </w:tcPr>
          <w:p>
            <w:pPr>
              <w:ind w:left="100"/>
              <w:spacing w:after="0"/>
              <w:rPr>
                <w:sz w:val="20"/>
                <w:szCs w:val="20"/>
                <w:color w:val="auto"/>
              </w:rPr>
            </w:pPr>
            <w:r>
              <w:rPr>
                <w:rFonts w:ascii="Arial" w:cs="Arial" w:eastAsia="Arial" w:hAnsi="Arial"/>
                <w:sz w:val="18"/>
                <w:szCs w:val="18"/>
                <w:color w:val="auto"/>
                <w:w w:val="99"/>
              </w:rPr>
              <w:t>RMI Due Diligence</w:t>
            </w:r>
          </w:p>
        </w:tc>
      </w:tr>
      <w:tr>
        <w:trPr>
          <w:trHeight w:val="203"/>
        </w:trPr>
        <w:tc>
          <w:tcPr>
            <w:tcW w:w="8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ind w:left="100"/>
              <w:spacing w:after="0" w:line="202" w:lineRule="exact"/>
              <w:rPr>
                <w:sz w:val="20"/>
                <w:szCs w:val="20"/>
                <w:color w:val="auto"/>
              </w:rPr>
            </w:pPr>
            <w:r>
              <w:rPr>
                <w:rFonts w:ascii="Arial" w:cs="Arial" w:eastAsia="Arial" w:hAnsi="Arial"/>
                <w:sz w:val="18"/>
                <w:szCs w:val="18"/>
                <w:color w:val="auto"/>
                <w:w w:val="98"/>
              </w:rPr>
              <w:t>Review - Unable to</w:t>
            </w:r>
          </w:p>
        </w:tc>
      </w:tr>
      <w:tr>
        <w:trPr>
          <w:trHeight w:val="239"/>
        </w:trPr>
        <w:tc>
          <w:tcPr>
            <w:tcW w:w="8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Proceed</w:t>
            </w:r>
          </w:p>
        </w:tc>
      </w:tr>
      <w:tr>
        <w:trPr>
          <w:trHeight w:val="27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4560" w:type="dxa"/>
            <w:vAlign w:val="bottom"/>
          </w:tcPr>
          <w:p>
            <w:pPr>
              <w:ind w:left="80"/>
              <w:spacing w:after="0"/>
              <w:rPr>
                <w:sz w:val="20"/>
                <w:szCs w:val="20"/>
                <w:color w:val="auto"/>
              </w:rPr>
            </w:pPr>
            <w:r>
              <w:rPr>
                <w:rFonts w:ascii="Arial" w:cs="Arial" w:eastAsia="Arial" w:hAnsi="Arial"/>
                <w:sz w:val="18"/>
                <w:szCs w:val="18"/>
                <w:color w:val="auto"/>
              </w:rPr>
              <w:t>African Gold Refinery</w:t>
            </w:r>
          </w:p>
        </w:tc>
        <w:tc>
          <w:tcPr>
            <w:tcW w:w="2080" w:type="dxa"/>
            <w:vAlign w:val="bottom"/>
          </w:tcPr>
          <w:p>
            <w:pPr>
              <w:ind w:left="140"/>
              <w:spacing w:after="0"/>
              <w:rPr>
                <w:sz w:val="20"/>
                <w:szCs w:val="20"/>
                <w:color w:val="auto"/>
              </w:rPr>
            </w:pPr>
            <w:r>
              <w:rPr>
                <w:rFonts w:ascii="Arial" w:cs="Arial" w:eastAsia="Arial" w:hAnsi="Arial"/>
                <w:sz w:val="18"/>
                <w:szCs w:val="18"/>
                <w:color w:val="auto"/>
              </w:rPr>
              <w:t>Uganda</w:t>
            </w:r>
          </w:p>
        </w:tc>
        <w:tc>
          <w:tcPr>
            <w:tcW w:w="1380" w:type="dxa"/>
            <w:vAlign w:val="bottom"/>
          </w:tcPr>
          <w:p>
            <w:pPr>
              <w:ind w:left="380"/>
              <w:spacing w:after="0"/>
              <w:rPr>
                <w:sz w:val="20"/>
                <w:szCs w:val="20"/>
                <w:color w:val="auto"/>
              </w:rPr>
            </w:pPr>
            <w:r>
              <w:rPr>
                <w:rFonts w:ascii="Arial" w:cs="Arial" w:eastAsia="Arial" w:hAnsi="Arial"/>
                <w:sz w:val="18"/>
                <w:szCs w:val="18"/>
                <w:color w:val="auto"/>
              </w:rPr>
              <w:t>CID003185</w:t>
            </w:r>
          </w:p>
        </w:tc>
        <w:tc>
          <w:tcPr>
            <w:tcW w:w="1620" w:type="dxa"/>
            <w:vAlign w:val="bottom"/>
          </w:tcPr>
          <w:p>
            <w:pPr>
              <w:ind w:left="100"/>
              <w:spacing w:after="0"/>
              <w:rPr>
                <w:sz w:val="20"/>
                <w:szCs w:val="20"/>
                <w:color w:val="auto"/>
              </w:rPr>
            </w:pPr>
            <w:r>
              <w:rPr>
                <w:rFonts w:ascii="Arial" w:cs="Arial" w:eastAsia="Arial" w:hAnsi="Arial"/>
                <w:sz w:val="18"/>
                <w:szCs w:val="18"/>
                <w:color w:val="auto"/>
                <w:w w:val="99"/>
              </w:rPr>
              <w:t>RMI Due Diligence</w:t>
            </w:r>
          </w:p>
        </w:tc>
      </w:tr>
      <w:tr>
        <w:trPr>
          <w:trHeight w:val="203"/>
        </w:trPr>
        <w:tc>
          <w:tcPr>
            <w:tcW w:w="8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ind w:left="100"/>
              <w:spacing w:after="0" w:line="202" w:lineRule="exact"/>
              <w:rPr>
                <w:sz w:val="20"/>
                <w:szCs w:val="20"/>
                <w:color w:val="auto"/>
              </w:rPr>
            </w:pPr>
            <w:r>
              <w:rPr>
                <w:rFonts w:ascii="Arial" w:cs="Arial" w:eastAsia="Arial" w:hAnsi="Arial"/>
                <w:sz w:val="18"/>
                <w:szCs w:val="18"/>
                <w:color w:val="auto"/>
                <w:w w:val="98"/>
              </w:rPr>
              <w:t>Review - Unable to</w:t>
            </w:r>
          </w:p>
        </w:tc>
      </w:tr>
      <w:tr>
        <w:trPr>
          <w:trHeight w:val="239"/>
        </w:trPr>
        <w:tc>
          <w:tcPr>
            <w:tcW w:w="8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Proceed</w:t>
            </w:r>
          </w:p>
        </w:tc>
      </w:tr>
    </w:tbl>
    <w:p>
      <w:pPr>
        <w:sectPr>
          <w:pgSz w:w="11900" w:h="16838" w:orient="portrait"/>
          <w:cols w:equalWidth="0" w:num="1">
            <w:col w:w="10440"/>
          </w:cols>
          <w:pgMar w:left="440" w:top="269" w:right="101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3740" w:type="dxa"/>
            <w:vAlign w:val="bottom"/>
          </w:tcPr>
          <w:p>
            <w:pPr>
              <w:ind w:left="80"/>
              <w:spacing w:after="0"/>
              <w:rPr>
                <w:sz w:val="20"/>
                <w:szCs w:val="20"/>
                <w:color w:val="auto"/>
              </w:rPr>
            </w:pPr>
            <w:r>
              <w:rPr>
                <w:rFonts w:ascii="Arial" w:cs="Arial" w:eastAsia="Arial" w:hAnsi="Arial"/>
                <w:sz w:val="18"/>
                <w:szCs w:val="18"/>
                <w:color w:val="auto"/>
              </w:rPr>
              <w:t>JSC “Kirovgrad Hard Alloys Plant”</w:t>
            </w:r>
          </w:p>
        </w:tc>
        <w:tc>
          <w:tcPr>
            <w:tcW w:w="2900" w:type="dxa"/>
            <w:vAlign w:val="bottom"/>
          </w:tcPr>
          <w:p>
            <w:pPr>
              <w:ind w:left="960"/>
              <w:spacing w:after="0"/>
              <w:rPr>
                <w:sz w:val="20"/>
                <w:szCs w:val="20"/>
                <w:color w:val="auto"/>
              </w:rPr>
            </w:pPr>
            <w:r>
              <w:rPr>
                <w:rFonts w:ascii="Arial" w:cs="Arial" w:eastAsia="Arial" w:hAnsi="Arial"/>
                <w:sz w:val="18"/>
                <w:szCs w:val="18"/>
                <w:color w:val="auto"/>
              </w:rPr>
              <w:t>Russian Federation</w:t>
            </w:r>
          </w:p>
        </w:tc>
        <w:tc>
          <w:tcPr>
            <w:tcW w:w="1380" w:type="dxa"/>
            <w:vAlign w:val="bottom"/>
          </w:tcPr>
          <w:p>
            <w:pPr>
              <w:ind w:left="380"/>
              <w:spacing w:after="0"/>
              <w:rPr>
                <w:sz w:val="20"/>
                <w:szCs w:val="20"/>
                <w:color w:val="auto"/>
              </w:rPr>
            </w:pPr>
            <w:r>
              <w:rPr>
                <w:rFonts w:ascii="Arial" w:cs="Arial" w:eastAsia="Arial" w:hAnsi="Arial"/>
                <w:sz w:val="18"/>
                <w:szCs w:val="18"/>
                <w:color w:val="auto"/>
              </w:rPr>
              <w:t>CID003408</w:t>
            </w:r>
          </w:p>
        </w:tc>
        <w:tc>
          <w:tcPr>
            <w:tcW w:w="1620" w:type="dxa"/>
            <w:vAlign w:val="bottom"/>
          </w:tcPr>
          <w:p>
            <w:pPr>
              <w:ind w:left="100"/>
              <w:spacing w:after="0"/>
              <w:rPr>
                <w:sz w:val="20"/>
                <w:szCs w:val="20"/>
                <w:color w:val="auto"/>
              </w:rPr>
            </w:pPr>
            <w:r>
              <w:rPr>
                <w:rFonts w:ascii="Arial" w:cs="Arial" w:eastAsia="Arial" w:hAnsi="Arial"/>
                <w:sz w:val="18"/>
                <w:szCs w:val="18"/>
                <w:color w:val="auto"/>
                <w:w w:val="99"/>
              </w:rPr>
              <w:t>RMI Due Diligence</w:t>
            </w:r>
          </w:p>
        </w:tc>
      </w:tr>
      <w:tr>
        <w:trPr>
          <w:trHeight w:val="203"/>
        </w:trPr>
        <w:tc>
          <w:tcPr>
            <w:tcW w:w="8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ind w:left="100"/>
              <w:spacing w:after="0" w:line="202" w:lineRule="exact"/>
              <w:rPr>
                <w:sz w:val="20"/>
                <w:szCs w:val="20"/>
                <w:color w:val="auto"/>
              </w:rPr>
            </w:pPr>
            <w:r>
              <w:rPr>
                <w:rFonts w:ascii="Arial" w:cs="Arial" w:eastAsia="Arial" w:hAnsi="Arial"/>
                <w:sz w:val="18"/>
                <w:szCs w:val="18"/>
                <w:color w:val="auto"/>
                <w:w w:val="98"/>
              </w:rPr>
              <w:t>Review - Unable to</w:t>
            </w:r>
          </w:p>
        </w:tc>
      </w:tr>
      <w:tr>
        <w:trPr>
          <w:trHeight w:val="239"/>
        </w:trPr>
        <w:tc>
          <w:tcPr>
            <w:tcW w:w="8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Proceed</w:t>
            </w:r>
          </w:p>
        </w:tc>
      </w:tr>
      <w:tr>
        <w:trPr>
          <w:trHeight w:val="27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3740" w:type="dxa"/>
            <w:vAlign w:val="bottom"/>
          </w:tcPr>
          <w:p>
            <w:pPr>
              <w:ind w:left="80"/>
              <w:spacing w:after="0"/>
              <w:rPr>
                <w:sz w:val="20"/>
                <w:szCs w:val="20"/>
                <w:color w:val="auto"/>
              </w:rPr>
            </w:pPr>
            <w:r>
              <w:rPr>
                <w:rFonts w:ascii="Arial" w:cs="Arial" w:eastAsia="Arial" w:hAnsi="Arial"/>
                <w:sz w:val="18"/>
                <w:szCs w:val="18"/>
                <w:color w:val="auto"/>
              </w:rPr>
              <w:t>NPP Tyazhmetprom LLC</w:t>
            </w:r>
          </w:p>
        </w:tc>
        <w:tc>
          <w:tcPr>
            <w:tcW w:w="2900" w:type="dxa"/>
            <w:vAlign w:val="bottom"/>
          </w:tcPr>
          <w:p>
            <w:pPr>
              <w:ind w:left="960"/>
              <w:spacing w:after="0"/>
              <w:rPr>
                <w:sz w:val="20"/>
                <w:szCs w:val="20"/>
                <w:color w:val="auto"/>
              </w:rPr>
            </w:pPr>
            <w:r>
              <w:rPr>
                <w:rFonts w:ascii="Arial" w:cs="Arial" w:eastAsia="Arial" w:hAnsi="Arial"/>
                <w:sz w:val="18"/>
                <w:szCs w:val="18"/>
                <w:color w:val="auto"/>
              </w:rPr>
              <w:t>Russian Federation</w:t>
            </w:r>
          </w:p>
        </w:tc>
        <w:tc>
          <w:tcPr>
            <w:tcW w:w="1380" w:type="dxa"/>
            <w:vAlign w:val="bottom"/>
          </w:tcPr>
          <w:p>
            <w:pPr>
              <w:ind w:left="380"/>
              <w:spacing w:after="0"/>
              <w:rPr>
                <w:sz w:val="20"/>
                <w:szCs w:val="20"/>
                <w:color w:val="auto"/>
              </w:rPr>
            </w:pPr>
            <w:r>
              <w:rPr>
                <w:rFonts w:ascii="Arial" w:cs="Arial" w:eastAsia="Arial" w:hAnsi="Arial"/>
                <w:sz w:val="18"/>
                <w:szCs w:val="18"/>
                <w:color w:val="auto"/>
              </w:rPr>
              <w:t>CID003416</w:t>
            </w:r>
          </w:p>
        </w:tc>
        <w:tc>
          <w:tcPr>
            <w:tcW w:w="1620" w:type="dxa"/>
            <w:vAlign w:val="bottom"/>
          </w:tcPr>
          <w:p>
            <w:pPr>
              <w:ind w:left="100"/>
              <w:spacing w:after="0"/>
              <w:rPr>
                <w:sz w:val="20"/>
                <w:szCs w:val="20"/>
                <w:color w:val="auto"/>
              </w:rPr>
            </w:pPr>
            <w:r>
              <w:rPr>
                <w:rFonts w:ascii="Arial" w:cs="Arial" w:eastAsia="Arial" w:hAnsi="Arial"/>
                <w:sz w:val="18"/>
                <w:szCs w:val="18"/>
                <w:color w:val="auto"/>
                <w:w w:val="99"/>
              </w:rPr>
              <w:t>RMI Due Diligence</w:t>
            </w:r>
          </w:p>
        </w:tc>
      </w:tr>
      <w:tr>
        <w:trPr>
          <w:trHeight w:val="203"/>
        </w:trPr>
        <w:tc>
          <w:tcPr>
            <w:tcW w:w="8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ind w:left="100"/>
              <w:spacing w:after="0" w:line="202" w:lineRule="exact"/>
              <w:rPr>
                <w:sz w:val="20"/>
                <w:szCs w:val="20"/>
                <w:color w:val="auto"/>
              </w:rPr>
            </w:pPr>
            <w:r>
              <w:rPr>
                <w:rFonts w:ascii="Arial" w:cs="Arial" w:eastAsia="Arial" w:hAnsi="Arial"/>
                <w:sz w:val="18"/>
                <w:szCs w:val="18"/>
                <w:color w:val="auto"/>
                <w:w w:val="98"/>
              </w:rPr>
              <w:t>Review - Unable to</w:t>
            </w:r>
          </w:p>
        </w:tc>
      </w:tr>
      <w:tr>
        <w:trPr>
          <w:trHeight w:val="239"/>
        </w:trPr>
        <w:tc>
          <w:tcPr>
            <w:tcW w:w="8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Proceed</w:t>
            </w:r>
          </w:p>
        </w:tc>
      </w:tr>
      <w:tr>
        <w:trPr>
          <w:trHeight w:val="27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3740" w:type="dxa"/>
            <w:vAlign w:val="bottom"/>
          </w:tcPr>
          <w:p>
            <w:pPr>
              <w:ind w:left="80"/>
              <w:spacing w:after="0"/>
              <w:rPr>
                <w:sz w:val="20"/>
                <w:szCs w:val="20"/>
                <w:color w:val="auto"/>
              </w:rPr>
            </w:pPr>
            <w:r>
              <w:rPr>
                <w:rFonts w:ascii="Arial" w:cs="Arial" w:eastAsia="Arial" w:hAnsi="Arial"/>
                <w:sz w:val="18"/>
                <w:szCs w:val="18"/>
                <w:color w:val="auto"/>
              </w:rPr>
              <w:t>OOO “Technolom” 2</w:t>
            </w:r>
          </w:p>
        </w:tc>
        <w:tc>
          <w:tcPr>
            <w:tcW w:w="2900" w:type="dxa"/>
            <w:vAlign w:val="bottom"/>
          </w:tcPr>
          <w:p>
            <w:pPr>
              <w:ind w:left="960"/>
              <w:spacing w:after="0"/>
              <w:rPr>
                <w:sz w:val="20"/>
                <w:szCs w:val="20"/>
                <w:color w:val="auto"/>
              </w:rPr>
            </w:pPr>
            <w:r>
              <w:rPr>
                <w:rFonts w:ascii="Arial" w:cs="Arial" w:eastAsia="Arial" w:hAnsi="Arial"/>
                <w:sz w:val="18"/>
                <w:szCs w:val="18"/>
                <w:color w:val="auto"/>
              </w:rPr>
              <w:t>Russian Federation</w:t>
            </w:r>
          </w:p>
        </w:tc>
        <w:tc>
          <w:tcPr>
            <w:tcW w:w="1380" w:type="dxa"/>
            <w:vAlign w:val="bottom"/>
          </w:tcPr>
          <w:p>
            <w:pPr>
              <w:ind w:left="380"/>
              <w:spacing w:after="0"/>
              <w:rPr>
                <w:sz w:val="20"/>
                <w:szCs w:val="20"/>
                <w:color w:val="auto"/>
              </w:rPr>
            </w:pPr>
            <w:r>
              <w:rPr>
                <w:rFonts w:ascii="Arial" w:cs="Arial" w:eastAsia="Arial" w:hAnsi="Arial"/>
                <w:sz w:val="18"/>
                <w:szCs w:val="18"/>
                <w:color w:val="auto"/>
              </w:rPr>
              <w:t>CID003612</w:t>
            </w:r>
          </w:p>
        </w:tc>
        <w:tc>
          <w:tcPr>
            <w:tcW w:w="1620" w:type="dxa"/>
            <w:vAlign w:val="bottom"/>
          </w:tcPr>
          <w:p>
            <w:pPr>
              <w:ind w:left="100"/>
              <w:spacing w:after="0"/>
              <w:rPr>
                <w:sz w:val="20"/>
                <w:szCs w:val="20"/>
                <w:color w:val="auto"/>
              </w:rPr>
            </w:pPr>
            <w:r>
              <w:rPr>
                <w:rFonts w:ascii="Arial" w:cs="Arial" w:eastAsia="Arial" w:hAnsi="Arial"/>
                <w:sz w:val="18"/>
                <w:szCs w:val="18"/>
                <w:color w:val="auto"/>
                <w:w w:val="99"/>
              </w:rPr>
              <w:t>RMI Due Diligence</w:t>
            </w:r>
          </w:p>
        </w:tc>
      </w:tr>
      <w:tr>
        <w:trPr>
          <w:trHeight w:val="203"/>
        </w:trPr>
        <w:tc>
          <w:tcPr>
            <w:tcW w:w="8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ind w:left="100"/>
              <w:spacing w:after="0" w:line="202" w:lineRule="exact"/>
              <w:rPr>
                <w:sz w:val="20"/>
                <w:szCs w:val="20"/>
                <w:color w:val="auto"/>
              </w:rPr>
            </w:pPr>
            <w:r>
              <w:rPr>
                <w:rFonts w:ascii="Arial" w:cs="Arial" w:eastAsia="Arial" w:hAnsi="Arial"/>
                <w:sz w:val="18"/>
                <w:szCs w:val="18"/>
                <w:color w:val="auto"/>
                <w:w w:val="98"/>
              </w:rPr>
              <w:t>Review - Unable to</w:t>
            </w:r>
          </w:p>
        </w:tc>
      </w:tr>
      <w:tr>
        <w:trPr>
          <w:trHeight w:val="239"/>
        </w:trPr>
        <w:tc>
          <w:tcPr>
            <w:tcW w:w="8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Proceed</w:t>
            </w:r>
          </w:p>
        </w:tc>
      </w:tr>
      <w:tr>
        <w:trPr>
          <w:trHeight w:val="274"/>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3740" w:type="dxa"/>
            <w:vAlign w:val="bottom"/>
          </w:tcPr>
          <w:p>
            <w:pPr>
              <w:ind w:left="80"/>
              <w:spacing w:after="0"/>
              <w:rPr>
                <w:sz w:val="20"/>
                <w:szCs w:val="20"/>
                <w:color w:val="auto"/>
              </w:rPr>
            </w:pPr>
            <w:r>
              <w:rPr>
                <w:rFonts w:ascii="Arial" w:cs="Arial" w:eastAsia="Arial" w:hAnsi="Arial"/>
                <w:sz w:val="18"/>
                <w:szCs w:val="18"/>
                <w:color w:val="auto"/>
              </w:rPr>
              <w:t>OOO “Technolom” 1</w:t>
            </w:r>
          </w:p>
        </w:tc>
        <w:tc>
          <w:tcPr>
            <w:tcW w:w="2900" w:type="dxa"/>
            <w:vAlign w:val="bottom"/>
          </w:tcPr>
          <w:p>
            <w:pPr>
              <w:ind w:left="960"/>
              <w:spacing w:after="0"/>
              <w:rPr>
                <w:sz w:val="20"/>
                <w:szCs w:val="20"/>
                <w:color w:val="auto"/>
              </w:rPr>
            </w:pPr>
            <w:r>
              <w:rPr>
                <w:rFonts w:ascii="Arial" w:cs="Arial" w:eastAsia="Arial" w:hAnsi="Arial"/>
                <w:sz w:val="18"/>
                <w:szCs w:val="18"/>
                <w:color w:val="auto"/>
              </w:rPr>
              <w:t>Russian Federation</w:t>
            </w:r>
          </w:p>
        </w:tc>
        <w:tc>
          <w:tcPr>
            <w:tcW w:w="1380" w:type="dxa"/>
            <w:vAlign w:val="bottom"/>
          </w:tcPr>
          <w:p>
            <w:pPr>
              <w:ind w:left="380"/>
              <w:spacing w:after="0"/>
              <w:rPr>
                <w:sz w:val="20"/>
                <w:szCs w:val="20"/>
                <w:color w:val="auto"/>
              </w:rPr>
            </w:pPr>
            <w:r>
              <w:rPr>
                <w:rFonts w:ascii="Arial" w:cs="Arial" w:eastAsia="Arial" w:hAnsi="Arial"/>
                <w:sz w:val="18"/>
                <w:szCs w:val="18"/>
                <w:color w:val="auto"/>
              </w:rPr>
              <w:t>CID003614</w:t>
            </w:r>
          </w:p>
        </w:tc>
        <w:tc>
          <w:tcPr>
            <w:tcW w:w="1620" w:type="dxa"/>
            <w:vAlign w:val="bottom"/>
          </w:tcPr>
          <w:p>
            <w:pPr>
              <w:ind w:left="100"/>
              <w:spacing w:after="0"/>
              <w:rPr>
                <w:sz w:val="20"/>
                <w:szCs w:val="20"/>
                <w:color w:val="auto"/>
              </w:rPr>
            </w:pPr>
            <w:r>
              <w:rPr>
                <w:rFonts w:ascii="Arial" w:cs="Arial" w:eastAsia="Arial" w:hAnsi="Arial"/>
                <w:sz w:val="18"/>
                <w:szCs w:val="18"/>
                <w:color w:val="auto"/>
                <w:w w:val="99"/>
              </w:rPr>
              <w:t>RMI Due Diligence</w:t>
            </w:r>
          </w:p>
        </w:tc>
      </w:tr>
      <w:tr>
        <w:trPr>
          <w:trHeight w:val="203"/>
        </w:trPr>
        <w:tc>
          <w:tcPr>
            <w:tcW w:w="8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ind w:left="100"/>
              <w:spacing w:after="0" w:line="202" w:lineRule="exact"/>
              <w:rPr>
                <w:sz w:val="20"/>
                <w:szCs w:val="20"/>
                <w:color w:val="auto"/>
              </w:rPr>
            </w:pPr>
            <w:r>
              <w:rPr>
                <w:rFonts w:ascii="Arial" w:cs="Arial" w:eastAsia="Arial" w:hAnsi="Arial"/>
                <w:sz w:val="18"/>
                <w:szCs w:val="18"/>
                <w:color w:val="auto"/>
                <w:w w:val="98"/>
              </w:rPr>
              <w:t>Review - Unable to</w:t>
            </w:r>
          </w:p>
        </w:tc>
      </w:tr>
      <w:tr>
        <w:trPr>
          <w:trHeight w:val="239"/>
        </w:trPr>
        <w:tc>
          <w:tcPr>
            <w:tcW w:w="8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Proceed</w:t>
            </w:r>
          </w:p>
        </w:tc>
      </w:tr>
      <w:tr>
        <w:trPr>
          <w:trHeight w:val="274"/>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3740" w:type="dxa"/>
            <w:vAlign w:val="bottom"/>
          </w:tcPr>
          <w:p>
            <w:pPr>
              <w:ind w:left="80"/>
              <w:spacing w:after="0"/>
              <w:rPr>
                <w:sz w:val="20"/>
                <w:szCs w:val="20"/>
                <w:color w:val="auto"/>
              </w:rPr>
            </w:pPr>
            <w:r>
              <w:rPr>
                <w:rFonts w:ascii="Arial" w:cs="Arial" w:eastAsia="Arial" w:hAnsi="Arial"/>
                <w:sz w:val="18"/>
                <w:szCs w:val="18"/>
                <w:color w:val="auto"/>
              </w:rPr>
              <w:t>Gasabo Gold Refinery Ltd</w:t>
            </w:r>
          </w:p>
        </w:tc>
        <w:tc>
          <w:tcPr>
            <w:tcW w:w="2900" w:type="dxa"/>
            <w:vAlign w:val="bottom"/>
          </w:tcPr>
          <w:p>
            <w:pPr>
              <w:ind w:left="960"/>
              <w:spacing w:after="0"/>
              <w:rPr>
                <w:sz w:val="20"/>
                <w:szCs w:val="20"/>
                <w:color w:val="auto"/>
              </w:rPr>
            </w:pPr>
            <w:r>
              <w:rPr>
                <w:rFonts w:ascii="Arial" w:cs="Arial" w:eastAsia="Arial" w:hAnsi="Arial"/>
                <w:sz w:val="18"/>
                <w:szCs w:val="18"/>
                <w:color w:val="auto"/>
              </w:rPr>
              <w:t>Rwanda</w:t>
            </w:r>
          </w:p>
        </w:tc>
        <w:tc>
          <w:tcPr>
            <w:tcW w:w="1380" w:type="dxa"/>
            <w:vAlign w:val="bottom"/>
          </w:tcPr>
          <w:p>
            <w:pPr>
              <w:ind w:left="380"/>
              <w:spacing w:after="0"/>
              <w:rPr>
                <w:sz w:val="20"/>
                <w:szCs w:val="20"/>
                <w:color w:val="auto"/>
              </w:rPr>
            </w:pPr>
            <w:r>
              <w:rPr>
                <w:rFonts w:ascii="Arial" w:cs="Arial" w:eastAsia="Arial" w:hAnsi="Arial"/>
                <w:sz w:val="18"/>
                <w:szCs w:val="18"/>
                <w:color w:val="auto"/>
              </w:rPr>
              <w:t>CID005006</w:t>
            </w:r>
          </w:p>
        </w:tc>
        <w:tc>
          <w:tcPr>
            <w:tcW w:w="1620" w:type="dxa"/>
            <w:vAlign w:val="bottom"/>
          </w:tcPr>
          <w:p>
            <w:pPr>
              <w:ind w:left="100"/>
              <w:spacing w:after="0"/>
              <w:rPr>
                <w:sz w:val="20"/>
                <w:szCs w:val="20"/>
                <w:color w:val="auto"/>
              </w:rPr>
            </w:pPr>
            <w:r>
              <w:rPr>
                <w:rFonts w:ascii="Arial" w:cs="Arial" w:eastAsia="Arial" w:hAnsi="Arial"/>
                <w:sz w:val="18"/>
                <w:szCs w:val="18"/>
                <w:color w:val="auto"/>
                <w:w w:val="99"/>
              </w:rPr>
              <w:t>RMI Due Diligence</w:t>
            </w:r>
          </w:p>
        </w:tc>
      </w:tr>
      <w:tr>
        <w:trPr>
          <w:trHeight w:val="203"/>
        </w:trPr>
        <w:tc>
          <w:tcPr>
            <w:tcW w:w="8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ind w:left="100"/>
              <w:spacing w:after="0" w:line="202" w:lineRule="exact"/>
              <w:rPr>
                <w:sz w:val="20"/>
                <w:szCs w:val="20"/>
                <w:color w:val="auto"/>
              </w:rPr>
            </w:pPr>
            <w:r>
              <w:rPr>
                <w:rFonts w:ascii="Arial" w:cs="Arial" w:eastAsia="Arial" w:hAnsi="Arial"/>
                <w:sz w:val="18"/>
                <w:szCs w:val="18"/>
                <w:color w:val="auto"/>
                <w:w w:val="98"/>
              </w:rPr>
              <w:t>Review - Unable to</w:t>
            </w:r>
          </w:p>
        </w:tc>
      </w:tr>
      <w:tr>
        <w:trPr>
          <w:trHeight w:val="239"/>
        </w:trPr>
        <w:tc>
          <w:tcPr>
            <w:tcW w:w="8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Proceed</w:t>
            </w:r>
          </w:p>
        </w:tc>
      </w:tr>
    </w:tbl>
    <w:p>
      <w:pPr>
        <w:sectPr>
          <w:pgSz w:w="11900" w:h="16838" w:orient="portrait"/>
          <w:cols w:equalWidth="0" w:num="1">
            <w:col w:w="10440"/>
          </w:cols>
          <w:pgMar w:left="440" w:top="265" w:right="101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7"/>
        </w:trPr>
        <w:tc>
          <w:tcPr>
            <w:tcW w:w="18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180" w:type="dxa"/>
            <w:vAlign w:val="bottom"/>
          </w:tcPr>
          <w:p>
            <w:pPr>
              <w:ind w:left="220"/>
              <w:spacing w:after="0"/>
              <w:rPr>
                <w:sz w:val="20"/>
                <w:szCs w:val="20"/>
                <w:color w:val="auto"/>
              </w:rPr>
            </w:pPr>
            <w:r>
              <w:rPr>
                <w:rFonts w:ascii="Arial" w:cs="Arial" w:eastAsia="Arial" w:hAnsi="Arial"/>
                <w:sz w:val="18"/>
                <w:szCs w:val="18"/>
                <w:b w:val="1"/>
                <w:bCs w:val="1"/>
                <w:color w:val="auto"/>
              </w:rPr>
              <w:t>Appendix B: Countries of Origin</w:t>
            </w:r>
          </w:p>
        </w:tc>
        <w:tc>
          <w:tcPr>
            <w:tcW w:w="20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438"/>
        </w:trPr>
        <w:tc>
          <w:tcPr>
            <w:tcW w:w="1860" w:type="dxa"/>
            <w:vAlign w:val="bottom"/>
          </w:tcPr>
          <w:p>
            <w:pPr>
              <w:spacing w:after="0"/>
              <w:rPr>
                <w:sz w:val="20"/>
                <w:szCs w:val="20"/>
                <w:color w:val="auto"/>
              </w:rPr>
            </w:pPr>
            <w:r>
              <w:rPr>
                <w:rFonts w:ascii="Arial" w:cs="Arial" w:eastAsia="Arial" w:hAnsi="Arial"/>
                <w:sz w:val="18"/>
                <w:szCs w:val="18"/>
                <w:color w:val="auto"/>
              </w:rPr>
              <w:t>China</w:t>
            </w:r>
          </w:p>
        </w:tc>
        <w:tc>
          <w:tcPr>
            <w:tcW w:w="2040" w:type="dxa"/>
            <w:vAlign w:val="bottom"/>
          </w:tcPr>
          <w:p>
            <w:pPr>
              <w:ind w:left="760"/>
              <w:spacing w:after="0"/>
              <w:rPr>
                <w:sz w:val="20"/>
                <w:szCs w:val="20"/>
                <w:color w:val="auto"/>
              </w:rPr>
            </w:pPr>
            <w:r>
              <w:rPr>
                <w:rFonts w:ascii="Arial" w:cs="Arial" w:eastAsia="Arial" w:hAnsi="Arial"/>
                <w:sz w:val="18"/>
                <w:szCs w:val="18"/>
                <w:color w:val="auto"/>
              </w:rPr>
              <w:t>Belgium</w:t>
            </w:r>
          </w:p>
        </w:tc>
        <w:tc>
          <w:tcPr>
            <w:tcW w:w="3180" w:type="dxa"/>
            <w:vAlign w:val="bottom"/>
          </w:tcPr>
          <w:p>
            <w:pPr>
              <w:ind w:left="920"/>
              <w:spacing w:after="0"/>
              <w:rPr>
                <w:sz w:val="20"/>
                <w:szCs w:val="20"/>
                <w:color w:val="auto"/>
              </w:rPr>
            </w:pPr>
            <w:r>
              <w:rPr>
                <w:rFonts w:ascii="Arial" w:cs="Arial" w:eastAsia="Arial" w:hAnsi="Arial"/>
                <w:sz w:val="18"/>
                <w:szCs w:val="18"/>
                <w:color w:val="auto"/>
              </w:rPr>
              <w:t>Madagascar</w:t>
            </w:r>
          </w:p>
        </w:tc>
        <w:tc>
          <w:tcPr>
            <w:tcW w:w="2040" w:type="dxa"/>
            <w:vAlign w:val="bottom"/>
          </w:tcPr>
          <w:p>
            <w:pPr>
              <w:ind w:left="200"/>
              <w:spacing w:after="0"/>
              <w:rPr>
                <w:sz w:val="20"/>
                <w:szCs w:val="20"/>
                <w:color w:val="auto"/>
              </w:rPr>
            </w:pPr>
            <w:r>
              <w:rPr>
                <w:rFonts w:ascii="Arial" w:cs="Arial" w:eastAsia="Arial" w:hAnsi="Arial"/>
                <w:sz w:val="18"/>
                <w:szCs w:val="18"/>
                <w:color w:val="auto"/>
              </w:rPr>
              <w:t>South Sudan</w:t>
            </w:r>
          </w:p>
        </w:tc>
        <w:tc>
          <w:tcPr>
            <w:tcW w:w="1320" w:type="dxa"/>
            <w:vAlign w:val="bottom"/>
          </w:tcPr>
          <w:p>
            <w:pPr>
              <w:ind w:left="140"/>
              <w:spacing w:after="0"/>
              <w:rPr>
                <w:sz w:val="20"/>
                <w:szCs w:val="20"/>
                <w:color w:val="auto"/>
              </w:rPr>
            </w:pPr>
            <w:r>
              <w:rPr>
                <w:rFonts w:ascii="Arial" w:cs="Arial" w:eastAsia="Arial" w:hAnsi="Arial"/>
                <w:sz w:val="18"/>
                <w:szCs w:val="18"/>
                <w:color w:val="auto"/>
              </w:rPr>
              <w:t>Finland</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Brazil</w:t>
            </w:r>
          </w:p>
        </w:tc>
        <w:tc>
          <w:tcPr>
            <w:tcW w:w="2040" w:type="dxa"/>
            <w:vAlign w:val="bottom"/>
          </w:tcPr>
          <w:p>
            <w:pPr>
              <w:ind w:left="760"/>
              <w:spacing w:after="0"/>
              <w:rPr>
                <w:sz w:val="20"/>
                <w:szCs w:val="20"/>
                <w:color w:val="auto"/>
              </w:rPr>
            </w:pPr>
            <w:r>
              <w:rPr>
                <w:rFonts w:ascii="Arial" w:cs="Arial" w:eastAsia="Arial" w:hAnsi="Arial"/>
                <w:sz w:val="18"/>
                <w:szCs w:val="18"/>
                <w:color w:val="auto"/>
              </w:rPr>
              <w:t>Guyana</w:t>
            </w:r>
          </w:p>
        </w:tc>
        <w:tc>
          <w:tcPr>
            <w:tcW w:w="3180" w:type="dxa"/>
            <w:vAlign w:val="bottom"/>
          </w:tcPr>
          <w:p>
            <w:pPr>
              <w:ind w:left="920"/>
              <w:spacing w:after="0"/>
              <w:rPr>
                <w:sz w:val="20"/>
                <w:szCs w:val="20"/>
                <w:color w:val="auto"/>
              </w:rPr>
            </w:pPr>
            <w:r>
              <w:rPr>
                <w:rFonts w:ascii="Arial" w:cs="Arial" w:eastAsia="Arial" w:hAnsi="Arial"/>
                <w:sz w:val="18"/>
                <w:szCs w:val="18"/>
                <w:color w:val="auto"/>
              </w:rPr>
              <w:t>Netherlands</w:t>
            </w:r>
          </w:p>
        </w:tc>
        <w:tc>
          <w:tcPr>
            <w:tcW w:w="2040" w:type="dxa"/>
            <w:vAlign w:val="bottom"/>
          </w:tcPr>
          <w:p>
            <w:pPr>
              <w:ind w:left="200"/>
              <w:spacing w:after="0"/>
              <w:rPr>
                <w:sz w:val="20"/>
                <w:szCs w:val="20"/>
                <w:color w:val="auto"/>
              </w:rPr>
            </w:pPr>
            <w:r>
              <w:rPr>
                <w:rFonts w:ascii="Arial" w:cs="Arial" w:eastAsia="Arial" w:hAnsi="Arial"/>
                <w:sz w:val="18"/>
                <w:szCs w:val="18"/>
                <w:color w:val="auto"/>
              </w:rPr>
              <w:t>Italy</w:t>
            </w:r>
          </w:p>
        </w:tc>
        <w:tc>
          <w:tcPr>
            <w:tcW w:w="1320" w:type="dxa"/>
            <w:vAlign w:val="bottom"/>
          </w:tcPr>
          <w:p>
            <w:pPr>
              <w:ind w:left="140"/>
              <w:spacing w:after="0"/>
              <w:rPr>
                <w:sz w:val="20"/>
                <w:szCs w:val="20"/>
                <w:color w:val="auto"/>
              </w:rPr>
            </w:pPr>
            <w:r>
              <w:rPr>
                <w:rFonts w:ascii="Arial" w:cs="Arial" w:eastAsia="Arial" w:hAnsi="Arial"/>
                <w:sz w:val="18"/>
                <w:szCs w:val="18"/>
                <w:color w:val="auto"/>
              </w:rPr>
              <w:t>Kyrgyzstan</w:t>
            </w:r>
          </w:p>
        </w:tc>
      </w:tr>
      <w:tr>
        <w:trPr>
          <w:trHeight w:val="288"/>
        </w:trPr>
        <w:tc>
          <w:tcPr>
            <w:tcW w:w="1860" w:type="dxa"/>
            <w:vAlign w:val="bottom"/>
          </w:tcPr>
          <w:p>
            <w:pPr>
              <w:spacing w:after="0"/>
              <w:rPr>
                <w:sz w:val="24"/>
                <w:szCs w:val="24"/>
                <w:color w:val="auto"/>
              </w:rPr>
            </w:pPr>
          </w:p>
        </w:tc>
        <w:tc>
          <w:tcPr>
            <w:tcW w:w="2040" w:type="dxa"/>
            <w:vAlign w:val="bottom"/>
          </w:tcPr>
          <w:p>
            <w:pPr>
              <w:ind w:left="760"/>
              <w:spacing w:after="0"/>
              <w:rPr>
                <w:sz w:val="20"/>
                <w:szCs w:val="20"/>
                <w:color w:val="auto"/>
              </w:rPr>
            </w:pPr>
            <w:r>
              <w:rPr>
                <w:rFonts w:ascii="Arial" w:cs="Arial" w:eastAsia="Arial" w:hAnsi="Arial"/>
                <w:sz w:val="18"/>
                <w:szCs w:val="18"/>
                <w:color w:val="auto"/>
              </w:rPr>
              <w:t>United</w:t>
            </w:r>
          </w:p>
        </w:tc>
        <w:tc>
          <w:tcPr>
            <w:tcW w:w="3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2"/>
        </w:trPr>
        <w:tc>
          <w:tcPr>
            <w:tcW w:w="1860" w:type="dxa"/>
            <w:vAlign w:val="bottom"/>
          </w:tcPr>
          <w:p>
            <w:pPr>
              <w:spacing w:after="0"/>
              <w:rPr>
                <w:sz w:val="20"/>
                <w:szCs w:val="20"/>
                <w:color w:val="auto"/>
              </w:rPr>
            </w:pPr>
            <w:r>
              <w:rPr>
                <w:rFonts w:ascii="Arial" w:cs="Arial" w:eastAsia="Arial" w:hAnsi="Arial"/>
                <w:sz w:val="18"/>
                <w:szCs w:val="18"/>
                <w:color w:val="auto"/>
              </w:rPr>
              <w:t>Australia</w:t>
            </w:r>
          </w:p>
        </w:tc>
        <w:tc>
          <w:tcPr>
            <w:tcW w:w="2040" w:type="dxa"/>
            <w:vAlign w:val="bottom"/>
          </w:tcPr>
          <w:p>
            <w:pPr>
              <w:ind w:left="760"/>
              <w:spacing w:after="0"/>
              <w:rPr>
                <w:sz w:val="20"/>
                <w:szCs w:val="20"/>
                <w:color w:val="auto"/>
              </w:rPr>
            </w:pPr>
            <w:r>
              <w:rPr>
                <w:rFonts w:ascii="Arial" w:cs="Arial" w:eastAsia="Arial" w:hAnsi="Arial"/>
                <w:sz w:val="18"/>
                <w:szCs w:val="18"/>
                <w:color w:val="auto"/>
              </w:rPr>
              <w:t>Kingdom</w:t>
            </w:r>
          </w:p>
        </w:tc>
        <w:tc>
          <w:tcPr>
            <w:tcW w:w="3180" w:type="dxa"/>
            <w:vAlign w:val="bottom"/>
          </w:tcPr>
          <w:p>
            <w:pPr>
              <w:ind w:left="920"/>
              <w:spacing w:after="0"/>
              <w:rPr>
                <w:sz w:val="20"/>
                <w:szCs w:val="20"/>
                <w:color w:val="auto"/>
              </w:rPr>
            </w:pPr>
            <w:r>
              <w:rPr>
                <w:rFonts w:ascii="Arial" w:cs="Arial" w:eastAsia="Arial" w:hAnsi="Arial"/>
                <w:sz w:val="18"/>
                <w:szCs w:val="18"/>
                <w:color w:val="auto"/>
              </w:rPr>
              <w:t>Hong Kong</w:t>
            </w:r>
          </w:p>
        </w:tc>
        <w:tc>
          <w:tcPr>
            <w:tcW w:w="2040" w:type="dxa"/>
            <w:vAlign w:val="bottom"/>
          </w:tcPr>
          <w:p>
            <w:pPr>
              <w:ind w:left="200"/>
              <w:spacing w:after="0"/>
              <w:rPr>
                <w:sz w:val="20"/>
                <w:szCs w:val="20"/>
                <w:color w:val="auto"/>
              </w:rPr>
            </w:pPr>
            <w:r>
              <w:rPr>
                <w:rFonts w:ascii="Arial" w:cs="Arial" w:eastAsia="Arial" w:hAnsi="Arial"/>
                <w:sz w:val="18"/>
                <w:szCs w:val="18"/>
                <w:color w:val="auto"/>
              </w:rPr>
              <w:t>Ghana</w:t>
            </w:r>
          </w:p>
        </w:tc>
        <w:tc>
          <w:tcPr>
            <w:tcW w:w="1320" w:type="dxa"/>
            <w:vAlign w:val="bottom"/>
          </w:tcPr>
          <w:p>
            <w:pPr>
              <w:ind w:left="140"/>
              <w:spacing w:after="0"/>
              <w:rPr>
                <w:sz w:val="20"/>
                <w:szCs w:val="20"/>
                <w:color w:val="auto"/>
              </w:rPr>
            </w:pPr>
            <w:r>
              <w:rPr>
                <w:rFonts w:ascii="Arial" w:cs="Arial" w:eastAsia="Arial" w:hAnsi="Arial"/>
                <w:sz w:val="18"/>
                <w:szCs w:val="18"/>
                <w:color w:val="auto"/>
              </w:rPr>
              <w:t>Dominica</w:t>
            </w:r>
          </w:p>
        </w:tc>
      </w:tr>
      <w:tr>
        <w:trPr>
          <w:trHeight w:val="310"/>
        </w:trPr>
        <w:tc>
          <w:tcPr>
            <w:tcW w:w="1860" w:type="dxa"/>
            <w:vAlign w:val="bottom"/>
          </w:tcPr>
          <w:p>
            <w:pPr>
              <w:spacing w:after="0"/>
              <w:rPr>
                <w:sz w:val="20"/>
                <w:szCs w:val="20"/>
                <w:color w:val="auto"/>
              </w:rPr>
            </w:pPr>
            <w:r>
              <w:rPr>
                <w:rFonts w:ascii="Arial" w:cs="Arial" w:eastAsia="Arial" w:hAnsi="Arial"/>
                <w:sz w:val="18"/>
                <w:szCs w:val="18"/>
                <w:color w:val="auto"/>
              </w:rPr>
              <w:t>Japan</w:t>
            </w:r>
          </w:p>
        </w:tc>
        <w:tc>
          <w:tcPr>
            <w:tcW w:w="2040" w:type="dxa"/>
            <w:vAlign w:val="bottom"/>
          </w:tcPr>
          <w:p>
            <w:pPr>
              <w:ind w:left="760"/>
              <w:spacing w:after="0"/>
              <w:rPr>
                <w:sz w:val="20"/>
                <w:szCs w:val="20"/>
                <w:color w:val="auto"/>
              </w:rPr>
            </w:pPr>
            <w:r>
              <w:rPr>
                <w:rFonts w:ascii="Arial" w:cs="Arial" w:eastAsia="Arial" w:hAnsi="Arial"/>
                <w:sz w:val="18"/>
                <w:szCs w:val="18"/>
                <w:color w:val="auto"/>
              </w:rPr>
              <w:t>Kazakhstan</w:t>
            </w:r>
          </w:p>
        </w:tc>
        <w:tc>
          <w:tcPr>
            <w:tcW w:w="3180" w:type="dxa"/>
            <w:vAlign w:val="bottom"/>
          </w:tcPr>
          <w:p>
            <w:pPr>
              <w:ind w:left="920"/>
              <w:spacing w:after="0"/>
              <w:rPr>
                <w:sz w:val="20"/>
                <w:szCs w:val="20"/>
                <w:color w:val="auto"/>
              </w:rPr>
            </w:pPr>
            <w:r>
              <w:rPr>
                <w:rFonts w:ascii="Arial" w:cs="Arial" w:eastAsia="Arial" w:hAnsi="Arial"/>
                <w:sz w:val="18"/>
                <w:szCs w:val="18"/>
                <w:color w:val="auto"/>
              </w:rPr>
              <w:t>Rwanda</w:t>
            </w:r>
          </w:p>
        </w:tc>
        <w:tc>
          <w:tcPr>
            <w:tcW w:w="2040" w:type="dxa"/>
            <w:vAlign w:val="bottom"/>
          </w:tcPr>
          <w:p>
            <w:pPr>
              <w:ind w:left="200"/>
              <w:spacing w:after="0"/>
              <w:rPr>
                <w:sz w:val="20"/>
                <w:szCs w:val="20"/>
                <w:color w:val="auto"/>
              </w:rPr>
            </w:pPr>
            <w:r>
              <w:rPr>
                <w:rFonts w:ascii="Arial" w:cs="Arial" w:eastAsia="Arial" w:hAnsi="Arial"/>
                <w:sz w:val="18"/>
                <w:szCs w:val="18"/>
                <w:color w:val="auto"/>
              </w:rPr>
              <w:t>Sweden</w:t>
            </w:r>
          </w:p>
        </w:tc>
        <w:tc>
          <w:tcPr>
            <w:tcW w:w="1320" w:type="dxa"/>
            <w:vAlign w:val="bottom"/>
          </w:tcPr>
          <w:p>
            <w:pPr>
              <w:ind w:left="140"/>
              <w:spacing w:after="0"/>
              <w:rPr>
                <w:sz w:val="20"/>
                <w:szCs w:val="20"/>
                <w:color w:val="auto"/>
              </w:rPr>
            </w:pPr>
            <w:r>
              <w:rPr>
                <w:rFonts w:ascii="Arial" w:cs="Arial" w:eastAsia="Arial" w:hAnsi="Arial"/>
                <w:sz w:val="18"/>
                <w:szCs w:val="18"/>
                <w:color w:val="auto"/>
              </w:rPr>
              <w:t>Benin</w:t>
            </w:r>
          </w:p>
        </w:tc>
      </w:tr>
      <w:tr>
        <w:trPr>
          <w:trHeight w:val="288"/>
        </w:trPr>
        <w:tc>
          <w:tcPr>
            <w:tcW w:w="1860" w:type="dxa"/>
            <w:vAlign w:val="bottom"/>
          </w:tcPr>
          <w:p>
            <w:pPr>
              <w:spacing w:after="0"/>
              <w:rPr>
                <w:sz w:val="20"/>
                <w:szCs w:val="20"/>
                <w:color w:val="auto"/>
              </w:rPr>
            </w:pPr>
            <w:r>
              <w:rPr>
                <w:rFonts w:ascii="Arial" w:cs="Arial" w:eastAsia="Arial" w:hAnsi="Arial"/>
                <w:sz w:val="18"/>
                <w:szCs w:val="18"/>
                <w:color w:val="auto"/>
              </w:rPr>
              <w:t>Canada</w:t>
            </w:r>
          </w:p>
        </w:tc>
        <w:tc>
          <w:tcPr>
            <w:tcW w:w="2040" w:type="dxa"/>
            <w:vAlign w:val="bottom"/>
          </w:tcPr>
          <w:p>
            <w:pPr>
              <w:ind w:left="760"/>
              <w:spacing w:after="0"/>
              <w:rPr>
                <w:sz w:val="20"/>
                <w:szCs w:val="20"/>
                <w:color w:val="auto"/>
              </w:rPr>
            </w:pPr>
            <w:r>
              <w:rPr>
                <w:rFonts w:ascii="Arial" w:cs="Arial" w:eastAsia="Arial" w:hAnsi="Arial"/>
                <w:sz w:val="18"/>
                <w:szCs w:val="18"/>
                <w:color w:val="auto"/>
              </w:rPr>
              <w:t>Hungary</w:t>
            </w:r>
          </w:p>
        </w:tc>
        <w:tc>
          <w:tcPr>
            <w:tcW w:w="3180" w:type="dxa"/>
            <w:vAlign w:val="bottom"/>
          </w:tcPr>
          <w:p>
            <w:pPr>
              <w:ind w:left="920"/>
              <w:spacing w:after="0"/>
              <w:rPr>
                <w:sz w:val="20"/>
                <w:szCs w:val="20"/>
                <w:color w:val="auto"/>
              </w:rPr>
            </w:pPr>
            <w:r>
              <w:rPr>
                <w:rFonts w:ascii="Arial" w:cs="Arial" w:eastAsia="Arial" w:hAnsi="Arial"/>
                <w:sz w:val="18"/>
                <w:szCs w:val="18"/>
                <w:color w:val="auto"/>
              </w:rPr>
              <w:t>Mozambique</w:t>
            </w:r>
          </w:p>
        </w:tc>
        <w:tc>
          <w:tcPr>
            <w:tcW w:w="2040" w:type="dxa"/>
            <w:vAlign w:val="bottom"/>
          </w:tcPr>
          <w:p>
            <w:pPr>
              <w:ind w:left="200"/>
              <w:spacing w:after="0"/>
              <w:rPr>
                <w:sz w:val="20"/>
                <w:szCs w:val="20"/>
                <w:color w:val="auto"/>
              </w:rPr>
            </w:pPr>
            <w:r>
              <w:rPr>
                <w:rFonts w:ascii="Arial" w:cs="Arial" w:eastAsia="Arial" w:hAnsi="Arial"/>
                <w:sz w:val="18"/>
                <w:szCs w:val="18"/>
                <w:color w:val="auto"/>
              </w:rPr>
              <w:t>Eritrea</w:t>
            </w:r>
          </w:p>
        </w:tc>
        <w:tc>
          <w:tcPr>
            <w:tcW w:w="1320" w:type="dxa"/>
            <w:vAlign w:val="bottom"/>
          </w:tcPr>
          <w:p>
            <w:pPr>
              <w:ind w:left="140"/>
              <w:spacing w:after="0"/>
              <w:rPr>
                <w:sz w:val="20"/>
                <w:szCs w:val="20"/>
                <w:color w:val="auto"/>
              </w:rPr>
            </w:pPr>
            <w:r>
              <w:rPr>
                <w:rFonts w:ascii="Arial" w:cs="Arial" w:eastAsia="Arial" w:hAnsi="Arial"/>
                <w:sz w:val="18"/>
                <w:szCs w:val="18"/>
                <w:color w:val="auto"/>
              </w:rPr>
              <w:t>Dominican</w:t>
            </w:r>
          </w:p>
        </w:tc>
      </w:tr>
      <w:tr>
        <w:trPr>
          <w:trHeight w:val="239"/>
        </w:trPr>
        <w:tc>
          <w:tcPr>
            <w:tcW w:w="1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20" w:type="dxa"/>
            <w:vAlign w:val="bottom"/>
          </w:tcPr>
          <w:p>
            <w:pPr>
              <w:ind w:left="140"/>
              <w:spacing w:after="0"/>
              <w:rPr>
                <w:sz w:val="20"/>
                <w:szCs w:val="20"/>
                <w:color w:val="auto"/>
              </w:rPr>
            </w:pPr>
            <w:r>
              <w:rPr>
                <w:rFonts w:ascii="Arial" w:cs="Arial" w:eastAsia="Arial" w:hAnsi="Arial"/>
                <w:sz w:val="18"/>
                <w:szCs w:val="18"/>
                <w:color w:val="auto"/>
              </w:rPr>
              <w:t>Republic</w:t>
            </w:r>
          </w:p>
        </w:tc>
      </w:tr>
      <w:tr>
        <w:trPr>
          <w:trHeight w:val="288"/>
        </w:trPr>
        <w:tc>
          <w:tcPr>
            <w:tcW w:w="1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20" w:type="dxa"/>
            <w:vAlign w:val="bottom"/>
          </w:tcPr>
          <w:p>
            <w:pPr>
              <w:ind w:left="140"/>
              <w:spacing w:after="0"/>
              <w:rPr>
                <w:sz w:val="20"/>
                <w:szCs w:val="20"/>
                <w:color w:val="auto"/>
              </w:rPr>
            </w:pPr>
            <w:r>
              <w:rPr>
                <w:rFonts w:ascii="Arial" w:cs="Arial" w:eastAsia="Arial" w:hAnsi="Arial"/>
                <w:sz w:val="18"/>
                <w:szCs w:val="18"/>
                <w:color w:val="auto"/>
                <w:w w:val="97"/>
              </w:rPr>
              <w:t>Central African</w:t>
            </w:r>
          </w:p>
        </w:tc>
      </w:tr>
      <w:tr>
        <w:trPr>
          <w:trHeight w:val="239"/>
        </w:trPr>
        <w:tc>
          <w:tcPr>
            <w:tcW w:w="1860" w:type="dxa"/>
            <w:vAlign w:val="bottom"/>
          </w:tcPr>
          <w:p>
            <w:pPr>
              <w:spacing w:after="0"/>
              <w:rPr>
                <w:sz w:val="20"/>
                <w:szCs w:val="20"/>
                <w:color w:val="auto"/>
              </w:rPr>
            </w:pPr>
            <w:r>
              <w:rPr>
                <w:rFonts w:ascii="Arial" w:cs="Arial" w:eastAsia="Arial" w:hAnsi="Arial"/>
                <w:sz w:val="18"/>
                <w:szCs w:val="18"/>
                <w:color w:val="auto"/>
              </w:rPr>
              <w:t>United States</w:t>
            </w:r>
          </w:p>
        </w:tc>
        <w:tc>
          <w:tcPr>
            <w:tcW w:w="2040" w:type="dxa"/>
            <w:vAlign w:val="bottom"/>
          </w:tcPr>
          <w:p>
            <w:pPr>
              <w:ind w:left="760"/>
              <w:spacing w:after="0"/>
              <w:rPr>
                <w:sz w:val="20"/>
                <w:szCs w:val="20"/>
                <w:color w:val="auto"/>
              </w:rPr>
            </w:pPr>
            <w:r>
              <w:rPr>
                <w:rFonts w:ascii="Arial" w:cs="Arial" w:eastAsia="Arial" w:hAnsi="Arial"/>
                <w:sz w:val="18"/>
                <w:szCs w:val="18"/>
                <w:color w:val="auto"/>
              </w:rPr>
              <w:t>Ecuador</w:t>
            </w:r>
          </w:p>
        </w:tc>
        <w:tc>
          <w:tcPr>
            <w:tcW w:w="3180" w:type="dxa"/>
            <w:vAlign w:val="bottom"/>
          </w:tcPr>
          <w:p>
            <w:pPr>
              <w:ind w:left="920"/>
              <w:spacing w:after="0"/>
              <w:rPr>
                <w:sz w:val="20"/>
                <w:szCs w:val="20"/>
                <w:color w:val="auto"/>
              </w:rPr>
            </w:pPr>
            <w:r>
              <w:rPr>
                <w:rFonts w:ascii="Arial" w:cs="Arial" w:eastAsia="Arial" w:hAnsi="Arial"/>
                <w:sz w:val="18"/>
                <w:szCs w:val="18"/>
                <w:color w:val="auto"/>
              </w:rPr>
              <w:t>Slovakia</w:t>
            </w:r>
          </w:p>
        </w:tc>
        <w:tc>
          <w:tcPr>
            <w:tcW w:w="2040" w:type="dxa"/>
            <w:vAlign w:val="bottom"/>
          </w:tcPr>
          <w:p>
            <w:pPr>
              <w:ind w:left="200"/>
              <w:spacing w:after="0"/>
              <w:rPr>
                <w:sz w:val="20"/>
                <w:szCs w:val="20"/>
                <w:color w:val="auto"/>
              </w:rPr>
            </w:pPr>
            <w:r>
              <w:rPr>
                <w:rFonts w:ascii="Arial" w:cs="Arial" w:eastAsia="Arial" w:hAnsi="Arial"/>
                <w:sz w:val="18"/>
                <w:szCs w:val="18"/>
                <w:color w:val="auto"/>
              </w:rPr>
              <w:t>Papua New Guinea</w:t>
            </w:r>
          </w:p>
        </w:tc>
        <w:tc>
          <w:tcPr>
            <w:tcW w:w="1320" w:type="dxa"/>
            <w:vAlign w:val="bottom"/>
          </w:tcPr>
          <w:p>
            <w:pPr>
              <w:ind w:left="140"/>
              <w:spacing w:after="0"/>
              <w:rPr>
                <w:sz w:val="20"/>
                <w:szCs w:val="20"/>
                <w:color w:val="auto"/>
              </w:rPr>
            </w:pPr>
            <w:r>
              <w:rPr>
                <w:rFonts w:ascii="Arial" w:cs="Arial" w:eastAsia="Arial" w:hAnsi="Arial"/>
                <w:sz w:val="18"/>
                <w:szCs w:val="18"/>
                <w:color w:val="auto"/>
              </w:rPr>
              <w:t>Republic</w:t>
            </w:r>
          </w:p>
        </w:tc>
      </w:tr>
      <w:tr>
        <w:trPr>
          <w:trHeight w:val="310"/>
        </w:trPr>
        <w:tc>
          <w:tcPr>
            <w:tcW w:w="1860" w:type="dxa"/>
            <w:vAlign w:val="bottom"/>
          </w:tcPr>
          <w:p>
            <w:pPr>
              <w:spacing w:after="0"/>
              <w:rPr>
                <w:sz w:val="20"/>
                <w:szCs w:val="20"/>
                <w:color w:val="auto"/>
              </w:rPr>
            </w:pPr>
            <w:r>
              <w:rPr>
                <w:rFonts w:ascii="Arial" w:cs="Arial" w:eastAsia="Arial" w:hAnsi="Arial"/>
                <w:sz w:val="18"/>
                <w:szCs w:val="18"/>
                <w:color w:val="auto"/>
              </w:rPr>
              <w:t>Indonesia</w:t>
            </w:r>
          </w:p>
        </w:tc>
        <w:tc>
          <w:tcPr>
            <w:tcW w:w="2040" w:type="dxa"/>
            <w:vAlign w:val="bottom"/>
          </w:tcPr>
          <w:p>
            <w:pPr>
              <w:ind w:left="760"/>
              <w:spacing w:after="0"/>
              <w:rPr>
                <w:sz w:val="20"/>
                <w:szCs w:val="20"/>
                <w:color w:val="auto"/>
              </w:rPr>
            </w:pPr>
            <w:r>
              <w:rPr>
                <w:rFonts w:ascii="Arial" w:cs="Arial" w:eastAsia="Arial" w:hAnsi="Arial"/>
                <w:sz w:val="18"/>
                <w:szCs w:val="18"/>
                <w:color w:val="auto"/>
              </w:rPr>
              <w:t>Myanmar</w:t>
            </w:r>
          </w:p>
        </w:tc>
        <w:tc>
          <w:tcPr>
            <w:tcW w:w="3180" w:type="dxa"/>
            <w:vAlign w:val="bottom"/>
          </w:tcPr>
          <w:p>
            <w:pPr>
              <w:ind w:left="920"/>
              <w:spacing w:after="0"/>
              <w:rPr>
                <w:sz w:val="20"/>
                <w:szCs w:val="20"/>
                <w:color w:val="auto"/>
              </w:rPr>
            </w:pPr>
            <w:r>
              <w:rPr>
                <w:rFonts w:ascii="Arial" w:cs="Arial" w:eastAsia="Arial" w:hAnsi="Arial"/>
                <w:sz w:val="18"/>
                <w:szCs w:val="18"/>
                <w:color w:val="auto"/>
              </w:rPr>
              <w:t>Panama</w:t>
            </w:r>
          </w:p>
        </w:tc>
        <w:tc>
          <w:tcPr>
            <w:tcW w:w="2040" w:type="dxa"/>
            <w:vAlign w:val="bottom"/>
          </w:tcPr>
          <w:p>
            <w:pPr>
              <w:ind w:left="200"/>
              <w:spacing w:after="0"/>
              <w:rPr>
                <w:sz w:val="20"/>
                <w:szCs w:val="20"/>
                <w:color w:val="auto"/>
              </w:rPr>
            </w:pPr>
            <w:r>
              <w:rPr>
                <w:rFonts w:ascii="Arial" w:cs="Arial" w:eastAsia="Arial" w:hAnsi="Arial"/>
                <w:sz w:val="18"/>
                <w:szCs w:val="18"/>
                <w:color w:val="auto"/>
              </w:rPr>
              <w:t>Saudi Arabia</w:t>
            </w:r>
          </w:p>
        </w:tc>
        <w:tc>
          <w:tcPr>
            <w:tcW w:w="1320" w:type="dxa"/>
            <w:vAlign w:val="bottom"/>
          </w:tcPr>
          <w:p>
            <w:pPr>
              <w:ind w:left="140"/>
              <w:spacing w:after="0"/>
              <w:rPr>
                <w:sz w:val="20"/>
                <w:szCs w:val="20"/>
                <w:color w:val="auto"/>
              </w:rPr>
            </w:pPr>
            <w:r>
              <w:rPr>
                <w:rFonts w:ascii="Arial" w:cs="Arial" w:eastAsia="Arial" w:hAnsi="Arial"/>
                <w:sz w:val="18"/>
                <w:szCs w:val="18"/>
                <w:color w:val="auto"/>
              </w:rPr>
              <w:t>Bulgaria</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Peru</w:t>
            </w:r>
          </w:p>
        </w:tc>
        <w:tc>
          <w:tcPr>
            <w:tcW w:w="2040" w:type="dxa"/>
            <w:vAlign w:val="bottom"/>
          </w:tcPr>
          <w:p>
            <w:pPr>
              <w:ind w:left="760"/>
              <w:spacing w:after="0"/>
              <w:rPr>
                <w:sz w:val="20"/>
                <w:szCs w:val="20"/>
                <w:color w:val="auto"/>
              </w:rPr>
            </w:pPr>
            <w:r>
              <w:rPr>
                <w:rFonts w:ascii="Arial" w:cs="Arial" w:eastAsia="Arial" w:hAnsi="Arial"/>
                <w:sz w:val="18"/>
                <w:szCs w:val="18"/>
                <w:color w:val="auto"/>
              </w:rPr>
              <w:t>Cambodia</w:t>
            </w:r>
          </w:p>
        </w:tc>
        <w:tc>
          <w:tcPr>
            <w:tcW w:w="3180" w:type="dxa"/>
            <w:vAlign w:val="bottom"/>
          </w:tcPr>
          <w:p>
            <w:pPr>
              <w:ind w:left="920"/>
              <w:spacing w:after="0"/>
              <w:rPr>
                <w:sz w:val="20"/>
                <w:szCs w:val="20"/>
                <w:color w:val="auto"/>
              </w:rPr>
            </w:pPr>
            <w:r>
              <w:rPr>
                <w:rFonts w:ascii="Arial" w:cs="Arial" w:eastAsia="Arial" w:hAnsi="Arial"/>
                <w:sz w:val="18"/>
                <w:szCs w:val="18"/>
                <w:color w:val="auto"/>
              </w:rPr>
              <w:t>South Africa</w:t>
            </w:r>
          </w:p>
        </w:tc>
        <w:tc>
          <w:tcPr>
            <w:tcW w:w="2040" w:type="dxa"/>
            <w:vAlign w:val="bottom"/>
          </w:tcPr>
          <w:p>
            <w:pPr>
              <w:ind w:left="200"/>
              <w:spacing w:after="0"/>
              <w:rPr>
                <w:sz w:val="20"/>
                <w:szCs w:val="20"/>
                <w:color w:val="auto"/>
              </w:rPr>
            </w:pPr>
            <w:r>
              <w:rPr>
                <w:rFonts w:ascii="Arial" w:cs="Arial" w:eastAsia="Arial" w:hAnsi="Arial"/>
                <w:sz w:val="18"/>
                <w:szCs w:val="18"/>
                <w:color w:val="auto"/>
              </w:rPr>
              <w:t>Belarus</w:t>
            </w:r>
          </w:p>
        </w:tc>
        <w:tc>
          <w:tcPr>
            <w:tcW w:w="1320" w:type="dxa"/>
            <w:vAlign w:val="bottom"/>
          </w:tcPr>
          <w:p>
            <w:pPr>
              <w:ind w:left="140"/>
              <w:spacing w:after="0"/>
              <w:rPr>
                <w:sz w:val="20"/>
                <w:szCs w:val="20"/>
                <w:color w:val="auto"/>
              </w:rPr>
            </w:pPr>
            <w:r>
              <w:rPr>
                <w:rFonts w:ascii="Arial" w:cs="Arial" w:eastAsia="Arial" w:hAnsi="Arial"/>
                <w:sz w:val="18"/>
                <w:szCs w:val="18"/>
                <w:color w:val="auto"/>
              </w:rPr>
              <w:t>Liberia</w:t>
            </w:r>
          </w:p>
        </w:tc>
      </w:tr>
      <w:tr>
        <w:trPr>
          <w:trHeight w:val="338"/>
        </w:trPr>
        <w:tc>
          <w:tcPr>
            <w:tcW w:w="1860" w:type="dxa"/>
            <w:vAlign w:val="bottom"/>
          </w:tcPr>
          <w:p>
            <w:pPr>
              <w:spacing w:after="0"/>
              <w:rPr>
                <w:sz w:val="20"/>
                <w:szCs w:val="20"/>
                <w:color w:val="auto"/>
              </w:rPr>
            </w:pPr>
            <w:r>
              <w:rPr>
                <w:rFonts w:ascii="Arial" w:cs="Arial" w:eastAsia="Arial" w:hAnsi="Arial"/>
                <w:sz w:val="18"/>
                <w:szCs w:val="18"/>
                <w:color w:val="auto"/>
              </w:rPr>
              <w:t>Germany</w:t>
            </w:r>
          </w:p>
        </w:tc>
        <w:tc>
          <w:tcPr>
            <w:tcW w:w="2040" w:type="dxa"/>
            <w:vAlign w:val="bottom"/>
          </w:tcPr>
          <w:p>
            <w:pPr>
              <w:ind w:left="760"/>
              <w:spacing w:after="0"/>
              <w:rPr>
                <w:sz w:val="20"/>
                <w:szCs w:val="20"/>
                <w:color w:val="auto"/>
              </w:rPr>
            </w:pPr>
            <w:r>
              <w:rPr>
                <w:rFonts w:ascii="Arial" w:cs="Arial" w:eastAsia="Arial" w:hAnsi="Arial"/>
                <w:sz w:val="18"/>
                <w:szCs w:val="18"/>
                <w:color w:val="auto"/>
              </w:rPr>
              <w:t>Luxembourg</w:t>
            </w:r>
          </w:p>
        </w:tc>
        <w:tc>
          <w:tcPr>
            <w:tcW w:w="3180" w:type="dxa"/>
            <w:vAlign w:val="bottom"/>
          </w:tcPr>
          <w:p>
            <w:pPr>
              <w:ind w:left="920"/>
              <w:spacing w:after="0"/>
              <w:rPr>
                <w:sz w:val="20"/>
                <w:szCs w:val="20"/>
                <w:color w:val="auto"/>
              </w:rPr>
            </w:pPr>
            <w:r>
              <w:rPr>
                <w:rFonts w:ascii="Arial" w:cs="Arial" w:eastAsia="Arial" w:hAnsi="Arial"/>
                <w:sz w:val="18"/>
                <w:szCs w:val="18"/>
                <w:color w:val="auto"/>
              </w:rPr>
              <w:t>Burundi</w:t>
            </w:r>
          </w:p>
        </w:tc>
        <w:tc>
          <w:tcPr>
            <w:tcW w:w="2040" w:type="dxa"/>
            <w:vAlign w:val="bottom"/>
          </w:tcPr>
          <w:p>
            <w:pPr>
              <w:ind w:left="200"/>
              <w:spacing w:after="0"/>
              <w:rPr>
                <w:sz w:val="20"/>
                <w:szCs w:val="20"/>
                <w:color w:val="auto"/>
              </w:rPr>
            </w:pPr>
            <w:r>
              <w:rPr>
                <w:rFonts w:ascii="Arial" w:cs="Arial" w:eastAsia="Arial" w:hAnsi="Arial"/>
                <w:sz w:val="18"/>
                <w:szCs w:val="18"/>
                <w:color w:val="auto"/>
              </w:rPr>
              <w:t>United Arab Emirates</w:t>
            </w:r>
          </w:p>
        </w:tc>
        <w:tc>
          <w:tcPr>
            <w:tcW w:w="1320" w:type="dxa"/>
            <w:vAlign w:val="bottom"/>
          </w:tcPr>
          <w:p>
            <w:pPr>
              <w:ind w:left="140"/>
              <w:spacing w:after="0"/>
              <w:rPr>
                <w:sz w:val="20"/>
                <w:szCs w:val="20"/>
                <w:color w:val="auto"/>
              </w:rPr>
            </w:pPr>
            <w:r>
              <w:rPr>
                <w:rFonts w:ascii="Arial" w:cs="Arial" w:eastAsia="Arial" w:hAnsi="Arial"/>
                <w:sz w:val="18"/>
                <w:szCs w:val="18"/>
                <w:color w:val="auto"/>
              </w:rPr>
              <w:t>Mauritania</w:t>
            </w:r>
          </w:p>
        </w:tc>
      </w:tr>
      <w:tr>
        <w:trPr>
          <w:trHeight w:val="311"/>
        </w:trPr>
        <w:tc>
          <w:tcPr>
            <w:tcW w:w="1860" w:type="dxa"/>
            <w:vAlign w:val="bottom"/>
          </w:tcPr>
          <w:p>
            <w:pPr>
              <w:spacing w:after="0"/>
              <w:rPr>
                <w:sz w:val="20"/>
                <w:szCs w:val="20"/>
                <w:color w:val="auto"/>
              </w:rPr>
            </w:pPr>
            <w:r>
              <w:rPr>
                <w:rFonts w:ascii="Arial" w:cs="Arial" w:eastAsia="Arial" w:hAnsi="Arial"/>
                <w:sz w:val="18"/>
                <w:szCs w:val="18"/>
                <w:color w:val="auto"/>
              </w:rPr>
              <w:t>Malaysia</w:t>
            </w:r>
          </w:p>
        </w:tc>
        <w:tc>
          <w:tcPr>
            <w:tcW w:w="2040" w:type="dxa"/>
            <w:vAlign w:val="bottom"/>
          </w:tcPr>
          <w:p>
            <w:pPr>
              <w:ind w:left="760"/>
              <w:spacing w:after="0"/>
              <w:rPr>
                <w:sz w:val="20"/>
                <w:szCs w:val="20"/>
                <w:color w:val="auto"/>
              </w:rPr>
            </w:pPr>
            <w:r>
              <w:rPr>
                <w:rFonts w:ascii="Arial" w:cs="Arial" w:eastAsia="Arial" w:hAnsi="Arial"/>
                <w:sz w:val="18"/>
                <w:szCs w:val="18"/>
                <w:color w:val="auto"/>
              </w:rPr>
              <w:t>Ireland</w:t>
            </w:r>
          </w:p>
        </w:tc>
        <w:tc>
          <w:tcPr>
            <w:tcW w:w="3180" w:type="dxa"/>
            <w:vAlign w:val="bottom"/>
          </w:tcPr>
          <w:p>
            <w:pPr>
              <w:ind w:left="920"/>
              <w:spacing w:after="0"/>
              <w:rPr>
                <w:sz w:val="20"/>
                <w:szCs w:val="20"/>
                <w:color w:val="auto"/>
              </w:rPr>
            </w:pPr>
            <w:r>
              <w:rPr>
                <w:rFonts w:ascii="Arial" w:cs="Arial" w:eastAsia="Arial" w:hAnsi="Arial"/>
                <w:sz w:val="18"/>
                <w:szCs w:val="18"/>
                <w:color w:val="auto"/>
              </w:rPr>
              <w:t>Congo</w:t>
            </w:r>
          </w:p>
        </w:tc>
        <w:tc>
          <w:tcPr>
            <w:tcW w:w="2040" w:type="dxa"/>
            <w:vAlign w:val="bottom"/>
          </w:tcPr>
          <w:p>
            <w:pPr>
              <w:ind w:left="200"/>
              <w:spacing w:after="0"/>
              <w:rPr>
                <w:sz w:val="20"/>
                <w:szCs w:val="20"/>
                <w:color w:val="auto"/>
              </w:rPr>
            </w:pPr>
            <w:r>
              <w:rPr>
                <w:rFonts w:ascii="Arial" w:cs="Arial" w:eastAsia="Arial" w:hAnsi="Arial"/>
                <w:sz w:val="18"/>
                <w:szCs w:val="18"/>
                <w:color w:val="auto"/>
              </w:rPr>
              <w:t>Mali</w:t>
            </w:r>
          </w:p>
        </w:tc>
        <w:tc>
          <w:tcPr>
            <w:tcW w:w="1320" w:type="dxa"/>
            <w:vAlign w:val="bottom"/>
          </w:tcPr>
          <w:p>
            <w:pPr>
              <w:ind w:left="140"/>
              <w:spacing w:after="0"/>
              <w:rPr>
                <w:sz w:val="20"/>
                <w:szCs w:val="20"/>
                <w:color w:val="auto"/>
              </w:rPr>
            </w:pPr>
            <w:r>
              <w:rPr>
                <w:rFonts w:ascii="Arial" w:cs="Arial" w:eastAsia="Arial" w:hAnsi="Arial"/>
                <w:sz w:val="18"/>
                <w:szCs w:val="18"/>
                <w:color w:val="auto"/>
              </w:rPr>
              <w:t>Georgia</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Chile</w:t>
            </w:r>
          </w:p>
        </w:tc>
        <w:tc>
          <w:tcPr>
            <w:tcW w:w="2040" w:type="dxa"/>
            <w:vAlign w:val="bottom"/>
          </w:tcPr>
          <w:p>
            <w:pPr>
              <w:ind w:left="760"/>
              <w:spacing w:after="0"/>
              <w:rPr>
                <w:sz w:val="20"/>
                <w:szCs w:val="20"/>
                <w:color w:val="auto"/>
              </w:rPr>
            </w:pPr>
            <w:r>
              <w:rPr>
                <w:rFonts w:ascii="Arial" w:cs="Arial" w:eastAsia="Arial" w:hAnsi="Arial"/>
                <w:sz w:val="18"/>
                <w:szCs w:val="18"/>
                <w:color w:val="auto"/>
              </w:rPr>
              <w:t>Switzerland</w:t>
            </w:r>
          </w:p>
        </w:tc>
        <w:tc>
          <w:tcPr>
            <w:tcW w:w="3180" w:type="dxa"/>
            <w:vAlign w:val="bottom"/>
          </w:tcPr>
          <w:p>
            <w:pPr>
              <w:ind w:left="920"/>
              <w:spacing w:after="0"/>
              <w:rPr>
                <w:sz w:val="20"/>
                <w:szCs w:val="20"/>
                <w:color w:val="auto"/>
              </w:rPr>
            </w:pPr>
            <w:r>
              <w:rPr>
                <w:rFonts w:ascii="Arial" w:cs="Arial" w:eastAsia="Arial" w:hAnsi="Arial"/>
                <w:sz w:val="18"/>
                <w:szCs w:val="18"/>
                <w:color w:val="auto"/>
              </w:rPr>
              <w:t>Suriname</w:t>
            </w:r>
          </w:p>
        </w:tc>
        <w:tc>
          <w:tcPr>
            <w:tcW w:w="2040" w:type="dxa"/>
            <w:vAlign w:val="bottom"/>
          </w:tcPr>
          <w:p>
            <w:pPr>
              <w:ind w:left="200"/>
              <w:spacing w:after="0"/>
              <w:rPr>
                <w:sz w:val="20"/>
                <w:szCs w:val="20"/>
                <w:color w:val="auto"/>
              </w:rPr>
            </w:pPr>
            <w:r>
              <w:rPr>
                <w:rFonts w:ascii="Arial" w:cs="Arial" w:eastAsia="Arial" w:hAnsi="Arial"/>
                <w:sz w:val="18"/>
                <w:szCs w:val="18"/>
                <w:color w:val="auto"/>
              </w:rPr>
              <w:t>Poland</w:t>
            </w:r>
          </w:p>
        </w:tc>
        <w:tc>
          <w:tcPr>
            <w:tcW w:w="1320" w:type="dxa"/>
            <w:vAlign w:val="bottom"/>
          </w:tcPr>
          <w:p>
            <w:pPr>
              <w:ind w:left="140"/>
              <w:spacing w:after="0"/>
              <w:rPr>
                <w:sz w:val="20"/>
                <w:szCs w:val="20"/>
                <w:color w:val="auto"/>
              </w:rPr>
            </w:pPr>
            <w:r>
              <w:rPr>
                <w:rFonts w:ascii="Arial" w:cs="Arial" w:eastAsia="Arial" w:hAnsi="Arial"/>
                <w:sz w:val="18"/>
                <w:szCs w:val="18"/>
                <w:color w:val="auto"/>
              </w:rPr>
              <w:t>Senegal</w:t>
            </w:r>
          </w:p>
        </w:tc>
      </w:tr>
      <w:tr>
        <w:trPr>
          <w:trHeight w:val="288"/>
        </w:trPr>
        <w:tc>
          <w:tcPr>
            <w:tcW w:w="1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180" w:type="dxa"/>
            <w:vAlign w:val="bottom"/>
          </w:tcPr>
          <w:p>
            <w:pPr>
              <w:ind w:left="920"/>
              <w:spacing w:after="0"/>
              <w:rPr>
                <w:sz w:val="20"/>
                <w:szCs w:val="20"/>
                <w:color w:val="auto"/>
              </w:rPr>
            </w:pPr>
            <w:r>
              <w:rPr>
                <w:rFonts w:ascii="Arial" w:cs="Arial" w:eastAsia="Arial" w:hAnsi="Arial"/>
                <w:sz w:val="18"/>
                <w:szCs w:val="18"/>
                <w:color w:val="auto"/>
              </w:rPr>
              <w:t>Bolivia (Plurinational</w:t>
            </w:r>
          </w:p>
        </w:tc>
        <w:tc>
          <w:tcPr>
            <w:tcW w:w="2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9"/>
        </w:trPr>
        <w:tc>
          <w:tcPr>
            <w:tcW w:w="1860" w:type="dxa"/>
            <w:vAlign w:val="bottom"/>
          </w:tcPr>
          <w:p>
            <w:pPr>
              <w:spacing w:after="0"/>
              <w:rPr>
                <w:sz w:val="20"/>
                <w:szCs w:val="20"/>
                <w:color w:val="auto"/>
              </w:rPr>
            </w:pPr>
            <w:r>
              <w:rPr>
                <w:rFonts w:ascii="Arial" w:cs="Arial" w:eastAsia="Arial" w:hAnsi="Arial"/>
                <w:sz w:val="18"/>
                <w:szCs w:val="18"/>
                <w:color w:val="auto"/>
              </w:rPr>
              <w:t>India</w:t>
            </w:r>
          </w:p>
        </w:tc>
        <w:tc>
          <w:tcPr>
            <w:tcW w:w="2040" w:type="dxa"/>
            <w:vAlign w:val="bottom"/>
          </w:tcPr>
          <w:p>
            <w:pPr>
              <w:ind w:left="760"/>
              <w:spacing w:after="0"/>
              <w:rPr>
                <w:sz w:val="20"/>
                <w:szCs w:val="20"/>
                <w:color w:val="auto"/>
              </w:rPr>
            </w:pPr>
            <w:r>
              <w:rPr>
                <w:rFonts w:ascii="Arial" w:cs="Arial" w:eastAsia="Arial" w:hAnsi="Arial"/>
                <w:sz w:val="18"/>
                <w:szCs w:val="18"/>
                <w:color w:val="auto"/>
              </w:rPr>
              <w:t>France</w:t>
            </w:r>
          </w:p>
        </w:tc>
        <w:tc>
          <w:tcPr>
            <w:tcW w:w="3180" w:type="dxa"/>
            <w:vAlign w:val="bottom"/>
          </w:tcPr>
          <w:p>
            <w:pPr>
              <w:ind w:left="920"/>
              <w:spacing w:after="0"/>
              <w:rPr>
                <w:sz w:val="20"/>
                <w:szCs w:val="20"/>
                <w:color w:val="auto"/>
              </w:rPr>
            </w:pPr>
            <w:r>
              <w:rPr>
                <w:rFonts w:ascii="Arial" w:cs="Arial" w:eastAsia="Arial" w:hAnsi="Arial"/>
                <w:sz w:val="18"/>
                <w:szCs w:val="18"/>
                <w:color w:val="auto"/>
              </w:rPr>
              <w:t>State of)</w:t>
            </w:r>
          </w:p>
        </w:tc>
        <w:tc>
          <w:tcPr>
            <w:tcW w:w="2040" w:type="dxa"/>
            <w:vAlign w:val="bottom"/>
          </w:tcPr>
          <w:p>
            <w:pPr>
              <w:ind w:left="200"/>
              <w:spacing w:after="0"/>
              <w:rPr>
                <w:sz w:val="20"/>
                <w:szCs w:val="20"/>
                <w:color w:val="auto"/>
              </w:rPr>
            </w:pPr>
            <w:r>
              <w:rPr>
                <w:rFonts w:ascii="Arial" w:cs="Arial" w:eastAsia="Arial" w:hAnsi="Arial"/>
                <w:sz w:val="18"/>
                <w:szCs w:val="18"/>
                <w:color w:val="auto"/>
              </w:rPr>
              <w:t>El Salvador</w:t>
            </w:r>
          </w:p>
        </w:tc>
        <w:tc>
          <w:tcPr>
            <w:tcW w:w="1320" w:type="dxa"/>
            <w:vAlign w:val="bottom"/>
          </w:tcPr>
          <w:p>
            <w:pPr>
              <w:ind w:left="140"/>
              <w:spacing w:after="0"/>
              <w:rPr>
                <w:sz w:val="20"/>
                <w:szCs w:val="20"/>
                <w:color w:val="auto"/>
              </w:rPr>
            </w:pPr>
            <w:r>
              <w:rPr>
                <w:rFonts w:ascii="Arial" w:cs="Arial" w:eastAsia="Arial" w:hAnsi="Arial"/>
                <w:sz w:val="18"/>
                <w:szCs w:val="18"/>
                <w:color w:val="auto"/>
              </w:rPr>
              <w:t>Tajikistan</w:t>
            </w:r>
          </w:p>
        </w:tc>
      </w:tr>
      <w:tr>
        <w:trPr>
          <w:trHeight w:val="311"/>
        </w:trPr>
        <w:tc>
          <w:tcPr>
            <w:tcW w:w="1860" w:type="dxa"/>
            <w:vAlign w:val="bottom"/>
          </w:tcPr>
          <w:p>
            <w:pPr>
              <w:spacing w:after="0"/>
              <w:rPr>
                <w:sz w:val="20"/>
                <w:szCs w:val="20"/>
                <w:color w:val="auto"/>
              </w:rPr>
            </w:pPr>
            <w:r>
              <w:rPr>
                <w:rFonts w:ascii="Arial" w:cs="Arial" w:eastAsia="Arial" w:hAnsi="Arial"/>
                <w:sz w:val="18"/>
                <w:szCs w:val="18"/>
                <w:color w:val="auto"/>
              </w:rPr>
              <w:t>Austria</w:t>
            </w:r>
          </w:p>
        </w:tc>
        <w:tc>
          <w:tcPr>
            <w:tcW w:w="2040" w:type="dxa"/>
            <w:vAlign w:val="bottom"/>
          </w:tcPr>
          <w:p>
            <w:pPr>
              <w:ind w:left="760"/>
              <w:spacing w:after="0"/>
              <w:rPr>
                <w:sz w:val="20"/>
                <w:szCs w:val="20"/>
                <w:color w:val="auto"/>
              </w:rPr>
            </w:pPr>
            <w:r>
              <w:rPr>
                <w:rFonts w:ascii="Arial" w:cs="Arial" w:eastAsia="Arial" w:hAnsi="Arial"/>
                <w:sz w:val="18"/>
                <w:szCs w:val="18"/>
                <w:color w:val="auto"/>
              </w:rPr>
              <w:t>Ethiopia</w:t>
            </w:r>
          </w:p>
        </w:tc>
        <w:tc>
          <w:tcPr>
            <w:tcW w:w="3180" w:type="dxa"/>
            <w:vAlign w:val="bottom"/>
          </w:tcPr>
          <w:p>
            <w:pPr>
              <w:ind w:left="920"/>
              <w:spacing w:after="0"/>
              <w:rPr>
                <w:sz w:val="20"/>
                <w:szCs w:val="20"/>
                <w:color w:val="auto"/>
              </w:rPr>
            </w:pPr>
            <w:r>
              <w:rPr>
                <w:rFonts w:ascii="Arial" w:cs="Arial" w:eastAsia="Arial" w:hAnsi="Arial"/>
                <w:sz w:val="18"/>
                <w:szCs w:val="18"/>
                <w:color w:val="auto"/>
              </w:rPr>
              <w:t>Philippines</w:t>
            </w:r>
          </w:p>
        </w:tc>
        <w:tc>
          <w:tcPr>
            <w:tcW w:w="2040" w:type="dxa"/>
            <w:vAlign w:val="bottom"/>
          </w:tcPr>
          <w:p>
            <w:pPr>
              <w:ind w:left="200"/>
              <w:spacing w:after="0"/>
              <w:rPr>
                <w:sz w:val="20"/>
                <w:szCs w:val="20"/>
                <w:color w:val="auto"/>
              </w:rPr>
            </w:pPr>
            <w:r>
              <w:rPr>
                <w:rFonts w:ascii="Arial" w:cs="Arial" w:eastAsia="Arial" w:hAnsi="Arial"/>
                <w:sz w:val="18"/>
                <w:szCs w:val="18"/>
                <w:color w:val="auto"/>
              </w:rPr>
              <w:t>Burkina Faso</w:t>
            </w:r>
          </w:p>
        </w:tc>
        <w:tc>
          <w:tcPr>
            <w:tcW w:w="1320" w:type="dxa"/>
            <w:vAlign w:val="bottom"/>
          </w:tcPr>
          <w:p>
            <w:pPr>
              <w:ind w:left="140"/>
              <w:spacing w:after="0"/>
              <w:rPr>
                <w:sz w:val="20"/>
                <w:szCs w:val="20"/>
                <w:color w:val="auto"/>
              </w:rPr>
            </w:pPr>
            <w:r>
              <w:rPr>
                <w:rFonts w:ascii="Arial" w:cs="Arial" w:eastAsia="Arial" w:hAnsi="Arial"/>
                <w:sz w:val="18"/>
                <w:szCs w:val="18"/>
                <w:color w:val="auto"/>
              </w:rPr>
              <w:t>Lithuania</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Korea</w:t>
            </w:r>
          </w:p>
        </w:tc>
        <w:tc>
          <w:tcPr>
            <w:tcW w:w="2040" w:type="dxa"/>
            <w:vAlign w:val="bottom"/>
          </w:tcPr>
          <w:p>
            <w:pPr>
              <w:ind w:left="760"/>
              <w:spacing w:after="0"/>
              <w:rPr>
                <w:sz w:val="20"/>
                <w:szCs w:val="20"/>
                <w:color w:val="auto"/>
              </w:rPr>
            </w:pPr>
            <w:r>
              <w:rPr>
                <w:rFonts w:ascii="Arial" w:cs="Arial" w:eastAsia="Arial" w:hAnsi="Arial"/>
                <w:sz w:val="18"/>
                <w:szCs w:val="18"/>
                <w:color w:val="auto"/>
              </w:rPr>
              <w:t>Singapore</w:t>
            </w:r>
          </w:p>
        </w:tc>
        <w:tc>
          <w:tcPr>
            <w:tcW w:w="3180" w:type="dxa"/>
            <w:vAlign w:val="bottom"/>
          </w:tcPr>
          <w:p>
            <w:pPr>
              <w:ind w:left="920"/>
              <w:spacing w:after="0"/>
              <w:rPr>
                <w:sz w:val="20"/>
                <w:szCs w:val="20"/>
                <w:color w:val="auto"/>
              </w:rPr>
            </w:pPr>
            <w:r>
              <w:rPr>
                <w:rFonts w:ascii="Arial" w:cs="Arial" w:eastAsia="Arial" w:hAnsi="Arial"/>
                <w:sz w:val="18"/>
                <w:szCs w:val="18"/>
                <w:color w:val="auto"/>
              </w:rPr>
              <w:t>Andorra</w:t>
            </w:r>
          </w:p>
        </w:tc>
        <w:tc>
          <w:tcPr>
            <w:tcW w:w="2040" w:type="dxa"/>
            <w:vAlign w:val="bottom"/>
          </w:tcPr>
          <w:p>
            <w:pPr>
              <w:ind w:left="200"/>
              <w:spacing w:after="0"/>
              <w:rPr>
                <w:sz w:val="20"/>
                <w:szCs w:val="20"/>
                <w:color w:val="auto"/>
              </w:rPr>
            </w:pPr>
            <w:r>
              <w:rPr>
                <w:rFonts w:ascii="Arial" w:cs="Arial" w:eastAsia="Arial" w:hAnsi="Arial"/>
                <w:sz w:val="18"/>
                <w:szCs w:val="18"/>
                <w:color w:val="auto"/>
              </w:rPr>
              <w:t>New Zealand</w:t>
            </w:r>
          </w:p>
        </w:tc>
        <w:tc>
          <w:tcPr>
            <w:tcW w:w="1320" w:type="dxa"/>
            <w:vAlign w:val="bottom"/>
          </w:tcPr>
          <w:p>
            <w:pPr>
              <w:ind w:left="140"/>
              <w:spacing w:after="0"/>
              <w:rPr>
                <w:sz w:val="20"/>
                <w:szCs w:val="20"/>
                <w:color w:val="auto"/>
              </w:rPr>
            </w:pPr>
            <w:r>
              <w:rPr>
                <w:rFonts w:ascii="Arial" w:cs="Arial" w:eastAsia="Arial" w:hAnsi="Arial"/>
                <w:sz w:val="18"/>
                <w:szCs w:val="18"/>
                <w:color w:val="auto"/>
              </w:rPr>
              <w:t>Uruguay</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Argentina</w:t>
            </w:r>
          </w:p>
        </w:tc>
        <w:tc>
          <w:tcPr>
            <w:tcW w:w="2040" w:type="dxa"/>
            <w:vAlign w:val="bottom"/>
          </w:tcPr>
          <w:p>
            <w:pPr>
              <w:ind w:left="760"/>
              <w:spacing w:after="0"/>
              <w:rPr>
                <w:sz w:val="20"/>
                <w:szCs w:val="20"/>
                <w:color w:val="auto"/>
              </w:rPr>
            </w:pPr>
            <w:r>
              <w:rPr>
                <w:rFonts w:ascii="Arial" w:cs="Arial" w:eastAsia="Arial" w:hAnsi="Arial"/>
                <w:sz w:val="18"/>
                <w:szCs w:val="18"/>
                <w:color w:val="auto"/>
              </w:rPr>
              <w:t>Namibia</w:t>
            </w:r>
          </w:p>
        </w:tc>
        <w:tc>
          <w:tcPr>
            <w:tcW w:w="3180" w:type="dxa"/>
            <w:vAlign w:val="bottom"/>
          </w:tcPr>
          <w:p>
            <w:pPr>
              <w:ind w:left="920"/>
              <w:spacing w:after="0"/>
              <w:rPr>
                <w:sz w:val="20"/>
                <w:szCs w:val="20"/>
                <w:color w:val="auto"/>
              </w:rPr>
            </w:pPr>
            <w:r>
              <w:rPr>
                <w:rFonts w:ascii="Arial" w:cs="Arial" w:eastAsia="Arial" w:hAnsi="Arial"/>
                <w:sz w:val="18"/>
                <w:szCs w:val="18"/>
                <w:color w:val="auto"/>
              </w:rPr>
              <w:t>Tanzania</w:t>
            </w:r>
          </w:p>
        </w:tc>
        <w:tc>
          <w:tcPr>
            <w:tcW w:w="2040" w:type="dxa"/>
            <w:vAlign w:val="bottom"/>
          </w:tcPr>
          <w:p>
            <w:pPr>
              <w:ind w:left="200"/>
              <w:spacing w:after="0"/>
              <w:rPr>
                <w:sz w:val="20"/>
                <w:szCs w:val="20"/>
                <w:color w:val="auto"/>
              </w:rPr>
            </w:pPr>
            <w:r>
              <w:rPr>
                <w:rFonts w:ascii="Arial" w:cs="Arial" w:eastAsia="Arial" w:hAnsi="Arial"/>
                <w:sz w:val="18"/>
                <w:szCs w:val="18"/>
                <w:color w:val="auto"/>
              </w:rPr>
              <w:t>Guatemala</w:t>
            </w:r>
          </w:p>
        </w:tc>
        <w:tc>
          <w:tcPr>
            <w:tcW w:w="1320" w:type="dxa"/>
            <w:vAlign w:val="bottom"/>
          </w:tcPr>
          <w:p>
            <w:pPr>
              <w:ind w:left="140"/>
              <w:spacing w:after="0"/>
              <w:rPr>
                <w:sz w:val="20"/>
                <w:szCs w:val="20"/>
                <w:color w:val="auto"/>
              </w:rPr>
            </w:pPr>
            <w:r>
              <w:rPr>
                <w:rFonts w:ascii="Arial" w:cs="Arial" w:eastAsia="Arial" w:hAnsi="Arial"/>
                <w:sz w:val="18"/>
                <w:szCs w:val="18"/>
                <w:color w:val="auto"/>
              </w:rPr>
              <w:t>Serbia</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Mongolia</w:t>
            </w:r>
          </w:p>
        </w:tc>
        <w:tc>
          <w:tcPr>
            <w:tcW w:w="2040" w:type="dxa"/>
            <w:vAlign w:val="bottom"/>
          </w:tcPr>
          <w:p>
            <w:pPr>
              <w:ind w:left="760"/>
              <w:spacing w:after="0"/>
              <w:rPr>
                <w:sz w:val="20"/>
                <w:szCs w:val="20"/>
                <w:color w:val="auto"/>
              </w:rPr>
            </w:pPr>
            <w:r>
              <w:rPr>
                <w:rFonts w:ascii="Arial" w:cs="Arial" w:eastAsia="Arial" w:hAnsi="Arial"/>
                <w:sz w:val="18"/>
                <w:szCs w:val="18"/>
                <w:color w:val="auto"/>
              </w:rPr>
              <w:t>Mexico</w:t>
            </w:r>
          </w:p>
        </w:tc>
        <w:tc>
          <w:tcPr>
            <w:tcW w:w="3180" w:type="dxa"/>
            <w:vAlign w:val="bottom"/>
          </w:tcPr>
          <w:p>
            <w:pPr>
              <w:ind w:left="920"/>
              <w:spacing w:after="0"/>
              <w:rPr>
                <w:sz w:val="20"/>
                <w:szCs w:val="20"/>
                <w:color w:val="auto"/>
              </w:rPr>
            </w:pPr>
            <w:r>
              <w:rPr>
                <w:rFonts w:ascii="Arial" w:cs="Arial" w:eastAsia="Arial" w:hAnsi="Arial"/>
                <w:sz w:val="18"/>
                <w:szCs w:val="18"/>
                <w:color w:val="auto"/>
              </w:rPr>
              <w:t>Zimbabwe</w:t>
            </w:r>
          </w:p>
        </w:tc>
        <w:tc>
          <w:tcPr>
            <w:tcW w:w="2040" w:type="dxa"/>
            <w:vAlign w:val="bottom"/>
          </w:tcPr>
          <w:p>
            <w:pPr>
              <w:ind w:left="200"/>
              <w:spacing w:after="0"/>
              <w:rPr>
                <w:sz w:val="20"/>
                <w:szCs w:val="20"/>
                <w:color w:val="auto"/>
              </w:rPr>
            </w:pPr>
            <w:r>
              <w:rPr>
                <w:rFonts w:ascii="Arial" w:cs="Arial" w:eastAsia="Arial" w:hAnsi="Arial"/>
                <w:sz w:val="18"/>
                <w:szCs w:val="18"/>
                <w:color w:val="auto"/>
              </w:rPr>
              <w:t>Azerbaijan</w:t>
            </w:r>
          </w:p>
        </w:tc>
        <w:tc>
          <w:tcPr>
            <w:tcW w:w="1320" w:type="dxa"/>
            <w:vAlign w:val="bottom"/>
          </w:tcPr>
          <w:p>
            <w:pPr>
              <w:ind w:left="140"/>
              <w:spacing w:after="0"/>
              <w:rPr>
                <w:sz w:val="20"/>
                <w:szCs w:val="20"/>
                <w:color w:val="auto"/>
              </w:rPr>
            </w:pPr>
            <w:r>
              <w:rPr>
                <w:rFonts w:ascii="Arial" w:cs="Arial" w:eastAsia="Arial" w:hAnsi="Arial"/>
                <w:sz w:val="18"/>
                <w:szCs w:val="18"/>
                <w:color w:val="auto"/>
              </w:rPr>
              <w:t>Oman</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Thailand</w:t>
            </w:r>
          </w:p>
        </w:tc>
        <w:tc>
          <w:tcPr>
            <w:tcW w:w="2040" w:type="dxa"/>
            <w:vAlign w:val="bottom"/>
          </w:tcPr>
          <w:p>
            <w:pPr>
              <w:ind w:left="760"/>
              <w:spacing w:after="0"/>
              <w:rPr>
                <w:sz w:val="20"/>
                <w:szCs w:val="20"/>
                <w:color w:val="auto"/>
              </w:rPr>
            </w:pPr>
            <w:r>
              <w:rPr>
                <w:rFonts w:ascii="Arial" w:cs="Arial" w:eastAsia="Arial" w:hAnsi="Arial"/>
                <w:sz w:val="18"/>
                <w:szCs w:val="18"/>
                <w:color w:val="auto"/>
              </w:rPr>
              <w:t>Israel</w:t>
            </w:r>
          </w:p>
        </w:tc>
        <w:tc>
          <w:tcPr>
            <w:tcW w:w="3180" w:type="dxa"/>
            <w:vAlign w:val="bottom"/>
          </w:tcPr>
          <w:p>
            <w:pPr>
              <w:ind w:left="920"/>
              <w:spacing w:after="0"/>
              <w:rPr>
                <w:sz w:val="20"/>
                <w:szCs w:val="20"/>
                <w:color w:val="auto"/>
              </w:rPr>
            </w:pPr>
            <w:r>
              <w:rPr>
                <w:rFonts w:ascii="Arial" w:cs="Arial" w:eastAsia="Arial" w:hAnsi="Arial"/>
                <w:sz w:val="18"/>
                <w:szCs w:val="18"/>
                <w:color w:val="auto"/>
              </w:rPr>
              <w:t>Guinea</w:t>
            </w:r>
          </w:p>
        </w:tc>
        <w:tc>
          <w:tcPr>
            <w:tcW w:w="2040" w:type="dxa"/>
            <w:vAlign w:val="bottom"/>
          </w:tcPr>
          <w:p>
            <w:pPr>
              <w:ind w:left="200"/>
              <w:spacing w:after="0"/>
              <w:rPr>
                <w:sz w:val="20"/>
                <w:szCs w:val="20"/>
                <w:color w:val="auto"/>
              </w:rPr>
            </w:pPr>
            <w:r>
              <w:rPr>
                <w:rFonts w:ascii="Arial" w:cs="Arial" w:eastAsia="Arial" w:hAnsi="Arial"/>
                <w:sz w:val="18"/>
                <w:szCs w:val="18"/>
                <w:color w:val="auto"/>
              </w:rPr>
              <w:t>Jersey</w:t>
            </w:r>
          </w:p>
        </w:tc>
        <w:tc>
          <w:tcPr>
            <w:tcW w:w="1320" w:type="dxa"/>
            <w:vAlign w:val="bottom"/>
          </w:tcPr>
          <w:p>
            <w:pPr>
              <w:ind w:left="140"/>
              <w:spacing w:after="0"/>
              <w:rPr>
                <w:sz w:val="20"/>
                <w:szCs w:val="20"/>
                <w:color w:val="auto"/>
              </w:rPr>
            </w:pPr>
            <w:r>
              <w:rPr>
                <w:rFonts w:ascii="Arial" w:cs="Arial" w:eastAsia="Arial" w:hAnsi="Arial"/>
                <w:sz w:val="18"/>
                <w:szCs w:val="18"/>
                <w:color w:val="auto"/>
              </w:rPr>
              <w:t>Botswana</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Colombia</w:t>
            </w:r>
          </w:p>
        </w:tc>
        <w:tc>
          <w:tcPr>
            <w:tcW w:w="2040" w:type="dxa"/>
            <w:vAlign w:val="bottom"/>
          </w:tcPr>
          <w:p>
            <w:pPr>
              <w:ind w:left="760"/>
              <w:spacing w:after="0"/>
              <w:rPr>
                <w:sz w:val="20"/>
                <w:szCs w:val="20"/>
                <w:color w:val="auto"/>
              </w:rPr>
            </w:pPr>
            <w:r>
              <w:rPr>
                <w:rFonts w:ascii="Arial" w:cs="Arial" w:eastAsia="Arial" w:hAnsi="Arial"/>
                <w:sz w:val="18"/>
                <w:szCs w:val="18"/>
                <w:color w:val="auto"/>
              </w:rPr>
              <w:t>Estonia</w:t>
            </w:r>
          </w:p>
        </w:tc>
        <w:tc>
          <w:tcPr>
            <w:tcW w:w="3180" w:type="dxa"/>
            <w:vAlign w:val="bottom"/>
          </w:tcPr>
          <w:p>
            <w:pPr>
              <w:ind w:left="920"/>
              <w:spacing w:after="0"/>
              <w:rPr>
                <w:sz w:val="20"/>
                <w:szCs w:val="20"/>
                <w:color w:val="auto"/>
              </w:rPr>
            </w:pPr>
            <w:r>
              <w:rPr>
                <w:rFonts w:ascii="Arial" w:cs="Arial" w:eastAsia="Arial" w:hAnsi="Arial"/>
                <w:sz w:val="18"/>
                <w:szCs w:val="18"/>
                <w:color w:val="auto"/>
              </w:rPr>
              <w:t>Zambia</w:t>
            </w:r>
          </w:p>
        </w:tc>
        <w:tc>
          <w:tcPr>
            <w:tcW w:w="2040" w:type="dxa"/>
            <w:vAlign w:val="bottom"/>
          </w:tcPr>
          <w:p>
            <w:pPr>
              <w:ind w:left="200"/>
              <w:spacing w:after="0"/>
              <w:rPr>
                <w:sz w:val="20"/>
                <w:szCs w:val="20"/>
                <w:color w:val="auto"/>
              </w:rPr>
            </w:pPr>
            <w:r>
              <w:rPr>
                <w:rFonts w:ascii="Arial" w:cs="Arial" w:eastAsia="Arial" w:hAnsi="Arial"/>
                <w:sz w:val="18"/>
                <w:szCs w:val="18"/>
                <w:color w:val="auto"/>
              </w:rPr>
              <w:t>Uganda</w:t>
            </w:r>
          </w:p>
        </w:tc>
        <w:tc>
          <w:tcPr>
            <w:tcW w:w="1320" w:type="dxa"/>
            <w:vAlign w:val="bottom"/>
          </w:tcPr>
          <w:p>
            <w:pPr>
              <w:ind w:left="140"/>
              <w:spacing w:after="0"/>
              <w:rPr>
                <w:sz w:val="20"/>
                <w:szCs w:val="20"/>
                <w:color w:val="auto"/>
              </w:rPr>
            </w:pPr>
            <w:r>
              <w:rPr>
                <w:rFonts w:ascii="Arial" w:cs="Arial" w:eastAsia="Arial" w:hAnsi="Arial"/>
                <w:sz w:val="18"/>
                <w:szCs w:val="18"/>
                <w:color w:val="auto"/>
              </w:rPr>
              <w:t>Kenya</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Portugal</w:t>
            </w:r>
          </w:p>
        </w:tc>
        <w:tc>
          <w:tcPr>
            <w:tcW w:w="2040" w:type="dxa"/>
            <w:vAlign w:val="bottom"/>
          </w:tcPr>
          <w:p>
            <w:pPr>
              <w:ind w:left="760"/>
              <w:spacing w:after="0"/>
              <w:rPr>
                <w:sz w:val="20"/>
                <w:szCs w:val="20"/>
                <w:color w:val="auto"/>
              </w:rPr>
            </w:pPr>
            <w:r>
              <w:rPr>
                <w:rFonts w:ascii="Arial" w:cs="Arial" w:eastAsia="Arial" w:hAnsi="Arial"/>
                <w:sz w:val="18"/>
                <w:szCs w:val="18"/>
                <w:color w:val="auto"/>
              </w:rPr>
              <w:t>Taiwan</w:t>
            </w:r>
          </w:p>
        </w:tc>
        <w:tc>
          <w:tcPr>
            <w:tcW w:w="3180" w:type="dxa"/>
            <w:vAlign w:val="bottom"/>
          </w:tcPr>
          <w:p>
            <w:pPr>
              <w:ind w:left="920"/>
              <w:spacing w:after="0"/>
              <w:rPr>
                <w:sz w:val="20"/>
                <w:szCs w:val="20"/>
                <w:color w:val="auto"/>
              </w:rPr>
            </w:pPr>
            <w:r>
              <w:rPr>
                <w:rFonts w:ascii="Arial" w:cs="Arial" w:eastAsia="Arial" w:hAnsi="Arial"/>
                <w:sz w:val="18"/>
                <w:szCs w:val="18"/>
                <w:color w:val="auto"/>
              </w:rPr>
              <w:t>Djibouti</w:t>
            </w:r>
          </w:p>
        </w:tc>
        <w:tc>
          <w:tcPr>
            <w:tcW w:w="2040" w:type="dxa"/>
            <w:vAlign w:val="bottom"/>
          </w:tcPr>
          <w:p>
            <w:pPr>
              <w:ind w:left="200"/>
              <w:spacing w:after="0"/>
              <w:rPr>
                <w:sz w:val="20"/>
                <w:szCs w:val="20"/>
                <w:color w:val="auto"/>
              </w:rPr>
            </w:pPr>
            <w:r>
              <w:rPr>
                <w:rFonts w:ascii="Arial" w:cs="Arial" w:eastAsia="Arial" w:hAnsi="Arial"/>
                <w:sz w:val="18"/>
                <w:szCs w:val="18"/>
                <w:color w:val="auto"/>
              </w:rPr>
              <w:t>Armenia</w:t>
            </w:r>
          </w:p>
        </w:tc>
        <w:tc>
          <w:tcPr>
            <w:tcW w:w="1320" w:type="dxa"/>
            <w:vAlign w:val="bottom"/>
          </w:tcPr>
          <w:p>
            <w:pPr>
              <w:ind w:left="140"/>
              <w:spacing w:after="0"/>
              <w:rPr>
                <w:sz w:val="20"/>
                <w:szCs w:val="20"/>
                <w:color w:val="auto"/>
              </w:rPr>
            </w:pPr>
            <w:r>
              <w:rPr>
                <w:rFonts w:ascii="Arial" w:cs="Arial" w:eastAsia="Arial" w:hAnsi="Arial"/>
                <w:sz w:val="18"/>
                <w:szCs w:val="18"/>
                <w:color w:val="auto"/>
              </w:rPr>
              <w:t>Fiji</w:t>
            </w:r>
          </w:p>
        </w:tc>
      </w:tr>
      <w:tr>
        <w:trPr>
          <w:trHeight w:val="288"/>
        </w:trPr>
        <w:tc>
          <w:tcPr>
            <w:tcW w:w="1860" w:type="dxa"/>
            <w:vAlign w:val="bottom"/>
          </w:tcPr>
          <w:p>
            <w:pPr>
              <w:spacing w:after="0"/>
              <w:rPr>
                <w:sz w:val="24"/>
                <w:szCs w:val="24"/>
                <w:color w:val="auto"/>
              </w:rPr>
            </w:pPr>
          </w:p>
        </w:tc>
        <w:tc>
          <w:tcPr>
            <w:tcW w:w="5220" w:type="dxa"/>
            <w:vAlign w:val="bottom"/>
            <w:gridSpan w:val="2"/>
          </w:tcPr>
          <w:p>
            <w:pPr>
              <w:ind w:left="760"/>
              <w:spacing w:after="0"/>
              <w:rPr>
                <w:sz w:val="20"/>
                <w:szCs w:val="20"/>
                <w:color w:val="auto"/>
              </w:rPr>
            </w:pPr>
            <w:r>
              <w:rPr>
                <w:rFonts w:ascii="Arial" w:cs="Arial" w:eastAsia="Arial" w:hAnsi="Arial"/>
                <w:sz w:val="18"/>
                <w:szCs w:val="18"/>
                <w:color w:val="auto"/>
              </w:rPr>
              <w:t>Democratic Republic of</w:t>
            </w:r>
          </w:p>
        </w:tc>
        <w:tc>
          <w:tcPr>
            <w:tcW w:w="2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9"/>
        </w:trPr>
        <w:tc>
          <w:tcPr>
            <w:tcW w:w="1860" w:type="dxa"/>
            <w:vAlign w:val="bottom"/>
          </w:tcPr>
          <w:p>
            <w:pPr>
              <w:spacing w:after="0"/>
              <w:rPr>
                <w:sz w:val="20"/>
                <w:szCs w:val="20"/>
                <w:color w:val="auto"/>
              </w:rPr>
            </w:pPr>
            <w:r>
              <w:rPr>
                <w:rFonts w:ascii="Arial" w:cs="Arial" w:eastAsia="Arial" w:hAnsi="Arial"/>
                <w:sz w:val="18"/>
                <w:szCs w:val="18"/>
                <w:color w:val="auto"/>
              </w:rPr>
              <w:t>Spain</w:t>
            </w:r>
          </w:p>
        </w:tc>
        <w:tc>
          <w:tcPr>
            <w:tcW w:w="2040" w:type="dxa"/>
            <w:vAlign w:val="bottom"/>
          </w:tcPr>
          <w:p>
            <w:pPr>
              <w:ind w:left="760"/>
              <w:spacing w:after="0"/>
              <w:rPr>
                <w:sz w:val="20"/>
                <w:szCs w:val="20"/>
                <w:color w:val="auto"/>
              </w:rPr>
            </w:pPr>
            <w:r>
              <w:rPr>
                <w:rFonts w:ascii="Arial" w:cs="Arial" w:eastAsia="Arial" w:hAnsi="Arial"/>
                <w:sz w:val="18"/>
                <w:szCs w:val="18"/>
                <w:color w:val="auto"/>
              </w:rPr>
              <w:t>Congo</w:t>
            </w:r>
          </w:p>
        </w:tc>
        <w:tc>
          <w:tcPr>
            <w:tcW w:w="3180" w:type="dxa"/>
            <w:vAlign w:val="bottom"/>
          </w:tcPr>
          <w:p>
            <w:pPr>
              <w:ind w:left="920"/>
              <w:spacing w:after="0"/>
              <w:rPr>
                <w:sz w:val="20"/>
                <w:szCs w:val="20"/>
                <w:color w:val="auto"/>
              </w:rPr>
            </w:pPr>
            <w:r>
              <w:rPr>
                <w:rFonts w:ascii="Arial" w:cs="Arial" w:eastAsia="Arial" w:hAnsi="Arial"/>
                <w:sz w:val="18"/>
                <w:szCs w:val="18"/>
                <w:color w:val="auto"/>
              </w:rPr>
              <w:t>Uzbekistan</w:t>
            </w:r>
          </w:p>
        </w:tc>
        <w:tc>
          <w:tcPr>
            <w:tcW w:w="2040" w:type="dxa"/>
            <w:vAlign w:val="bottom"/>
          </w:tcPr>
          <w:p>
            <w:pPr>
              <w:ind w:left="200"/>
              <w:spacing w:after="0"/>
              <w:rPr>
                <w:sz w:val="20"/>
                <w:szCs w:val="20"/>
                <w:color w:val="auto"/>
              </w:rPr>
            </w:pPr>
            <w:r>
              <w:rPr>
                <w:rFonts w:ascii="Arial" w:cs="Arial" w:eastAsia="Arial" w:hAnsi="Arial"/>
                <w:sz w:val="18"/>
                <w:szCs w:val="18"/>
                <w:color w:val="auto"/>
              </w:rPr>
              <w:t>Morocco</w:t>
            </w:r>
          </w:p>
        </w:tc>
        <w:tc>
          <w:tcPr>
            <w:tcW w:w="1320" w:type="dxa"/>
            <w:vAlign w:val="bottom"/>
          </w:tcPr>
          <w:p>
            <w:pPr>
              <w:ind w:left="140"/>
              <w:spacing w:after="0"/>
              <w:rPr>
                <w:sz w:val="20"/>
                <w:szCs w:val="20"/>
                <w:color w:val="auto"/>
              </w:rPr>
            </w:pPr>
            <w:r>
              <w:rPr>
                <w:rFonts w:ascii="Arial" w:cs="Arial" w:eastAsia="Arial" w:hAnsi="Arial"/>
                <w:sz w:val="18"/>
                <w:szCs w:val="18"/>
                <w:color w:val="auto"/>
              </w:rPr>
              <w:t>Cyprus</w:t>
            </w:r>
          </w:p>
        </w:tc>
      </w:tr>
      <w:tr>
        <w:trPr>
          <w:trHeight w:val="310"/>
        </w:trPr>
        <w:tc>
          <w:tcPr>
            <w:tcW w:w="1860" w:type="dxa"/>
            <w:vAlign w:val="bottom"/>
          </w:tcPr>
          <w:p>
            <w:pPr>
              <w:spacing w:after="0"/>
              <w:rPr>
                <w:sz w:val="20"/>
                <w:szCs w:val="20"/>
                <w:color w:val="auto"/>
              </w:rPr>
            </w:pPr>
            <w:r>
              <w:rPr>
                <w:rFonts w:ascii="Arial" w:cs="Arial" w:eastAsia="Arial" w:hAnsi="Arial"/>
                <w:sz w:val="18"/>
                <w:szCs w:val="18"/>
                <w:color w:val="auto"/>
              </w:rPr>
              <w:t>Niger</w:t>
            </w:r>
          </w:p>
        </w:tc>
        <w:tc>
          <w:tcPr>
            <w:tcW w:w="2040" w:type="dxa"/>
            <w:vAlign w:val="bottom"/>
          </w:tcPr>
          <w:p>
            <w:pPr>
              <w:ind w:left="760"/>
              <w:spacing w:after="0"/>
              <w:rPr>
                <w:sz w:val="20"/>
                <w:szCs w:val="20"/>
                <w:color w:val="auto"/>
              </w:rPr>
            </w:pPr>
            <w:r>
              <w:rPr>
                <w:rFonts w:ascii="Arial" w:cs="Arial" w:eastAsia="Arial" w:hAnsi="Arial"/>
                <w:sz w:val="18"/>
                <w:szCs w:val="18"/>
                <w:color w:val="auto"/>
              </w:rPr>
              <w:t>Viet Nam</w:t>
            </w:r>
          </w:p>
        </w:tc>
        <w:tc>
          <w:tcPr>
            <w:tcW w:w="3180" w:type="dxa"/>
            <w:vAlign w:val="bottom"/>
          </w:tcPr>
          <w:p>
            <w:pPr>
              <w:ind w:left="920"/>
              <w:spacing w:after="0"/>
              <w:rPr>
                <w:sz w:val="20"/>
                <w:szCs w:val="20"/>
                <w:color w:val="auto"/>
              </w:rPr>
            </w:pPr>
            <w:r>
              <w:rPr>
                <w:rFonts w:ascii="Arial" w:cs="Arial" w:eastAsia="Arial" w:hAnsi="Arial"/>
                <w:sz w:val="18"/>
                <w:szCs w:val="18"/>
                <w:color w:val="auto"/>
              </w:rPr>
              <w:t>Turkey</w:t>
            </w:r>
          </w:p>
        </w:tc>
        <w:tc>
          <w:tcPr>
            <w:tcW w:w="2040" w:type="dxa"/>
            <w:vAlign w:val="bottom"/>
          </w:tcPr>
          <w:p>
            <w:pPr>
              <w:ind w:left="200"/>
              <w:spacing w:after="0"/>
              <w:rPr>
                <w:sz w:val="20"/>
                <w:szCs w:val="20"/>
                <w:color w:val="auto"/>
              </w:rPr>
            </w:pPr>
            <w:r>
              <w:rPr>
                <w:rFonts w:ascii="Arial" w:cs="Arial" w:eastAsia="Arial" w:hAnsi="Arial"/>
                <w:sz w:val="18"/>
                <w:szCs w:val="18"/>
                <w:color w:val="auto"/>
              </w:rPr>
              <w:t>Liechtenstein</w:t>
            </w:r>
          </w:p>
        </w:tc>
        <w:tc>
          <w:tcPr>
            <w:tcW w:w="1320" w:type="dxa"/>
            <w:vAlign w:val="bottom"/>
          </w:tcPr>
          <w:p>
            <w:pPr>
              <w:ind w:left="140"/>
              <w:spacing w:after="0"/>
              <w:rPr>
                <w:sz w:val="20"/>
                <w:szCs w:val="20"/>
                <w:color w:val="auto"/>
              </w:rPr>
            </w:pPr>
            <w:r>
              <w:rPr>
                <w:rFonts w:ascii="Arial" w:cs="Arial" w:eastAsia="Arial" w:hAnsi="Arial"/>
                <w:sz w:val="18"/>
                <w:szCs w:val="18"/>
                <w:color w:val="auto"/>
              </w:rPr>
              <w:t>Albania</w:t>
            </w:r>
          </w:p>
        </w:tc>
      </w:tr>
      <w:tr>
        <w:trPr>
          <w:trHeight w:val="288"/>
        </w:trPr>
        <w:tc>
          <w:tcPr>
            <w:tcW w:w="1860" w:type="dxa"/>
            <w:vAlign w:val="bottom"/>
          </w:tcPr>
          <w:p>
            <w:pPr>
              <w:spacing w:after="0"/>
              <w:rPr>
                <w:sz w:val="20"/>
                <w:szCs w:val="20"/>
                <w:color w:val="auto"/>
              </w:rPr>
            </w:pPr>
            <w:r>
              <w:rPr>
                <w:rFonts w:ascii="Arial" w:cs="Arial" w:eastAsia="Arial" w:hAnsi="Arial"/>
                <w:sz w:val="18"/>
                <w:szCs w:val="18"/>
                <w:color w:val="auto"/>
              </w:rPr>
              <w:t>Russian</w:t>
            </w:r>
          </w:p>
        </w:tc>
        <w:tc>
          <w:tcPr>
            <w:tcW w:w="20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2"/>
        </w:trPr>
        <w:tc>
          <w:tcPr>
            <w:tcW w:w="1860" w:type="dxa"/>
            <w:vAlign w:val="bottom"/>
          </w:tcPr>
          <w:p>
            <w:pPr>
              <w:spacing w:after="0"/>
              <w:rPr>
                <w:sz w:val="20"/>
                <w:szCs w:val="20"/>
                <w:color w:val="auto"/>
              </w:rPr>
            </w:pPr>
            <w:r>
              <w:rPr>
                <w:rFonts w:ascii="Arial" w:cs="Arial" w:eastAsia="Arial" w:hAnsi="Arial"/>
                <w:sz w:val="18"/>
                <w:szCs w:val="18"/>
                <w:color w:val="auto"/>
              </w:rPr>
              <w:t>Federation</w:t>
            </w:r>
          </w:p>
        </w:tc>
        <w:tc>
          <w:tcPr>
            <w:tcW w:w="2040" w:type="dxa"/>
            <w:vAlign w:val="bottom"/>
          </w:tcPr>
          <w:p>
            <w:pPr>
              <w:ind w:left="760"/>
              <w:spacing w:after="0"/>
              <w:rPr>
                <w:sz w:val="20"/>
                <w:szCs w:val="20"/>
                <w:color w:val="auto"/>
              </w:rPr>
            </w:pPr>
            <w:r>
              <w:rPr>
                <w:rFonts w:ascii="Arial" w:cs="Arial" w:eastAsia="Arial" w:hAnsi="Arial"/>
                <w:sz w:val="18"/>
                <w:szCs w:val="18"/>
                <w:color w:val="auto"/>
              </w:rPr>
              <w:t>Sierra Leone</w:t>
            </w:r>
          </w:p>
        </w:tc>
        <w:tc>
          <w:tcPr>
            <w:tcW w:w="3180" w:type="dxa"/>
            <w:vAlign w:val="bottom"/>
          </w:tcPr>
          <w:p>
            <w:pPr>
              <w:ind w:left="920"/>
              <w:spacing w:after="0"/>
              <w:rPr>
                <w:sz w:val="20"/>
                <w:szCs w:val="20"/>
                <w:color w:val="auto"/>
              </w:rPr>
            </w:pPr>
            <w:r>
              <w:rPr>
                <w:rFonts w:ascii="Arial" w:cs="Arial" w:eastAsia="Arial" w:hAnsi="Arial"/>
                <w:sz w:val="18"/>
                <w:szCs w:val="18"/>
                <w:color w:val="auto"/>
              </w:rPr>
              <w:t>Sudan</w:t>
            </w:r>
          </w:p>
        </w:tc>
        <w:tc>
          <w:tcPr>
            <w:tcW w:w="2040" w:type="dxa"/>
            <w:vAlign w:val="bottom"/>
          </w:tcPr>
          <w:p>
            <w:pPr>
              <w:ind w:left="200"/>
              <w:spacing w:after="0"/>
              <w:rPr>
                <w:sz w:val="20"/>
                <w:szCs w:val="20"/>
                <w:color w:val="auto"/>
              </w:rPr>
            </w:pPr>
            <w:r>
              <w:rPr>
                <w:rFonts w:ascii="Arial" w:cs="Arial" w:eastAsia="Arial" w:hAnsi="Arial"/>
                <w:sz w:val="18"/>
                <w:szCs w:val="18"/>
                <w:color w:val="auto"/>
              </w:rPr>
              <w:t>Nicaragua</w:t>
            </w:r>
          </w:p>
        </w:tc>
        <w:tc>
          <w:tcPr>
            <w:tcW w:w="1320" w:type="dxa"/>
            <w:vAlign w:val="bottom"/>
          </w:tcPr>
          <w:p>
            <w:pPr>
              <w:ind w:left="140"/>
              <w:spacing w:after="0"/>
              <w:rPr>
                <w:sz w:val="20"/>
                <w:szCs w:val="20"/>
                <w:color w:val="auto"/>
              </w:rPr>
            </w:pPr>
            <w:r>
              <w:rPr>
                <w:rFonts w:ascii="Arial" w:cs="Arial" w:eastAsia="Arial" w:hAnsi="Arial"/>
                <w:sz w:val="18"/>
                <w:szCs w:val="18"/>
                <w:color w:val="auto"/>
              </w:rPr>
              <w:t>Bermuda</w:t>
            </w:r>
          </w:p>
        </w:tc>
      </w:tr>
      <w:tr>
        <w:trPr>
          <w:trHeight w:val="274"/>
        </w:trPr>
        <w:tc>
          <w:tcPr>
            <w:tcW w:w="18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320" w:type="dxa"/>
            <w:vAlign w:val="bottom"/>
          </w:tcPr>
          <w:p>
            <w:pPr>
              <w:ind w:left="140"/>
              <w:spacing w:after="0"/>
              <w:rPr>
                <w:sz w:val="20"/>
                <w:szCs w:val="20"/>
                <w:color w:val="auto"/>
              </w:rPr>
            </w:pPr>
            <w:r>
              <w:rPr>
                <w:rFonts w:ascii="Arial" w:cs="Arial" w:eastAsia="Arial" w:hAnsi="Arial"/>
                <w:sz w:val="18"/>
                <w:szCs w:val="18"/>
                <w:color w:val="auto"/>
              </w:rPr>
              <w:t>Solomon</w:t>
            </w:r>
          </w:p>
        </w:tc>
      </w:tr>
      <w:tr>
        <w:trPr>
          <w:trHeight w:val="252"/>
        </w:trPr>
        <w:tc>
          <w:tcPr>
            <w:tcW w:w="1860" w:type="dxa"/>
            <w:vAlign w:val="bottom"/>
          </w:tcPr>
          <w:p>
            <w:pPr>
              <w:spacing w:after="0"/>
              <w:rPr>
                <w:sz w:val="20"/>
                <w:szCs w:val="20"/>
                <w:color w:val="auto"/>
              </w:rPr>
            </w:pPr>
            <w:r>
              <w:rPr>
                <w:rFonts w:ascii="Arial" w:cs="Arial" w:eastAsia="Arial" w:hAnsi="Arial"/>
                <w:sz w:val="18"/>
                <w:szCs w:val="18"/>
                <w:color w:val="auto"/>
              </w:rPr>
              <w:t>Nigeria</w:t>
            </w:r>
          </w:p>
        </w:tc>
        <w:tc>
          <w:tcPr>
            <w:tcW w:w="2040" w:type="dxa"/>
            <w:vAlign w:val="bottom"/>
          </w:tcPr>
          <w:p>
            <w:pPr>
              <w:ind w:left="760"/>
              <w:spacing w:after="0"/>
              <w:rPr>
                <w:sz w:val="20"/>
                <w:szCs w:val="20"/>
                <w:color w:val="auto"/>
              </w:rPr>
            </w:pPr>
            <w:r>
              <w:rPr>
                <w:rFonts w:ascii="Arial" w:cs="Arial" w:eastAsia="Arial" w:hAnsi="Arial"/>
                <w:sz w:val="18"/>
                <w:szCs w:val="18"/>
                <w:color w:val="auto"/>
              </w:rPr>
              <w:t>Egypt</w:t>
            </w:r>
          </w:p>
        </w:tc>
        <w:tc>
          <w:tcPr>
            <w:tcW w:w="3180" w:type="dxa"/>
            <w:vAlign w:val="bottom"/>
          </w:tcPr>
          <w:p>
            <w:pPr>
              <w:ind w:left="920"/>
              <w:spacing w:after="0"/>
              <w:rPr>
                <w:sz w:val="20"/>
                <w:szCs w:val="20"/>
                <w:color w:val="auto"/>
              </w:rPr>
            </w:pPr>
            <w:r>
              <w:rPr>
                <w:rFonts w:ascii="Arial" w:cs="Arial" w:eastAsia="Arial" w:hAnsi="Arial"/>
                <w:sz w:val="18"/>
                <w:szCs w:val="18"/>
                <w:color w:val="auto"/>
              </w:rPr>
              <w:t>Angola</w:t>
            </w:r>
          </w:p>
        </w:tc>
        <w:tc>
          <w:tcPr>
            <w:tcW w:w="2040" w:type="dxa"/>
            <w:vAlign w:val="bottom"/>
          </w:tcPr>
          <w:p>
            <w:pPr>
              <w:ind w:left="200"/>
              <w:spacing w:after="0"/>
              <w:rPr>
                <w:sz w:val="20"/>
                <w:szCs w:val="20"/>
                <w:color w:val="auto"/>
              </w:rPr>
            </w:pPr>
            <w:r>
              <w:rPr>
                <w:rFonts w:ascii="Arial" w:cs="Arial" w:eastAsia="Arial" w:hAnsi="Arial"/>
                <w:sz w:val="18"/>
                <w:szCs w:val="18"/>
                <w:color w:val="auto"/>
              </w:rPr>
              <w:t>Honduras</w:t>
            </w:r>
          </w:p>
        </w:tc>
        <w:tc>
          <w:tcPr>
            <w:tcW w:w="1320" w:type="dxa"/>
            <w:vAlign w:val="bottom"/>
          </w:tcPr>
          <w:p>
            <w:pPr>
              <w:ind w:left="140"/>
              <w:spacing w:after="0"/>
              <w:rPr>
                <w:sz w:val="20"/>
                <w:szCs w:val="20"/>
                <w:color w:val="auto"/>
              </w:rPr>
            </w:pPr>
            <w:r>
              <w:rPr>
                <w:rFonts w:ascii="Arial" w:cs="Arial" w:eastAsia="Arial" w:hAnsi="Arial"/>
                <w:sz w:val="18"/>
                <w:szCs w:val="18"/>
                <w:color w:val="auto"/>
              </w:rPr>
              <w:t>Islands</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sectPr>
      <w:pgSz w:w="11900" w:h="16838" w:orient="portrait"/>
      <w:cols w:equalWidth="0" w:num="1">
        <w:col w:w="10440"/>
      </w:cols>
      <w:pgMar w:left="440" w:top="269"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1."/>
      <w:numFmt w:val="decimal"/>
      <w:start w:val="4"/>
    </w:lvl>
  </w:abstractNum>
  <w:abstractNum w:abstractNumId="9">
    <w:nsid w:val="216231B"/>
    <w:multiLevelType w:val="hybridMultilevel"/>
    <w:lvl w:ilvl="0">
      <w:lvlJc w:val="left"/>
      <w:lvlText w:val="%1."/>
      <w:numFmt w:val="decimal"/>
      <w:start w:val="5"/>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2026-05-21T11:15:19Z</dcterms:created>
  <dcterms:modified xsi:type="dcterms:W3CDTF">2026-05-21T11:15:19Z</dcterms:modified>
</cp:coreProperties>
</file>