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6"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6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172085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34"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On June 17, 2024, Olivier Le Peuch, CEO of SLB, presented at the J.P. Morgan Energy, Power &amp; Renewables Conference in New York, New York, where he discussed, among other things, SLB’s performance strategy and outlook. Slides in connection with the conference are available on the SLB Investor Relations website at https://investorcenter.slb.com/news-events/events-presentations.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Securities and Exchange Commission (SEC).</w:t>
      </w:r>
    </w:p>
    <w:p>
      <w:pPr>
        <w:spacing w:after="0" w:line="189"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The presentation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ectPr>
          <w:pgSz w:w="11900" w:h="16838" w:orient="portrait"/>
          <w:cols w:equalWidth="0" w:num="1">
            <w:col w:w="11000"/>
          </w:cols>
          <w:pgMar w:left="440" w:top="296" w:right="459" w:bottom="1440" w:gutter="0" w:footer="0" w:header="0"/>
        </w:sectPr>
      </w:pPr>
    </w:p>
    <w:bookmarkStart w:id="2" w:name="page3"/>
    <w:bookmarkEnd w:id="2"/>
    <w:p>
      <w:pPr>
        <w:ind w:firstLine="440"/>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the presentation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the date of the presentation, and SLB disclaims any intention or obligation to update publicly or revise such statements, whether as a result of new information, future events, or otherwise.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proposed transaction, SLB filed with the Securities and Exchange Commission (the “SEC”) a registration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on Form S-4 on April 29, 2024 (as amended, the “Form S-4”) that includes a proxy statement of ChampionX and that also</w:t>
      </w:r>
    </w:p>
    <w:p>
      <w:pPr>
        <w:spacing w:after="0" w:line="234" w:lineRule="auto"/>
        <w:rPr>
          <w:sz w:val="20"/>
          <w:szCs w:val="20"/>
          <w:color w:val="auto"/>
        </w:rPr>
      </w:pPr>
      <w:r>
        <w:rPr>
          <w:rFonts w:ascii="Arial" w:cs="Arial" w:eastAsia="Arial" w:hAnsi="Arial"/>
          <w:sz w:val="18"/>
          <w:szCs w:val="18"/>
          <w:color w:val="auto"/>
        </w:rPr>
        <w:t>constitutes a prospectus of SLB with respect to the shares of SLB to be issued in the proposed transaction (the “proxy</w:t>
      </w:r>
    </w:p>
    <w:p>
      <w:pPr>
        <w:spacing w:after="0" w:line="235" w:lineRule="auto"/>
        <w:rPr>
          <w:sz w:val="20"/>
          <w:szCs w:val="20"/>
          <w:color w:val="auto"/>
        </w:rPr>
      </w:pPr>
      <w:r>
        <w:rPr>
          <w:rFonts w:ascii="Arial" w:cs="Arial" w:eastAsia="Arial" w:hAnsi="Arial"/>
          <w:sz w:val="18"/>
          <w:szCs w:val="18"/>
          <w:color w:val="auto"/>
        </w:rPr>
        <w:t>statement/prospectus”). The Form S-4 was declared effective by the SEC on May 15, 2024. SLB and ChampionX filed the definitive proxy</w:t>
      </w:r>
    </w:p>
    <w:p>
      <w:pPr>
        <w:spacing w:after="0" w:line="235" w:lineRule="auto"/>
        <w:rPr>
          <w:sz w:val="20"/>
          <w:szCs w:val="20"/>
          <w:color w:val="auto"/>
        </w:rPr>
      </w:pPr>
      <w:r>
        <w:rPr>
          <w:rFonts w:ascii="Arial" w:cs="Arial" w:eastAsia="Arial" w:hAnsi="Arial"/>
          <w:sz w:val="18"/>
          <w:szCs w:val="18"/>
          <w:color w:val="auto"/>
        </w:rPr>
        <w:t>statement/prospectus with the SEC on May 15, 2024</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https://www.sec.gov/Archives/edgar/data/87347/000119312524139403/d818663d424b3.htm</w:t>
      </w:r>
      <w:r>
        <w:rPr>
          <w:rFonts w:ascii="Arial" w:cs="Arial" w:eastAsia="Arial" w:hAnsi="Arial"/>
          <w:sz w:val="18"/>
          <w:szCs w:val="18"/>
          <w:color w:val="auto"/>
        </w:rPr>
        <w:t>), and it was first mailed to ChampionX</w:t>
      </w:r>
    </w:p>
    <w:p>
      <w:pPr>
        <w:spacing w:after="0" w:line="235" w:lineRule="auto"/>
        <w:rPr>
          <w:sz w:val="20"/>
          <w:szCs w:val="20"/>
          <w:color w:val="auto"/>
        </w:rPr>
      </w:pPr>
      <w:r>
        <w:rPr>
          <w:rFonts w:ascii="Arial" w:cs="Arial" w:eastAsia="Arial" w:hAnsi="Arial"/>
          <w:sz w:val="18"/>
          <w:szCs w:val="18"/>
          <w:color w:val="auto"/>
        </w:rPr>
        <w:t>stockholders on or about May 15, 2024. Each of SLB and ChampionX may also file other relevant documents with the SEC regarding the</w:t>
      </w:r>
    </w:p>
    <w:p>
      <w:pPr>
        <w:spacing w:after="0" w:line="234" w:lineRule="auto"/>
        <w:rPr>
          <w:sz w:val="20"/>
          <w:szCs w:val="20"/>
          <w:color w:val="auto"/>
        </w:rPr>
      </w:pPr>
      <w:r>
        <w:rPr>
          <w:rFonts w:ascii="Arial" w:cs="Arial" w:eastAsia="Arial" w:hAnsi="Arial"/>
          <w:sz w:val="18"/>
          <w:szCs w:val="18"/>
          <w:color w:val="auto"/>
        </w:rPr>
        <w:t>proposed transaction. This document is not a substitute for the Form S-4 or proxy statement/prospectus or any other document that SLB</w:t>
      </w:r>
    </w:p>
    <w:p>
      <w:pPr>
        <w:spacing w:after="0" w:line="235" w:lineRule="auto"/>
        <w:rPr>
          <w:sz w:val="20"/>
          <w:szCs w:val="20"/>
          <w:color w:val="auto"/>
        </w:rPr>
      </w:pPr>
      <w:r>
        <w:rPr>
          <w:rFonts w:ascii="Arial" w:cs="Arial" w:eastAsia="Arial" w:hAnsi="Arial"/>
          <w:sz w:val="18"/>
          <w:szCs w:val="18"/>
          <w:color w:val="auto"/>
        </w:rPr>
        <w:t>or ChampionX may file with the SEC. INVESTORS AND SECURITY HOLDERS ARE URGED TO READ THE REGISTRATION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STATEMENT, THE PROXY STATEMENT/PROSPECTUS AND ANY OTHER RELEVANT DOCUMENTS THAT MAY BE FILED WITH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 AS WELL AS ANY AMENDMENTS OR SUPPLEMENTS TO THESE DOCUMENTS, CAREFULLY AND IN THEIR ENTIRETY IF</w:t>
      </w:r>
    </w:p>
    <w:p>
      <w:pPr>
        <w:spacing w:after="0" w:line="234" w:lineRule="auto"/>
        <w:rPr>
          <w:sz w:val="20"/>
          <w:szCs w:val="20"/>
          <w:color w:val="auto"/>
        </w:rPr>
      </w:pPr>
      <w:r>
        <w:rPr>
          <w:rFonts w:ascii="Arial" w:cs="Arial" w:eastAsia="Arial" w:hAnsi="Arial"/>
          <w:sz w:val="18"/>
          <w:szCs w:val="18"/>
          <w:color w:val="auto"/>
        </w:rPr>
        <w:t>AND WHEN THEY BECOME AVAILABLE BECAUSE THEY CONTAIN OR WILL CONTAIN IMPORTANT INFORMATION ABOUT THE</w:t>
      </w:r>
    </w:p>
    <w:p>
      <w:pPr>
        <w:spacing w:after="0" w:line="235" w:lineRule="auto"/>
        <w:rPr>
          <w:sz w:val="20"/>
          <w:szCs w:val="20"/>
          <w:color w:val="auto"/>
        </w:rPr>
      </w:pPr>
      <w:r>
        <w:rPr>
          <w:rFonts w:ascii="Arial" w:cs="Arial" w:eastAsia="Arial" w:hAnsi="Arial"/>
          <w:sz w:val="18"/>
          <w:szCs w:val="18"/>
          <w:color w:val="auto"/>
        </w:rPr>
        <w:t>PROPOSED TRANSACTION. Investors and security holders will be able to obtain free copies of the Form S-4 and the proxy</w:t>
      </w:r>
    </w:p>
    <w:p>
      <w:pPr>
        <w:spacing w:after="0" w:line="235" w:lineRule="auto"/>
        <w:rPr>
          <w:sz w:val="20"/>
          <w:szCs w:val="20"/>
          <w:color w:val="auto"/>
        </w:rPr>
      </w:pPr>
      <w:r>
        <w:rPr>
          <w:rFonts w:ascii="Arial" w:cs="Arial" w:eastAsia="Arial" w:hAnsi="Arial"/>
          <w:sz w:val="18"/>
          <w:szCs w:val="18"/>
          <w:color w:val="auto"/>
        </w:rPr>
        <w:t>statement/prospectus (if and when available) and other documents containing important information about SLB, ChampionX and the</w:t>
      </w:r>
    </w:p>
    <w:p>
      <w:pPr>
        <w:spacing w:after="0" w:line="235" w:lineRule="auto"/>
        <w:rPr>
          <w:sz w:val="20"/>
          <w:szCs w:val="20"/>
          <w:color w:val="auto"/>
        </w:rPr>
      </w:pPr>
      <w:r>
        <w:rPr>
          <w:rFonts w:ascii="Arial" w:cs="Arial" w:eastAsia="Arial" w:hAnsi="Arial"/>
          <w:sz w:val="18"/>
          <w:szCs w:val="18"/>
          <w:color w:val="auto"/>
        </w:rPr>
        <w:t xml:space="preserve">proposed transaction, through the website maintained by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 Copies of the documents filed with, or furnished</w:t>
      </w:r>
    </w:p>
    <w:p>
      <w:pPr>
        <w:spacing w:after="0" w:line="235" w:lineRule="auto"/>
        <w:rPr>
          <w:sz w:val="20"/>
          <w:szCs w:val="20"/>
          <w:color w:val="auto"/>
        </w:rPr>
      </w:pPr>
      <w:r>
        <w:rPr>
          <w:rFonts w:ascii="Arial" w:cs="Arial" w:eastAsia="Arial" w:hAnsi="Arial"/>
          <w:sz w:val="18"/>
          <w:szCs w:val="18"/>
          <w:color w:val="auto"/>
        </w:rPr>
        <w:t xml:space="preserve">to, the SEC by SLB will be available free of charge on SLB’s website at </w:t>
      </w:r>
      <w:r>
        <w:rPr>
          <w:rFonts w:ascii="Arial" w:cs="Arial" w:eastAsia="Arial" w:hAnsi="Arial"/>
          <w:sz w:val="18"/>
          <w:szCs w:val="18"/>
          <w:u w:val="single" w:color="auto"/>
          <w:color w:val="auto"/>
        </w:rPr>
        <w:t>https://investorcenter.slb.com</w:t>
      </w:r>
      <w:r>
        <w:rPr>
          <w:rFonts w:ascii="Arial" w:cs="Arial" w:eastAsia="Arial" w:hAnsi="Arial"/>
          <w:sz w:val="18"/>
          <w:szCs w:val="18"/>
          <w:color w:val="auto"/>
        </w:rPr>
        <w:t>. Copies of the documents filed with,</w:t>
      </w:r>
    </w:p>
    <w:p>
      <w:pPr>
        <w:spacing w:after="0" w:line="234" w:lineRule="auto"/>
        <w:rPr>
          <w:sz w:val="20"/>
          <w:szCs w:val="20"/>
          <w:color w:val="auto"/>
        </w:rPr>
      </w:pPr>
      <w:r>
        <w:rPr>
          <w:rFonts w:ascii="Arial" w:cs="Arial" w:eastAsia="Arial" w:hAnsi="Arial"/>
          <w:sz w:val="18"/>
          <w:szCs w:val="18"/>
          <w:color w:val="auto"/>
        </w:rPr>
        <w:t xml:space="preserve">or furnished to, the SEC by ChampionX will be available free of charge on ChampionX’s website at </w:t>
      </w:r>
      <w:r>
        <w:rPr>
          <w:rFonts w:ascii="Arial" w:cs="Arial" w:eastAsia="Arial" w:hAnsi="Arial"/>
          <w:sz w:val="18"/>
          <w:szCs w:val="18"/>
          <w:u w:val="single" w:color="auto"/>
          <w:color w:val="auto"/>
        </w:rPr>
        <w:t>https://investors.championx.com</w:t>
      </w:r>
      <w:r>
        <w:rPr>
          <w:rFonts w:ascii="Arial" w:cs="Arial" w:eastAsia="Arial" w:hAnsi="Arial"/>
          <w:sz w:val="18"/>
          <w:szCs w:val="18"/>
          <w:color w:val="auto"/>
        </w:rPr>
        <w: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included on, or accessible through, SLB’s or ChampionX’s website is not incorporated by reference into this communication.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proxies in respect of the proposed transaction. Information about the directors and executive officers of SLB, including a description of</w:t>
      </w:r>
    </w:p>
    <w:p>
      <w:pPr>
        <w:spacing w:after="0" w:line="234" w:lineRule="auto"/>
        <w:rPr>
          <w:sz w:val="20"/>
          <w:szCs w:val="20"/>
          <w:color w:val="auto"/>
        </w:rPr>
      </w:pPr>
      <w:r>
        <w:rPr>
          <w:rFonts w:ascii="Arial" w:cs="Arial" w:eastAsia="Arial" w:hAnsi="Arial"/>
          <w:sz w:val="18"/>
          <w:szCs w:val="18"/>
          <w:color w:val="auto"/>
        </w:rPr>
        <w:t>their direct or indirect interests, by security holdings or otherwise, is set forth in SLB’s proxy statement for its 2024 Annual General</w:t>
      </w:r>
    </w:p>
    <w:p>
      <w:pPr>
        <w:spacing w:after="0" w:line="235" w:lineRule="auto"/>
        <w:rPr>
          <w:sz w:val="20"/>
          <w:szCs w:val="20"/>
          <w:color w:val="auto"/>
        </w:rPr>
      </w:pPr>
      <w:r>
        <w:rPr>
          <w:rFonts w:ascii="Arial" w:cs="Arial" w:eastAsia="Arial" w:hAnsi="Arial"/>
          <w:sz w:val="18"/>
          <w:szCs w:val="18"/>
          <w:color w:val="auto"/>
        </w:rPr>
        <w:t>Meeting of Stockholders (</w:t>
      </w:r>
      <w:r>
        <w:rPr>
          <w:rFonts w:ascii="Arial" w:cs="Arial" w:eastAsia="Arial" w:hAnsi="Arial"/>
          <w:sz w:val="18"/>
          <w:szCs w:val="18"/>
          <w:u w:val="single" w:color="auto"/>
          <w:color w:val="auto"/>
        </w:rPr>
        <w:t>https://www.sec.gov/ix?doc=/Archives/edgar/data/0000087347/000130817924000033/lslb2024_def14a.htm</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which was filed with the SEC on February 22, 2024, including under the sections entitled “Director Compensation”, “Security Ownership by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Our Board”, “Compensation Discussion and Analysis”, “2023 Compensation Decisions and Results”, “Elements of 2023</w:t>
      </w:r>
    </w:p>
    <w:p>
      <w:pPr>
        <w:spacing w:after="0" w:line="234" w:lineRule="auto"/>
        <w:rPr>
          <w:sz w:val="20"/>
          <w:szCs w:val="20"/>
          <w:color w:val="auto"/>
        </w:rPr>
      </w:pPr>
      <w:r>
        <w:rPr>
          <w:rFonts w:ascii="Arial" w:cs="Arial" w:eastAsia="Arial" w:hAnsi="Arial"/>
          <w:sz w:val="18"/>
          <w:szCs w:val="18"/>
          <w:color w:val="auto"/>
        </w:rPr>
        <w:t>Total Compensation”, “Long-Term Equity Incentive Awards”, “Executive Compensation Tables”, “Grants of Plan-Based Awards in 2023”,</w:t>
      </w:r>
    </w:p>
    <w:p>
      <w:pPr>
        <w:spacing w:after="0" w:line="235" w:lineRule="auto"/>
        <w:rPr>
          <w:sz w:val="20"/>
          <w:szCs w:val="20"/>
          <w:color w:val="auto"/>
        </w:rPr>
      </w:pPr>
      <w:r>
        <w:rPr>
          <w:rFonts w:ascii="Arial" w:cs="Arial" w:eastAsia="Arial" w:hAnsi="Arial"/>
          <w:sz w:val="18"/>
          <w:szCs w:val="18"/>
          <w:color w:val="auto"/>
        </w:rPr>
        <w:t>“Outstanding Equity Awards at Year-End 2023”, “Potential Payments Upon Termination or Change in Control” and “Pay vs. Performance</w:t>
      </w:r>
    </w:p>
    <w:p>
      <w:pPr>
        <w:spacing w:after="0" w:line="235" w:lineRule="auto"/>
        <w:rPr>
          <w:sz w:val="20"/>
          <w:szCs w:val="20"/>
          <w:color w:val="auto"/>
        </w:rPr>
      </w:pPr>
      <w:r>
        <w:rPr>
          <w:rFonts w:ascii="Arial" w:cs="Arial" w:eastAsia="Arial" w:hAnsi="Arial"/>
          <w:sz w:val="18"/>
          <w:szCs w:val="18"/>
          <w:color w:val="auto"/>
        </w:rPr>
        <w:t>Comparison”, and SLB’s Annual Report on Form 10-K for the fiscal year ended December 31, 2023</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https://www.sec.gov/ix?doc=/Archives/edgar/data/0000087347/000095017024006884/slb-20231231.htm</w:t>
      </w:r>
      <w:r>
        <w:rPr>
          <w:rFonts w:ascii="Arial" w:cs="Arial" w:eastAsia="Arial" w:hAnsi="Arial"/>
          <w:sz w:val="18"/>
          <w:szCs w:val="18"/>
          <w:color w:val="auto"/>
        </w:rPr>
        <w:t>), which was filed with the SEC</w:t>
      </w:r>
    </w:p>
    <w:p>
      <w:pPr>
        <w:spacing w:after="0" w:line="235" w:lineRule="auto"/>
        <w:rPr>
          <w:sz w:val="20"/>
          <w:szCs w:val="20"/>
          <w:color w:val="auto"/>
        </w:rPr>
      </w:pPr>
      <w:r>
        <w:rPr>
          <w:rFonts w:ascii="Arial" w:cs="Arial" w:eastAsia="Arial" w:hAnsi="Arial"/>
          <w:sz w:val="18"/>
          <w:szCs w:val="18"/>
          <w:color w:val="auto"/>
        </w:rPr>
        <w:t>on January 24, 2024, including under the sections entitled “Item 10. Directors, Executive Officers and Corporate Governance”, “Item 11.</w:t>
      </w:r>
    </w:p>
    <w:p>
      <w:pPr>
        <w:spacing w:after="0" w:line="234" w:lineRule="auto"/>
        <w:rPr>
          <w:sz w:val="20"/>
          <w:szCs w:val="20"/>
          <w:color w:val="auto"/>
        </w:rPr>
      </w:pPr>
      <w:r>
        <w:rPr>
          <w:rFonts w:ascii="Arial" w:cs="Arial" w:eastAsia="Arial" w:hAnsi="Arial"/>
          <w:sz w:val="18"/>
          <w:szCs w:val="18"/>
          <w:color w:val="auto"/>
        </w:rPr>
        <w:t>Executive Compensation”, “Item 12. Security Ownership of Certain Beneficial Owners and Management and Related Stockholder</w:t>
      </w:r>
    </w:p>
    <w:p>
      <w:pPr>
        <w:spacing w:after="0" w:line="235" w:lineRule="auto"/>
        <w:rPr>
          <w:sz w:val="20"/>
          <w:szCs w:val="20"/>
          <w:color w:val="auto"/>
        </w:rPr>
      </w:pPr>
      <w:r>
        <w:rPr>
          <w:rFonts w:ascii="Arial" w:cs="Arial" w:eastAsia="Arial" w:hAnsi="Arial"/>
          <w:sz w:val="18"/>
          <w:szCs w:val="18"/>
          <w:color w:val="auto"/>
        </w:rPr>
        <w:t>Matters”, and “Item 13. Certain Relationships and Related Transactions, and Director Independence”. Information about the directors and</w:t>
      </w:r>
    </w:p>
    <w:p>
      <w:pPr>
        <w:spacing w:after="0" w:line="235" w:lineRule="auto"/>
        <w:rPr>
          <w:sz w:val="20"/>
          <w:szCs w:val="20"/>
          <w:color w:val="auto"/>
        </w:rPr>
      </w:pPr>
      <w:r>
        <w:rPr>
          <w:rFonts w:ascii="Arial" w:cs="Arial" w:eastAsia="Arial" w:hAnsi="Arial"/>
          <w:sz w:val="18"/>
          <w:szCs w:val="18"/>
          <w:color w:val="auto"/>
        </w:rPr>
        <w:t>executive officers of ChampionX, including a description of their direct or indirect interests, by security holdings or otherwise, is set forth in</w:t>
      </w:r>
    </w:p>
    <w:p>
      <w:pPr>
        <w:spacing w:after="0" w:line="235" w:lineRule="auto"/>
        <w:rPr>
          <w:sz w:val="20"/>
          <w:szCs w:val="20"/>
          <w:color w:val="auto"/>
        </w:rPr>
      </w:pPr>
      <w:r>
        <w:rPr>
          <w:rFonts w:ascii="Arial" w:cs="Arial" w:eastAsia="Arial" w:hAnsi="Arial"/>
          <w:sz w:val="18"/>
          <w:szCs w:val="18"/>
          <w:color w:val="auto"/>
        </w:rPr>
        <w:t>ChampionX’s proxy statement for its 2024 Annual Meeting of Shareholders</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https://www.sec.gov/ix?doc=/Archives/edgar/data/0001723089/000172308924000079/championx-20240401.htm</w:t>
      </w:r>
      <w:r>
        <w:rPr>
          <w:rFonts w:ascii="Arial" w:cs="Arial" w:eastAsia="Arial" w:hAnsi="Arial"/>
          <w:sz w:val="18"/>
          <w:szCs w:val="18"/>
          <w:color w:val="auto"/>
        </w:rPr>
        <w:t>), which was filed with</w:t>
      </w:r>
    </w:p>
    <w:p>
      <w:pPr>
        <w:spacing w:after="0" w:line="234" w:lineRule="auto"/>
        <w:rPr>
          <w:sz w:val="20"/>
          <w:szCs w:val="20"/>
          <w:color w:val="auto"/>
        </w:rPr>
      </w:pPr>
      <w:r>
        <w:rPr>
          <w:rFonts w:ascii="Arial" w:cs="Arial" w:eastAsia="Arial" w:hAnsi="Arial"/>
          <w:sz w:val="18"/>
          <w:szCs w:val="18"/>
          <w:color w:val="auto"/>
        </w:rPr>
        <w:t>the SEC on April 3, 2024, including under the sections entitled “Executive Compensation Highlights”, “Director Compensation”, “2023</w:t>
      </w:r>
    </w:p>
    <w:p>
      <w:pPr>
        <w:spacing w:after="0" w:line="235" w:lineRule="auto"/>
        <w:rPr>
          <w:sz w:val="20"/>
          <w:szCs w:val="20"/>
          <w:color w:val="auto"/>
        </w:rPr>
      </w:pPr>
      <w:r>
        <w:rPr>
          <w:rFonts w:ascii="Arial" w:cs="Arial" w:eastAsia="Arial" w:hAnsi="Arial"/>
          <w:sz w:val="18"/>
          <w:szCs w:val="18"/>
          <w:color w:val="auto"/>
        </w:rPr>
        <w:t>Director Compensation Table”, “Security Ownership of Certain Beneficial Owners and Management”, “Compensation Discussion and</w:t>
      </w:r>
    </w:p>
    <w:p>
      <w:pPr>
        <w:spacing w:after="0" w:line="235" w:lineRule="auto"/>
        <w:rPr>
          <w:sz w:val="20"/>
          <w:szCs w:val="20"/>
          <w:color w:val="auto"/>
        </w:rPr>
      </w:pPr>
      <w:r>
        <w:rPr>
          <w:rFonts w:ascii="Arial" w:cs="Arial" w:eastAsia="Arial" w:hAnsi="Arial"/>
          <w:sz w:val="18"/>
          <w:szCs w:val="18"/>
          <w:color w:val="auto"/>
        </w:rPr>
        <w:t>Analysis”, “Key Compensation Overview for 2023”, “Elements of Our Executive Compensation Program”, “Long-Term Equity Incentive</w:t>
      </w:r>
    </w:p>
    <w:p>
      <w:pPr>
        <w:spacing w:after="0" w:line="235" w:lineRule="auto"/>
        <w:rPr>
          <w:sz w:val="20"/>
          <w:szCs w:val="20"/>
          <w:color w:val="auto"/>
        </w:rPr>
      </w:pPr>
      <w:r>
        <w:rPr>
          <w:rFonts w:ascii="Arial" w:cs="Arial" w:eastAsia="Arial" w:hAnsi="Arial"/>
          <w:sz w:val="18"/>
          <w:szCs w:val="18"/>
          <w:color w:val="auto"/>
        </w:rPr>
        <w:t>Compensation”, “Additional Executive Compensation Governance Considerations”, “Executive Compensation Tables”, “Potential</w:t>
      </w:r>
    </w:p>
    <w:p>
      <w:pPr>
        <w:spacing w:after="0"/>
        <w:rPr>
          <w:sz w:val="20"/>
          <w:szCs w:val="20"/>
          <w:color w:val="auto"/>
        </w:rPr>
      </w:pPr>
      <w:r>
        <w:rPr>
          <w:rFonts w:ascii="Arial" w:cs="Arial" w:eastAsia="Arial" w:hAnsi="Arial"/>
          <w:sz w:val="18"/>
          <w:szCs w:val="18"/>
          <w:color w:val="auto"/>
        </w:rPr>
        <w:t>Payments upon Termination or Change-in-Control”, and “Pay-versus-Performance” and ChampionX’s Annual Report on Form 10-K</w:t>
      </w:r>
    </w:p>
    <w:p>
      <w:pPr>
        <w:sectPr>
          <w:pgSz w:w="11900" w:h="16838" w:orient="portrait"/>
          <w:cols w:equalWidth="0" w:num="1">
            <w:col w:w="11000"/>
          </w:cols>
          <w:pgMar w:left="440" w:top="296"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the fiscal year ended December 31, 2023</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https://www.sec.gov/ix?doc=/Archives/edgar/data/1723089/000172308924000011/championx-20231231.htm</w:t>
      </w:r>
      <w:r>
        <w:rPr>
          <w:rFonts w:ascii="Arial" w:cs="Arial" w:eastAsia="Arial" w:hAnsi="Arial"/>
          <w:sz w:val="18"/>
          <w:szCs w:val="18"/>
          <w:color w:val="auto"/>
        </w:rPr>
        <w:t>),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is contained in the Form S-4 and the proxy statement/prospectus and will be contained in other relevant materials to be filed with the SEC regarding the proposed transaction when such materials become available. Investors should read the Form S-4 and the proxy statement/prospectus carefully before making any voting or investment decisions. You may obtain free copies of these documents from SLB or ChampionX using the sources indicated above.</w:t>
      </w:r>
    </w:p>
    <w:p>
      <w:pPr>
        <w:sectPr>
          <w:pgSz w:w="11900" w:h="16838" w:orient="portrait"/>
          <w:cols w:equalWidth="0" w:num="1">
            <w:col w:w="10920"/>
          </w:cols>
          <w:pgMar w:left="440" w:top="296" w:right="5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2024</w:t>
      </w:r>
    </w:p>
    <w:sectPr>
      <w:pgSz w:w="11900" w:h="16838" w:orient="portrait"/>
      <w:cols w:equalWidth="0" w:num="1">
        <w:col w:w="10840"/>
      </w:cols>
      <w:pgMar w:left="440" w:top="29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2024-06-17T12:43:22Z</dcterms:created>
  <dcterms:modified xsi:type="dcterms:W3CDTF">2024-06-17T12:43:22Z</dcterms:modified>
</cp:coreProperties>
</file>