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 2003</w:t>
      </w:r>
    </w:p>
    <w:p>
      <w:pPr>
        <w:spacing w:after="0" w:line="158"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SCHLUMBERGER N.V.</w:t>
      </w:r>
    </w:p>
    <w:p>
      <w:pPr>
        <w:spacing w:after="0" w:line="21"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(Schlumberger Limited)</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8"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5440" w:type="dxa"/>
            <w:vAlign w:val="bottom"/>
          </w:tcPr>
          <w:p>
            <w:pPr>
              <w:jc w:val="center"/>
              <w:ind w:right="1172"/>
              <w:spacing w:after="0"/>
              <w:rPr>
                <w:sz w:val="20"/>
                <w:szCs w:val="20"/>
                <w:color w:val="auto"/>
              </w:rPr>
            </w:pPr>
            <w:r>
              <w:rPr>
                <w:rFonts w:ascii="Arial" w:cs="Arial" w:eastAsia="Arial" w:hAnsi="Arial"/>
                <w:sz w:val="18"/>
                <w:szCs w:val="18"/>
                <w:b w:val="1"/>
                <w:bCs w:val="1"/>
                <w:color w:val="auto"/>
                <w:w w:val="88"/>
              </w:rPr>
              <w:t>Netherlands Antilles</w:t>
            </w:r>
          </w:p>
        </w:tc>
        <w:tc>
          <w:tcPr>
            <w:tcW w:w="380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52-0684746</w:t>
            </w:r>
          </w:p>
        </w:tc>
      </w:tr>
      <w:tr>
        <w:trPr>
          <w:trHeight w:val="222"/>
        </w:trPr>
        <w:tc>
          <w:tcPr>
            <w:tcW w:w="544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800" w:type="dxa"/>
            <w:vAlign w:val="bottom"/>
          </w:tcPr>
          <w:p>
            <w:pPr>
              <w:jc w:val="center"/>
              <w:ind w:left="1152"/>
              <w:spacing w:after="0"/>
              <w:rPr>
                <w:sz w:val="20"/>
                <w:szCs w:val="20"/>
                <w:color w:val="auto"/>
              </w:rPr>
            </w:pPr>
            <w:r>
              <w:rPr>
                <w:rFonts w:ascii="Arial" w:cs="Arial" w:eastAsia="Arial" w:hAnsi="Arial"/>
                <w:sz w:val="18"/>
                <w:szCs w:val="18"/>
                <w:color w:val="auto"/>
                <w:w w:val="92"/>
              </w:rPr>
              <w:t>(I.R.S. Employer Identification No.)</w:t>
            </w:r>
          </w:p>
        </w:tc>
      </w:tr>
      <w:tr>
        <w:trPr>
          <w:trHeight w:val="420"/>
        </w:trPr>
        <w:tc>
          <w:tcPr>
            <w:tcW w:w="5440" w:type="dxa"/>
            <w:vAlign w:val="bottom"/>
          </w:tcPr>
          <w:p>
            <w:pPr>
              <w:jc w:val="center"/>
              <w:ind w:right="1172"/>
              <w:spacing w:after="0"/>
              <w:rPr>
                <w:sz w:val="20"/>
                <w:szCs w:val="20"/>
                <w:color w:val="auto"/>
              </w:rPr>
            </w:pPr>
            <w:r>
              <w:rPr>
                <w:rFonts w:ascii="Arial" w:cs="Arial" w:eastAsia="Arial" w:hAnsi="Arial"/>
                <w:sz w:val="18"/>
                <w:szCs w:val="18"/>
                <w:b w:val="1"/>
                <w:bCs w:val="1"/>
                <w:color w:val="auto"/>
                <w:w w:val="88"/>
              </w:rPr>
              <w:t>153 East 53rd Street, 57th Floor</w:t>
            </w:r>
          </w:p>
        </w:tc>
        <w:tc>
          <w:tcPr>
            <w:tcW w:w="380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10022-4624</w:t>
            </w:r>
          </w:p>
        </w:tc>
      </w:tr>
      <w:tr>
        <w:trPr>
          <w:trHeight w:val="228"/>
        </w:trPr>
        <w:tc>
          <w:tcPr>
            <w:tcW w:w="5440" w:type="dxa"/>
            <w:vAlign w:val="bottom"/>
          </w:tcPr>
          <w:p>
            <w:pPr>
              <w:jc w:val="center"/>
              <w:ind w:right="1172"/>
              <w:spacing w:after="0"/>
              <w:rPr>
                <w:sz w:val="20"/>
                <w:szCs w:val="20"/>
                <w:color w:val="auto"/>
              </w:rPr>
            </w:pPr>
            <w:r>
              <w:rPr>
                <w:rFonts w:ascii="Arial" w:cs="Arial" w:eastAsia="Arial" w:hAnsi="Arial"/>
                <w:sz w:val="18"/>
                <w:szCs w:val="18"/>
                <w:b w:val="1"/>
                <w:bCs w:val="1"/>
                <w:color w:val="auto"/>
                <w:w w:val="90"/>
              </w:rPr>
              <w:t>New York, New York</w:t>
            </w:r>
          </w:p>
        </w:tc>
        <w:tc>
          <w:tcPr>
            <w:tcW w:w="3800" w:type="dxa"/>
            <w:vAlign w:val="bottom"/>
          </w:tcPr>
          <w:p>
            <w:pPr>
              <w:spacing w:after="0"/>
              <w:rPr>
                <w:sz w:val="19"/>
                <w:szCs w:val="19"/>
                <w:color w:val="auto"/>
              </w:rPr>
            </w:pPr>
          </w:p>
        </w:tc>
      </w:tr>
      <w:tr>
        <w:trPr>
          <w:trHeight w:val="420"/>
        </w:trPr>
        <w:tc>
          <w:tcPr>
            <w:tcW w:w="5440" w:type="dxa"/>
            <w:vAlign w:val="bottom"/>
          </w:tcPr>
          <w:p>
            <w:pPr>
              <w:jc w:val="center"/>
              <w:ind w:right="1172"/>
              <w:spacing w:after="0"/>
              <w:rPr>
                <w:sz w:val="20"/>
                <w:szCs w:val="20"/>
                <w:color w:val="auto"/>
              </w:rPr>
            </w:pPr>
            <w:r>
              <w:rPr>
                <w:rFonts w:ascii="Arial" w:cs="Arial" w:eastAsia="Arial" w:hAnsi="Arial"/>
                <w:sz w:val="18"/>
                <w:szCs w:val="18"/>
                <w:b w:val="1"/>
                <w:bCs w:val="1"/>
                <w:color w:val="auto"/>
                <w:w w:val="88"/>
              </w:rPr>
              <w:t>42, rue Saint-Dominique</w:t>
            </w:r>
          </w:p>
        </w:tc>
        <w:tc>
          <w:tcPr>
            <w:tcW w:w="380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5440" w:type="dxa"/>
            <w:vAlign w:val="bottom"/>
          </w:tcPr>
          <w:p>
            <w:pPr>
              <w:jc w:val="center"/>
              <w:ind w:right="1172"/>
              <w:spacing w:after="0"/>
              <w:rPr>
                <w:sz w:val="20"/>
                <w:szCs w:val="20"/>
                <w:color w:val="auto"/>
              </w:rPr>
            </w:pPr>
            <w:r>
              <w:rPr>
                <w:rFonts w:ascii="Arial" w:cs="Arial" w:eastAsia="Arial" w:hAnsi="Arial"/>
                <w:sz w:val="18"/>
                <w:szCs w:val="18"/>
                <w:b w:val="1"/>
                <w:bCs w:val="1"/>
                <w:color w:val="auto"/>
                <w:w w:val="90"/>
              </w:rPr>
              <w:t>Paris, France</w:t>
            </w:r>
          </w:p>
        </w:tc>
        <w:tc>
          <w:tcPr>
            <w:tcW w:w="3800" w:type="dxa"/>
            <w:vAlign w:val="bottom"/>
          </w:tcPr>
          <w:p>
            <w:pPr>
              <w:spacing w:after="0"/>
              <w:rPr>
                <w:sz w:val="19"/>
                <w:szCs w:val="19"/>
                <w:color w:val="auto"/>
              </w:rPr>
            </w:pPr>
          </w:p>
        </w:tc>
      </w:tr>
      <w:tr>
        <w:trPr>
          <w:trHeight w:val="420"/>
        </w:trPr>
        <w:tc>
          <w:tcPr>
            <w:tcW w:w="5440" w:type="dxa"/>
            <w:vAlign w:val="bottom"/>
          </w:tcPr>
          <w:p>
            <w:pPr>
              <w:jc w:val="center"/>
              <w:ind w:right="1172"/>
              <w:spacing w:after="0"/>
              <w:rPr>
                <w:sz w:val="20"/>
                <w:szCs w:val="20"/>
                <w:color w:val="auto"/>
              </w:rPr>
            </w:pPr>
            <w:r>
              <w:rPr>
                <w:rFonts w:ascii="Arial" w:cs="Arial" w:eastAsia="Arial" w:hAnsi="Arial"/>
                <w:sz w:val="18"/>
                <w:szCs w:val="18"/>
                <w:b w:val="1"/>
                <w:bCs w:val="1"/>
                <w:color w:val="auto"/>
                <w:w w:val="90"/>
              </w:rPr>
              <w:t>Parkstraat 83, The Hague</w:t>
            </w:r>
          </w:p>
        </w:tc>
        <w:tc>
          <w:tcPr>
            <w:tcW w:w="3800" w:type="dxa"/>
            <w:vAlign w:val="bottom"/>
          </w:tcPr>
          <w:p>
            <w:pPr>
              <w:jc w:val="center"/>
              <w:ind w:left="1172"/>
              <w:spacing w:after="0"/>
              <w:rPr>
                <w:sz w:val="20"/>
                <w:szCs w:val="20"/>
                <w:color w:val="auto"/>
              </w:rPr>
            </w:pPr>
            <w:r>
              <w:rPr>
                <w:rFonts w:ascii="Arial" w:cs="Arial" w:eastAsia="Arial" w:hAnsi="Arial"/>
                <w:sz w:val="18"/>
                <w:szCs w:val="18"/>
                <w:b w:val="1"/>
                <w:bCs w:val="1"/>
                <w:color w:val="auto"/>
                <w:w w:val="89"/>
              </w:rPr>
              <w:t>2514 JG</w:t>
            </w:r>
          </w:p>
        </w:tc>
      </w:tr>
      <w:tr>
        <w:trPr>
          <w:trHeight w:val="222"/>
        </w:trPr>
        <w:tc>
          <w:tcPr>
            <w:tcW w:w="5440" w:type="dxa"/>
            <w:vAlign w:val="bottom"/>
          </w:tcPr>
          <w:p>
            <w:pPr>
              <w:jc w:val="center"/>
              <w:ind w:right="1172"/>
              <w:spacing w:after="0"/>
              <w:rPr>
                <w:sz w:val="20"/>
                <w:szCs w:val="20"/>
                <w:color w:val="auto"/>
              </w:rPr>
            </w:pPr>
            <w:r>
              <w:rPr>
                <w:rFonts w:ascii="Arial" w:cs="Arial" w:eastAsia="Arial" w:hAnsi="Arial"/>
                <w:sz w:val="18"/>
                <w:szCs w:val="18"/>
                <w:b w:val="1"/>
                <w:bCs w:val="1"/>
                <w:color w:val="auto"/>
                <w:w w:val="89"/>
              </w:rPr>
              <w:t>The Netherlands</w:t>
            </w:r>
          </w:p>
        </w:tc>
        <w:tc>
          <w:tcPr>
            <w:tcW w:w="3800" w:type="dxa"/>
            <w:vAlign w:val="bottom"/>
          </w:tcPr>
          <w:p>
            <w:pPr>
              <w:jc w:val="center"/>
              <w:ind w:left="1152"/>
              <w:spacing w:after="0"/>
              <w:rPr>
                <w:sz w:val="20"/>
                <w:szCs w:val="20"/>
                <w:color w:val="auto"/>
              </w:rPr>
            </w:pPr>
            <w:r>
              <w:rPr>
                <w:rFonts w:ascii="Arial" w:cs="Arial" w:eastAsia="Arial" w:hAnsi="Arial"/>
                <w:sz w:val="18"/>
                <w:szCs w:val="18"/>
                <w:color w:val="auto"/>
                <w:w w:val="89"/>
              </w:rPr>
              <w:t>(Zip Codes)</w:t>
            </w:r>
          </w:p>
        </w:tc>
      </w:tr>
      <w:tr>
        <w:trPr>
          <w:trHeight w:val="222"/>
        </w:trPr>
        <w:tc>
          <w:tcPr>
            <w:tcW w:w="5440" w:type="dxa"/>
            <w:vAlign w:val="bottom"/>
          </w:tcPr>
          <w:p>
            <w:pPr>
              <w:jc w:val="center"/>
              <w:ind w:right="1172"/>
              <w:spacing w:after="0"/>
              <w:rPr>
                <w:sz w:val="20"/>
                <w:szCs w:val="20"/>
                <w:color w:val="auto"/>
              </w:rPr>
            </w:pPr>
            <w:r>
              <w:rPr>
                <w:rFonts w:ascii="Arial" w:cs="Arial" w:eastAsia="Arial" w:hAnsi="Arial"/>
                <w:sz w:val="18"/>
                <w:szCs w:val="18"/>
                <w:color w:val="auto"/>
                <w:w w:val="90"/>
              </w:rPr>
              <w:t>(Addresses of Principal Executive Offices)</w:t>
            </w:r>
          </w:p>
        </w:tc>
        <w:tc>
          <w:tcPr>
            <w:tcW w:w="38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 S. Summer,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153 East 53rd Street, 57th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10022-4624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350-9400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72"/>
              <w:spacing w:after="0"/>
              <w:rPr>
                <w:sz w:val="20"/>
                <w:szCs w:val="20"/>
                <w:color w:val="auto"/>
              </w:rPr>
            </w:pPr>
            <w:r>
              <w:rPr>
                <w:rFonts w:ascii="Arial" w:cs="Arial" w:eastAsia="Arial" w:hAnsi="Arial"/>
                <w:sz w:val="18"/>
                <w:szCs w:val="18"/>
                <w:b w:val="1"/>
                <w:bCs w:val="1"/>
                <w:color w:val="auto"/>
                <w:w w:val="84"/>
              </w:rPr>
              <w:t>Proposed</w:t>
            </w:r>
          </w:p>
        </w:tc>
        <w:tc>
          <w:tcPr>
            <w:tcW w:w="340" w:type="dxa"/>
            <w:vAlign w:val="bottom"/>
          </w:tcPr>
          <w:p>
            <w:pPr>
              <w:spacing w:after="0"/>
              <w:rPr>
                <w:sz w:val="18"/>
                <w:szCs w:val="18"/>
                <w:color w:val="auto"/>
              </w:rPr>
            </w:pPr>
          </w:p>
        </w:tc>
        <w:tc>
          <w:tcPr>
            <w:tcW w:w="1300" w:type="dxa"/>
            <w:vAlign w:val="bottom"/>
          </w:tcPr>
          <w:p>
            <w:pPr>
              <w:jc w:val="center"/>
              <w:ind w:right="272"/>
              <w:spacing w:after="0"/>
              <w:rPr>
                <w:sz w:val="20"/>
                <w:szCs w:val="20"/>
                <w:color w:val="auto"/>
              </w:rPr>
            </w:pPr>
            <w:r>
              <w:rPr>
                <w:rFonts w:ascii="Arial" w:cs="Arial" w:eastAsia="Arial" w:hAnsi="Arial"/>
                <w:sz w:val="18"/>
                <w:szCs w:val="18"/>
                <w:b w:val="1"/>
                <w:bCs w:val="1"/>
                <w:color w:val="auto"/>
                <w:w w:val="84"/>
              </w:rPr>
              <w:t>Proposed</w:t>
            </w:r>
          </w:p>
        </w:tc>
        <w:tc>
          <w:tcPr>
            <w:tcW w:w="104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maximum</w:t>
            </w:r>
          </w:p>
        </w:tc>
        <w:tc>
          <w:tcPr>
            <w:tcW w:w="340" w:type="dxa"/>
            <w:vAlign w:val="bottom"/>
          </w:tcPr>
          <w:p>
            <w:pPr>
              <w:spacing w:after="0"/>
              <w:rPr>
                <w:sz w:val="18"/>
                <w:szCs w:val="18"/>
                <w:color w:val="auto"/>
              </w:rPr>
            </w:pPr>
          </w:p>
        </w:tc>
        <w:tc>
          <w:tcPr>
            <w:tcW w:w="1300" w:type="dxa"/>
            <w:vAlign w:val="bottom"/>
          </w:tcPr>
          <w:p>
            <w:pPr>
              <w:jc w:val="center"/>
              <w:ind w:right="252"/>
              <w:spacing w:after="0"/>
              <w:rPr>
                <w:sz w:val="20"/>
                <w:szCs w:val="20"/>
                <w:color w:val="auto"/>
              </w:rPr>
            </w:pPr>
            <w:r>
              <w:rPr>
                <w:rFonts w:ascii="Arial" w:cs="Arial" w:eastAsia="Arial" w:hAnsi="Arial"/>
                <w:sz w:val="18"/>
                <w:szCs w:val="18"/>
                <w:b w:val="1"/>
                <w:bCs w:val="1"/>
                <w:color w:val="auto"/>
                <w:w w:val="90"/>
              </w:rPr>
              <w:t>maximum</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88"/>
              </w:rPr>
              <w:t>Amount of</w:t>
            </w:r>
          </w:p>
        </w:tc>
      </w:tr>
      <w:tr>
        <w:trPr>
          <w:trHeight w:val="216"/>
        </w:trPr>
        <w:tc>
          <w:tcPr>
            <w:tcW w:w="4740" w:type="dxa"/>
            <w:vAlign w:val="bottom"/>
          </w:tcPr>
          <w:p>
            <w:pPr>
              <w:spacing w:after="0"/>
              <w:rPr>
                <w:sz w:val="18"/>
                <w:szCs w:val="18"/>
                <w:color w:val="auto"/>
              </w:rPr>
            </w:pPr>
          </w:p>
        </w:tc>
        <w:tc>
          <w:tcPr>
            <w:tcW w:w="2480" w:type="dxa"/>
            <w:vAlign w:val="bottom"/>
          </w:tcPr>
          <w:p>
            <w:pPr>
              <w:jc w:val="center"/>
              <w:ind w:left="592"/>
              <w:spacing w:after="0"/>
              <w:rPr>
                <w:sz w:val="20"/>
                <w:szCs w:val="20"/>
                <w:color w:val="auto"/>
              </w:rPr>
            </w:pPr>
            <w:r>
              <w:rPr>
                <w:rFonts w:ascii="Arial" w:cs="Arial" w:eastAsia="Arial" w:hAnsi="Arial"/>
                <w:sz w:val="18"/>
                <w:szCs w:val="18"/>
                <w:b w:val="1"/>
                <w:bCs w:val="1"/>
                <w:color w:val="auto"/>
                <w:w w:val="88"/>
              </w:rPr>
              <w:t>Amount</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340" w:type="dxa"/>
            <w:vAlign w:val="bottom"/>
          </w:tcPr>
          <w:p>
            <w:pPr>
              <w:spacing w:after="0"/>
              <w:rPr>
                <w:sz w:val="18"/>
                <w:szCs w:val="18"/>
                <w:color w:val="auto"/>
              </w:rPr>
            </w:pPr>
          </w:p>
        </w:tc>
        <w:tc>
          <w:tcPr>
            <w:tcW w:w="1300" w:type="dxa"/>
            <w:vAlign w:val="bottom"/>
          </w:tcPr>
          <w:p>
            <w:pPr>
              <w:jc w:val="center"/>
              <w:ind w:right="252"/>
              <w:spacing w:after="0"/>
              <w:rPr>
                <w:sz w:val="20"/>
                <w:szCs w:val="20"/>
                <w:color w:val="auto"/>
              </w:rPr>
            </w:pPr>
            <w:r>
              <w:rPr>
                <w:rFonts w:ascii="Arial" w:cs="Arial" w:eastAsia="Arial" w:hAnsi="Arial"/>
                <w:sz w:val="18"/>
                <w:szCs w:val="18"/>
                <w:b w:val="1"/>
                <w:bCs w:val="1"/>
                <w:color w:val="auto"/>
                <w:w w:val="83"/>
              </w:rPr>
              <w:t>aggregate</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88"/>
              </w:rPr>
              <w:t>registration</w:t>
            </w:r>
          </w:p>
        </w:tc>
      </w:tr>
      <w:tr>
        <w:trPr>
          <w:trHeight w:val="228"/>
        </w:trPr>
        <w:tc>
          <w:tcPr>
            <w:tcW w:w="4740" w:type="dxa"/>
            <w:vAlign w:val="bottom"/>
          </w:tcPr>
          <w:p>
            <w:pPr>
              <w:ind w:left="1380"/>
              <w:spacing w:after="0"/>
              <w:rPr>
                <w:sz w:val="20"/>
                <w:szCs w:val="20"/>
                <w:color w:val="auto"/>
              </w:rPr>
            </w:pPr>
            <w:r>
              <w:rPr>
                <w:rFonts w:ascii="Arial" w:cs="Arial" w:eastAsia="Arial" w:hAnsi="Arial"/>
                <w:sz w:val="18"/>
                <w:szCs w:val="18"/>
                <w:b w:val="1"/>
                <w:bCs w:val="1"/>
                <w:color w:val="auto"/>
              </w:rPr>
              <w:t>Title of securities to be registered</w:t>
            </w:r>
          </w:p>
        </w:tc>
        <w:tc>
          <w:tcPr>
            <w:tcW w:w="2480" w:type="dxa"/>
            <w:vAlign w:val="bottom"/>
          </w:tcPr>
          <w:p>
            <w:pPr>
              <w:jc w:val="center"/>
              <w:ind w:left="592"/>
              <w:spacing w:after="0"/>
              <w:rPr>
                <w:sz w:val="20"/>
                <w:szCs w:val="20"/>
                <w:color w:val="auto"/>
              </w:rPr>
            </w:pPr>
            <w:r>
              <w:rPr>
                <w:rFonts w:ascii="Arial" w:cs="Arial" w:eastAsia="Arial" w:hAnsi="Arial"/>
                <w:sz w:val="18"/>
                <w:szCs w:val="18"/>
                <w:b w:val="1"/>
                <w:bCs w:val="1"/>
                <w:color w:val="auto"/>
                <w:w w:val="86"/>
              </w:rPr>
              <w:t>to be registered (2)</w:t>
            </w:r>
          </w:p>
        </w:tc>
        <w:tc>
          <w:tcPr>
            <w:tcW w:w="280" w:type="dxa"/>
            <w:vAlign w:val="bottom"/>
          </w:tcPr>
          <w:p>
            <w:pPr>
              <w:spacing w:after="0"/>
              <w:rPr>
                <w:sz w:val="19"/>
                <w:szCs w:val="19"/>
                <w:color w:val="auto"/>
              </w:rPr>
            </w:pPr>
          </w:p>
        </w:tc>
        <w:tc>
          <w:tcPr>
            <w:tcW w:w="1240" w:type="dxa"/>
            <w:vAlign w:val="bottom"/>
          </w:tcPr>
          <w:p>
            <w:pPr>
              <w:jc w:val="center"/>
              <w:ind w:right="192"/>
              <w:spacing w:after="0"/>
              <w:rPr>
                <w:sz w:val="20"/>
                <w:szCs w:val="20"/>
                <w:color w:val="auto"/>
              </w:rPr>
            </w:pPr>
            <w:r>
              <w:rPr>
                <w:rFonts w:ascii="Arial" w:cs="Arial" w:eastAsia="Arial" w:hAnsi="Arial"/>
                <w:sz w:val="18"/>
                <w:szCs w:val="18"/>
                <w:b w:val="1"/>
                <w:bCs w:val="1"/>
                <w:color w:val="auto"/>
                <w:w w:val="88"/>
              </w:rPr>
              <w:t>per share (1)</w:t>
            </w: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offering price (1)</w:t>
            </w:r>
          </w:p>
        </w:tc>
        <w:tc>
          <w:tcPr>
            <w:tcW w:w="1040" w:type="dxa"/>
            <w:vAlign w:val="bottom"/>
          </w:tcPr>
          <w:p>
            <w:pPr>
              <w:jc w:val="center"/>
              <w:ind w:left="72"/>
              <w:spacing w:after="0"/>
              <w:rPr>
                <w:sz w:val="20"/>
                <w:szCs w:val="20"/>
                <w:color w:val="auto"/>
              </w:rPr>
            </w:pPr>
            <w:r>
              <w:rPr>
                <w:rFonts w:ascii="Arial" w:cs="Arial" w:eastAsia="Arial" w:hAnsi="Arial"/>
                <w:sz w:val="18"/>
                <w:szCs w:val="18"/>
                <w:b w:val="1"/>
                <w:bCs w:val="1"/>
                <w:color w:val="auto"/>
                <w:w w:val="76"/>
              </w:rPr>
              <w:t>fee</w:t>
            </w:r>
          </w:p>
        </w:tc>
      </w:tr>
      <w:tr>
        <w:trPr>
          <w:trHeight w:val="110"/>
        </w:trPr>
        <w:tc>
          <w:tcPr>
            <w:tcW w:w="474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r>
      <w:tr>
        <w:trPr>
          <w:trHeight w:val="316"/>
        </w:trPr>
        <w:tc>
          <w:tcPr>
            <w:tcW w:w="4740" w:type="dxa"/>
            <w:vAlign w:val="bottom"/>
          </w:tcPr>
          <w:p>
            <w:pPr>
              <w:ind w:left="20"/>
              <w:spacing w:after="0"/>
              <w:rPr>
                <w:sz w:val="20"/>
                <w:szCs w:val="20"/>
                <w:color w:val="auto"/>
              </w:rPr>
            </w:pPr>
            <w:r>
              <w:rPr>
                <w:rFonts w:ascii="Arial" w:cs="Arial" w:eastAsia="Arial" w:hAnsi="Arial"/>
                <w:sz w:val="18"/>
                <w:szCs w:val="18"/>
                <w:color w:val="auto"/>
              </w:rPr>
              <w:t>Common stock, par value $.01 per share (2)</w:t>
            </w:r>
          </w:p>
        </w:tc>
        <w:tc>
          <w:tcPr>
            <w:tcW w:w="2480" w:type="dxa"/>
            <w:vAlign w:val="bottom"/>
          </w:tcPr>
          <w:p>
            <w:pPr>
              <w:ind w:left="1140"/>
              <w:spacing w:after="0"/>
              <w:rPr>
                <w:sz w:val="20"/>
                <w:szCs w:val="20"/>
                <w:color w:val="auto"/>
              </w:rPr>
            </w:pPr>
            <w:r>
              <w:rPr>
                <w:rFonts w:ascii="Arial" w:cs="Arial" w:eastAsia="Arial" w:hAnsi="Arial"/>
                <w:sz w:val="18"/>
                <w:szCs w:val="18"/>
                <w:color w:val="auto"/>
                <w:w w:val="94"/>
              </w:rPr>
              <w:t>9,000,000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38.105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342,945,000</w:t>
            </w:r>
          </w:p>
        </w:tc>
        <w:tc>
          <w:tcPr>
            <w:tcW w:w="1040" w:type="dxa"/>
            <w:vAlign w:val="bottom"/>
          </w:tcPr>
          <w:p>
            <w:pPr>
              <w:jc w:val="center"/>
              <w:ind w:left="72"/>
              <w:spacing w:after="0"/>
              <w:rPr>
                <w:sz w:val="20"/>
                <w:szCs w:val="20"/>
                <w:color w:val="auto"/>
              </w:rPr>
            </w:pPr>
            <w:r>
              <w:rPr>
                <w:rFonts w:ascii="Arial" w:cs="Arial" w:eastAsia="Arial" w:hAnsi="Arial"/>
                <w:sz w:val="18"/>
                <w:szCs w:val="18"/>
                <w:color w:val="auto"/>
                <w:w w:val="92"/>
              </w:rPr>
              <w:t>$ 27,744.26</w:t>
            </w:r>
          </w:p>
        </w:tc>
      </w:tr>
      <w:tr>
        <w:trPr>
          <w:trHeight w:val="134"/>
        </w:trPr>
        <w:tc>
          <w:tcPr>
            <w:tcW w:w="47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4"/>
          <w:szCs w:val="24"/>
          <w:color w:val="auto"/>
        </w:rPr>
      </w:pPr>
    </w:p>
    <w:p>
      <w:pPr>
        <w:ind w:left="460" w:right="4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457(h), based on the average of the high and low prices for the common stock of Schlumberger Limited reported on the New York Stock Exchange on March 26, 2003.</w:t>
      </w:r>
    </w:p>
    <w:p>
      <w:pPr>
        <w:spacing w:after="0" w:line="37"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this Registration Statement shall also include such additional indeterminant number of shares of common stock as may become issuable under the Schlumberger 2001 Stock Option Plan as a result of stock splits, stock dividends or similar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INTRODUCTORY STATEMENT</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Schlumberger Limited (the “Registrant” or “Schlumberger”; SEC File No. 1-4601) is filing this Registration Statement on Form S-8 relating to 9,000,000 shares of its common stock, par value $.01 per share (“Common Stock”), issuable pursuant to the terms of the Schlumberger 2001 Stock Option Plan.</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Note: The document(s) containing the information concerning the employee benefit plan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are also registered hereunder such additional indeterminate shares of the Registrant’s common stock as may be required as a result of stock splits, stock dividends or similar transactions.</w:t>
      </w:r>
    </w:p>
    <w:p>
      <w:pPr>
        <w:spacing w:after="0" w:line="11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Schlumberger Limited, a corporation organized under the laws of the Netherlands Antilles, incorporates by reference in this registration statement the following documents:</w:t>
      </w:r>
    </w:p>
    <w:p>
      <w:pPr>
        <w:spacing w:after="0" w:line="118"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2002) filed on February 27, 2003; and</w:t>
      </w:r>
    </w:p>
    <w:p>
      <w:pPr>
        <w:spacing w:after="0" w:line="157"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20 dated January 8, 1962, filed under the Securities Exchange Act of 1934, as amended (the “Exchange Act”), including any amendment or report filed for the purpose of updating such description.</w:t>
      </w:r>
    </w:p>
    <w:p>
      <w:pPr>
        <w:spacing w:after="0" w:line="127"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document filed by the Registrant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7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Description of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Issued and Treasury Shares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is authorized to issue 1,500,000,000 shares of common stock, par value $0.01 per share. As</w:t>
      </w:r>
    </w:p>
    <w:p>
      <w:pPr>
        <w:sectPr>
          <w:pgSz w:w="11900" w:h="16838" w:orient="portrait"/>
          <w:cols w:equalWidth="0" w:num="1">
            <w:col w:w="11380"/>
          </w:cols>
          <w:pgMar w:left="240" w:top="274" w:right="279" w:bottom="1440" w:gutter="0" w:footer="0" w:header="0"/>
        </w:sectPr>
      </w:pPr>
    </w:p>
    <w:bookmarkStart w:id="2" w:name="page3"/>
    <w:bookmarkEnd w:id="2"/>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December 31, 2002, 667,104,668 shares were issued, of which: 582,173,115 shares were outstanding and 84,931,553 shares were held by the Registrant as treasury stock. In addition, the Registrant is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the Registrant’s board of directors. No shares of preferred stock have been issued as of the date hereof.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outstanding shares of the Registrant’s common stock (i.e., shares not held by the Registrant) are entitled to participate equally and receive dividends that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shareholders at the annual general meeting held within nine months of such fiscal year following such fiscal year, except that the Registrant’s board of directors may allocate such part of the earnings to the retained earnings reserves as it deems fit and may declare interim dividends.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holder of shares of common stock is entitled to one vote for each share registered in that holder’s name. Voting rights may be exercised in person or by proxy. No action to amend the Registrant’s Deed of Incorporation or to sell all or substantially all of the Registrant’s assets or to dissolve the Registrant can be taken except upon the authorization of the holders of at least a majority of the outstanding shares eligible to vote. In addition, holders of preferred stock (if issued and outstanding) would have additional rights to vote as a class on certain amendments to the Registrant’s Deed of Incorporation that would adversely affect the preferred stock. Any other action requiring the approval of the shareholders may be authorized by a majority of the votes cast (excluding any abstentions)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Registrant’s board of directors is authorized to effect reorganizations or rearrangements of the Registrant’s corporate structure or that of the Registrant’s subsidiaries without the vote of shareholders if such reorganization or rearrangement does not result in any diminution of the beneficial interest of the shareholders in the Registrant’s assets. The board of directors may change the Registrant’s corporate domicile from the Netherlands Antilles to another jurisdiction without the necessity of any shareholder action or approval.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and Other Rights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shares of the Registrant’s common stock do not carry any preemptive or conversion rights, and there are no redemption provisions with respect to the common stock. The shares of preferred stock (if issued and outstanding) would not carry any preemptive rights, but the Registrant’s board of directors could specify conversion rights, redemption provisions and (within limits) liquidation preferences with respect to one or more series of preferred stock. The Registrant may for its own account purchase shares of common stock so long as at least one-fifth of the Registrant’s authorized capital stock remains outstanding with other holders. In the event of liquidation, each share of common stock is entitled to equal rights after satisfaction of any preferred stock liquidation preference.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Transfer Agents and Registrars</w:t>
      </w:r>
    </w:p>
    <w:p>
      <w:pPr>
        <w:spacing w:after="0" w:line="77"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Registrant common stock is listed for trading on the New York Stock Exchange, The London Stock Exchange, Euronext Paris, Euronext Amsterdam and The SWX Swiss Exchange. The Transfer Agent and Registrar for the common stock is EquiServe Trust Company, N.A., Providence, Rhode Island.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legality of the Common Stock is being passed upon by Ellen S. Summer, Esq., the Registrant’s General Counsel and Secretary.</w:t>
      </w:r>
    </w:p>
    <w:p>
      <w:pPr>
        <w:sectPr>
          <w:pgSz w:w="11900" w:h="16838" w:orient="portrait"/>
          <w:cols w:equalWidth="0" w:num="1">
            <w:col w:w="11400"/>
          </w:cols>
          <w:pgMar w:left="240" w:top="428"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6. </w:t>
      </w:r>
      <w:r>
        <w:rPr>
          <w:rFonts w:ascii="Arial" w:cs="Arial" w:eastAsia="Arial" w:hAnsi="Arial"/>
          <w:sz w:val="18"/>
          <w:szCs w:val="18"/>
          <w:b w:val="1"/>
          <w:bCs w:val="1"/>
          <w:i w:val="1"/>
          <w:iCs w:val="1"/>
          <w:color w:val="auto"/>
        </w:rPr>
        <w:t>Indemnification of Directors and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10 of the Registrant’s Deed of Incorporation and Article V of the Registrant’s By-Laws provide that:</w:t>
      </w:r>
    </w:p>
    <w:p>
      <w:pPr>
        <w:spacing w:after="0" w:line="158"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color w:val="auto"/>
        </w:rPr>
        <w:t>The Registrant has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in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322"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Registrant has the power to indemnify any person who was or is a party or is threatened to be made a party to any threatened, pending or completed action or suit by or in the right of Schlumberger to procure a judgment in the Registrant’s favor by reason of the fact that such person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in Control (as defined above).</w:t>
      </w:r>
    </w:p>
    <w:p>
      <w:pPr>
        <w:spacing w:after="0" w:line="9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To the extent that a present or former director or officer of the Registrant has been successful on the merits or otherwise in defense of any action, suit or proceeding referred to in the two preceding paragraphs, or in defense of any claim, issue or matter therein, the Registrant will indemnify that person against expenses (including attorneys’ fees) actually and reasonably incurred by such person in connection therewith.</w:t>
      </w:r>
    </w:p>
    <w:p>
      <w:pPr>
        <w:spacing w:after="0" w:line="9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made by the Registrant only as authorized by contract approved, or by-laws, resolution or other action adopted or taken, by the board of directors or by the stockholders or as required by the last sentences of the first two paragraphs.</w:t>
      </w:r>
    </w:p>
    <w:p>
      <w:pPr>
        <w:sectPr>
          <w:pgSz w:w="11900" w:h="16838" w:orient="portrait"/>
          <w:cols w:equalWidth="0" w:num="1">
            <w:col w:w="11380"/>
          </w:cols>
          <w:pgMar w:left="240" w:top="422" w:right="279" w:bottom="1440" w:gutter="0" w:footer="0" w:header="0"/>
        </w:sectPr>
      </w:pPr>
    </w:p>
    <w:bookmarkStart w:id="4" w:name="page5"/>
    <w:bookmarkEnd w:id="4"/>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 as authorized by Article V of the By-Laws or Article 10 of the Deed of Incorporation.</w:t>
      </w:r>
    </w:p>
    <w:p>
      <w:pPr>
        <w:spacing w:after="0" w:line="13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indemnification and advancement of expenses provided by or granted pursuant to the other sections of Article V of the By-Laws and Article 10 of the Deed of Incorporation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Registrant has the power to purchase and maintain insurance on behalf of any person who is or was a director, officer, employee or agent of Schlumberger, or is or was serving at the request of the Registrant in such a capacity for another corporation, partnership, joint venture, trust or other enterprise against any liability asserted against that person and incurred by that person in any of those capacities or arising out of such person’s status as such, whether or not the Registrant would have the power to indemnify such person against such liability under the provisions of Article V of the By-Laws or Article 10 of the Deed of Incorporation.</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purposes of Article V of the By-Laws and Article 10 of the Deed of Incorporation, reference to the Registrant or Schlumberger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stands in the same position under the provisions of Article V of the By-Laws and Article 10 of the Deed of Incorporation with respect to the resulting or surviving corporation if its separate existence had continued.</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Article V of the By-Laws and Article 10 of the Deed of Incorporation, 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3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Schlumberger may incur in such capacities.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60"/>
          </w:cols>
          <w:pgMar w:left="240" w:top="428"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8. </w:t>
      </w:r>
      <w:r>
        <w:rPr>
          <w:rFonts w:ascii="Arial" w:cs="Arial" w:eastAsia="Arial" w:hAnsi="Arial"/>
          <w:sz w:val="18"/>
          <w:szCs w:val="18"/>
          <w:b w:val="1"/>
          <w:bCs w:val="1"/>
          <w:i w:val="1"/>
          <w:iCs w:val="1"/>
          <w:color w:val="auto"/>
        </w:rPr>
        <w:t>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74"/>
        </w:trPr>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w:t>
            </w:r>
          </w:p>
        </w:tc>
        <w:tc>
          <w:tcPr>
            <w:tcW w:w="6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3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r>
      <w:tr>
        <w:trPr>
          <w:trHeight w:val="309"/>
        </w:trPr>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w w:val="99"/>
              </w:rPr>
              <w:t>Deed of Incorporation of Schlumberger N.V. as last amended on May 4, 2001 (incorporated by reference to Exhibit 3(a) to</w:t>
            </w:r>
          </w:p>
        </w:tc>
      </w:tr>
      <w:tr>
        <w:trPr>
          <w:trHeight w:val="222"/>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rPr>
              <w:t>Schlumberger’s Form 10-Q for the quarter ended June 30, 2001, File No. 1-4601).</w:t>
            </w:r>
          </w:p>
        </w:tc>
      </w:tr>
      <w:tr>
        <w:trPr>
          <w:trHeight w:val="426"/>
        </w:trPr>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w w:val="89"/>
              </w:rPr>
              <w:t>By-laws of Schlumberger N.V., as last amended on April 19, 2001 (incorporated by reference to Exhibit 3(b) to Schlumberger’s Form 10-</w:t>
            </w:r>
          </w:p>
        </w:tc>
      </w:tr>
      <w:tr>
        <w:trPr>
          <w:trHeight w:val="222"/>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rPr>
              <w:t>Q for the quarter ended June 30, 2001, File No. 1-4601).</w:t>
            </w:r>
          </w:p>
        </w:tc>
      </w:tr>
      <w:tr>
        <w:trPr>
          <w:trHeight w:val="426"/>
        </w:trPr>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w w:val="90"/>
              </w:rPr>
              <w:t>Schlumberger 2001 Stock Option Plan (incorporated by reference to Schlumberger’s Form 10-Q for the quarter ended March 31, 2001,</w:t>
            </w:r>
          </w:p>
        </w:tc>
      </w:tr>
      <w:tr>
        <w:trPr>
          <w:trHeight w:val="222"/>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rPr>
              <w:t>File No. 1-4601).</w:t>
            </w:r>
          </w:p>
        </w:tc>
      </w:tr>
    </w:tbl>
    <w:p>
      <w:pPr>
        <w:spacing w:after="0" w:line="210" w:lineRule="exact"/>
        <w:rPr>
          <w:sz w:val="20"/>
          <w:szCs w:val="20"/>
          <w:color w:val="auto"/>
        </w:rPr>
      </w:pPr>
    </w:p>
    <w:p>
      <w:pPr>
        <w:ind w:left="1200" w:hanging="591"/>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Opinion of Ellen S. Summer, Esq. as to the legality of the common shares being registered (filed herewith).</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23.1</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w w:val="89"/>
              </w:rPr>
              <w:t>Consent of PricewaterhouseCoopers LLP (New York, NY) independent accountants (filed herewith).</w:t>
            </w:r>
          </w:p>
        </w:tc>
      </w:tr>
      <w:tr>
        <w:trPr>
          <w:trHeight w:val="43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23.2</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rPr>
              <w:t>Consent of Ellen S. Summer, Esq. (included in Exhibit 5).</w:t>
            </w:r>
          </w:p>
        </w:tc>
      </w:tr>
      <w:tr>
        <w:trPr>
          <w:trHeight w:val="43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24.1</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rPr>
              <w:t>Powers of Attorney (filed herewith).</w:t>
            </w:r>
          </w:p>
        </w:tc>
      </w:tr>
      <w:tr>
        <w:trPr>
          <w:trHeight w:val="43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24.2</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rPr>
              <w:t>Power of Attorney for Andrew Gould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600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as indicated.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Undertakings</w:t>
      </w:r>
    </w:p>
    <w:p>
      <w:pPr>
        <w:spacing w:after="0" w:line="83" w:lineRule="exact"/>
        <w:rPr>
          <w:sz w:val="20"/>
          <w:szCs w:val="20"/>
          <w:color w:val="auto"/>
        </w:rPr>
      </w:pPr>
    </w:p>
    <w:p>
      <w:pPr>
        <w:ind w:left="840" w:hanging="376"/>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280" w:hanging="377"/>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57" w:lineRule="exact"/>
        <w:rPr>
          <w:rFonts w:ascii="Arial" w:cs="Arial" w:eastAsia="Arial" w:hAnsi="Arial"/>
          <w:sz w:val="18"/>
          <w:szCs w:val="18"/>
          <w:color w:val="auto"/>
        </w:rPr>
      </w:pPr>
    </w:p>
    <w:p>
      <w:pPr>
        <w:ind w:left="1680" w:hanging="339"/>
        <w:spacing w:after="0"/>
        <w:tabs>
          <w:tab w:leader="none" w:pos="16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920" w:right="60" w:firstLine="421"/>
        <w:spacing w:after="0" w:line="290" w:lineRule="auto"/>
        <w:tabs>
          <w:tab w:leader="none" w:pos="1727"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104" w:lineRule="exact"/>
        <w:rPr>
          <w:rFonts w:ascii="Arial" w:cs="Arial" w:eastAsia="Arial" w:hAnsi="Arial"/>
          <w:sz w:val="16"/>
          <w:szCs w:val="16"/>
          <w:color w:val="auto"/>
        </w:rPr>
      </w:pPr>
    </w:p>
    <w:p>
      <w:pPr>
        <w:ind w:left="920" w:right="100" w:firstLine="421"/>
        <w:spacing w:after="0" w:line="268" w:lineRule="auto"/>
        <w:tabs>
          <w:tab w:leader="none" w:pos="177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380"/>
          </w:cols>
          <w:pgMar w:left="240" w:top="422" w:right="279" w:bottom="1440" w:gutter="0" w:footer="0" w:header="0"/>
        </w:sectPr>
      </w:pPr>
    </w:p>
    <w:bookmarkStart w:id="6" w:name="page7"/>
    <w:bookmarkEnd w:id="6"/>
    <w:p>
      <w:pPr>
        <w:ind w:right="220"/>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however, </w:t>
      </w:r>
      <w:r>
        <w:rPr>
          <w:rFonts w:ascii="Arial" w:cs="Arial" w:eastAsia="Arial" w:hAnsi="Arial"/>
          <w:sz w:val="16"/>
          <w:szCs w:val="16"/>
          <w:color w:val="auto"/>
        </w:rPr>
        <w:t>that the undertakings set forth in paragraphs (a)(1)(i) and (a)(1)(ii) above do not apply if [the registration statement is on Form S-3 or</w:t>
      </w:r>
      <w:r>
        <w:rPr>
          <w:rFonts w:ascii="Arial" w:cs="Arial" w:eastAsia="Arial" w:hAnsi="Arial"/>
          <w:sz w:val="16"/>
          <w:szCs w:val="16"/>
          <w:i w:val="1"/>
          <w:iCs w:val="1"/>
          <w:color w:val="auto"/>
        </w:rPr>
        <w:t xml:space="preserve"> </w:t>
      </w:r>
      <w:r>
        <w:rPr>
          <w:rFonts w:ascii="Arial" w:cs="Arial" w:eastAsia="Arial" w:hAnsi="Arial"/>
          <w:sz w:val="16"/>
          <w:szCs w:val="16"/>
          <w:color w:val="auto"/>
        </w:rPr>
        <w:t>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2" w:lineRule="exact"/>
        <w:rPr>
          <w:sz w:val="20"/>
          <w:szCs w:val="20"/>
          <w:color w:val="auto"/>
        </w:rPr>
      </w:pPr>
    </w:p>
    <w:p>
      <w:pPr>
        <w:jc w:val="both"/>
        <w:ind w:firstLine="443"/>
        <w:spacing w:after="0" w:line="259" w:lineRule="auto"/>
        <w:tabs>
          <w:tab w:leader="none" w:pos="815"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right="680" w:firstLine="443"/>
        <w:spacing w:after="0" w:line="268" w:lineRule="auto"/>
        <w:tabs>
          <w:tab w:leader="none" w:pos="81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460" w:right="100" w:firstLine="464"/>
        <w:spacing w:after="0" w:line="255" w:lineRule="auto"/>
        <w:tabs>
          <w:tab w:leader="none" w:pos="3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460" w:right="20" w:firstLine="464"/>
        <w:spacing w:after="0" w:line="289" w:lineRule="auto"/>
        <w:tabs>
          <w:tab w:leader="none" w:pos="36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0"/>
          </w:cols>
          <w:pgMar w:left="700" w:top="347"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April 1, 2003.</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520" w:val="left"/>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Financial Officer</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April 1, 2003 in the capacities indicated.</w:t>
      </w:r>
    </w:p>
    <w:p>
      <w:pPr>
        <w:sectPr>
          <w:pgSz w:w="11900" w:h="16838" w:orient="portrait"/>
          <w:cols w:equalWidth="0" w:num="1">
            <w:col w:w="11400"/>
          </w:cols>
          <w:pgMar w:left="240" w:top="422" w:right="259" w:bottom="1440" w:gutter="0" w:footer="0" w:header="0"/>
        </w:sectPr>
      </w:pPr>
    </w:p>
    <w:p>
      <w:pPr>
        <w:spacing w:after="0" w:line="33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Chairman and Chief Executive Officer</w:t>
      </w:r>
    </w:p>
    <w:p>
      <w:pPr>
        <w:spacing w:after="0" w:line="24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4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16" w:lineRule="exact"/>
        <w:rPr>
          <w:sz w:val="20"/>
          <w:szCs w:val="20"/>
          <w:color w:val="auto"/>
        </w:rPr>
      </w:pPr>
    </w:p>
    <w:p>
      <w:pPr>
        <w:spacing w:after="0"/>
        <w:tabs>
          <w:tab w:leader="none" w:pos="740" w:val="left"/>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Ellen S. Summer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2418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William T. McCormick,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22" w:lineRule="exact"/>
        <w:rPr>
          <w:sz w:val="20"/>
          <w:szCs w:val="20"/>
          <w:color w:val="auto"/>
        </w:rPr>
      </w:pPr>
    </w:p>
    <w:p>
      <w:pPr>
        <w:sectPr>
          <w:pgSz w:w="11900" w:h="16838" w:orient="portrait"/>
          <w:cols w:equalWidth="0" w:num="2">
            <w:col w:w="5340" w:space="720"/>
            <w:col w:w="5340"/>
          </w:cols>
          <w:pgMar w:left="240" w:top="422" w:right="259" w:bottom="1440" w:gutter="0" w:footer="0" w:header="0"/>
          <w:type w:val="continuous"/>
        </w:sectPr>
      </w:pPr>
    </w:p>
    <w:p>
      <w:pPr>
        <w:spacing w:after="0" w:line="3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Ellen S. Summer Attorney-in-Fact, pursuant to Powers of Attorney (filed herewith)</w:t>
      </w:r>
    </w:p>
    <w:p>
      <w:pPr>
        <w:sectPr>
          <w:pgSz w:w="11900" w:h="16838" w:orient="portrait"/>
          <w:cols w:equalWidth="0" w:num="1">
            <w:col w:w="11400"/>
          </w:cols>
          <w:pgMar w:left="240" w:top="422" w:right="259" w:bottom="1440" w:gutter="0" w:footer="0" w:header="0"/>
          <w:type w:val="continuous"/>
        </w:sectPr>
      </w:pPr>
    </w:p>
    <w:bookmarkStart w:id="8" w:name="page9"/>
    <w:bookmarkEnd w:id="8"/>
    <w:tbl>
      <w:tblPr>
        <w:tblLayout w:type="fixed"/>
        <w:tblInd w:w="52"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40" w:type="dxa"/>
            <w:vAlign w:val="bottom"/>
            <w:gridSpan w:val="3"/>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74"/>
        </w:trPr>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w:t>
            </w:r>
          </w:p>
        </w:tc>
        <w:tc>
          <w:tcPr>
            <w:tcW w:w="6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3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r>
      <w:tr>
        <w:trPr>
          <w:trHeight w:val="309"/>
        </w:trPr>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w w:val="99"/>
              </w:rPr>
              <w:t>Deed of Incorporation of Schlumberger N.V. as last amended on May 4, 2001 (incorporated by reference to Exhibit 3(a) to</w:t>
            </w:r>
          </w:p>
        </w:tc>
      </w:tr>
      <w:tr>
        <w:trPr>
          <w:trHeight w:val="222"/>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rPr>
              <w:t>Schlumberger’s Form 10-Q for the quarter ended June 30, 2001, File No. 1-4601).</w:t>
            </w:r>
          </w:p>
        </w:tc>
      </w:tr>
      <w:tr>
        <w:trPr>
          <w:trHeight w:val="426"/>
        </w:trPr>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w w:val="89"/>
              </w:rPr>
              <w:t>By-laws of Schlumberger N.V., as last amended on April 19, 2001 (incorporated by reference to Exhibit 3(b) to Schlumberger’s Form 10-</w:t>
            </w:r>
          </w:p>
        </w:tc>
      </w:tr>
      <w:tr>
        <w:trPr>
          <w:trHeight w:val="222"/>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rPr>
              <w:t>Q for the quarter ended June 30, 2001, File No. 1-4601).</w:t>
            </w:r>
          </w:p>
        </w:tc>
      </w:tr>
      <w:tr>
        <w:trPr>
          <w:trHeight w:val="426"/>
        </w:trPr>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w w:val="90"/>
              </w:rPr>
              <w:t>Schlumberger 2001 Stock Option Plan (incorporated by reference to Schlumberger’s Form 10-Q for the quarter ended March 31, 2001,</w:t>
            </w:r>
          </w:p>
        </w:tc>
      </w:tr>
      <w:tr>
        <w:trPr>
          <w:trHeight w:val="222"/>
        </w:trPr>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40" w:type="dxa"/>
            <w:vAlign w:val="bottom"/>
            <w:gridSpan w:val="3"/>
          </w:tcPr>
          <w:p>
            <w:pPr>
              <w:ind w:left="160"/>
              <w:spacing w:after="0"/>
              <w:rPr>
                <w:sz w:val="20"/>
                <w:szCs w:val="20"/>
                <w:color w:val="auto"/>
              </w:rPr>
            </w:pPr>
            <w:r>
              <w:rPr>
                <w:rFonts w:ascii="Arial" w:cs="Arial" w:eastAsia="Arial" w:hAnsi="Arial"/>
                <w:sz w:val="18"/>
                <w:szCs w:val="18"/>
                <w:color w:val="auto"/>
              </w:rPr>
              <w:t>File No. 1-4601).</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192" w:hanging="591"/>
        <w:spacing w:after="0"/>
        <w:tabs>
          <w:tab w:leader="none" w:pos="1192"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Opinion of Ellen S. Summer, Esq. as to the legality of the common shares being registered (filed herewith).</w:t>
      </w:r>
    </w:p>
    <w:p>
      <w:pPr>
        <w:spacing w:after="0" w:line="225" w:lineRule="exact"/>
        <w:rPr>
          <w:sz w:val="20"/>
          <w:szCs w:val="20"/>
          <w:color w:val="auto"/>
        </w:rPr>
      </w:pPr>
    </w:p>
    <w:tbl>
      <w:tblPr>
        <w:tblLayout w:type="fixed"/>
        <w:tblInd w:w="372" w:type="dxa"/>
        <w:tblCellMar>
          <w:top w:w="0" w:type="dxa"/>
          <w:left w:w="0" w:type="dxa"/>
          <w:bottom w:w="0" w:type="dxa"/>
          <w:right w:w="0" w:type="dxa"/>
        </w:tblCellMar>
      </w:tblPr>
      <w:tr>
        <w:trPr>
          <w:trHeight w:val="22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23.1</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w w:val="89"/>
              </w:rPr>
              <w:t>Consent of PricewaterhouseCoopers LLP (New York, NY) independent accountants (filed herewith).</w:t>
            </w:r>
          </w:p>
        </w:tc>
      </w:tr>
      <w:tr>
        <w:trPr>
          <w:trHeight w:val="43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23.2</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rPr>
              <w:t>Consent of Ellen S. Summer, Esq. (included in Exhibit 5).</w:t>
            </w:r>
          </w:p>
        </w:tc>
      </w:tr>
      <w:tr>
        <w:trPr>
          <w:trHeight w:val="43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24.1</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rPr>
              <w:t>Powers of Attorney (filed herewith).</w:t>
            </w:r>
          </w:p>
        </w:tc>
      </w:tr>
      <w:tr>
        <w:trPr>
          <w:trHeight w:val="432"/>
        </w:trPr>
        <w:tc>
          <w:tcPr>
            <w:tcW w:w="560" w:type="dxa"/>
            <w:vAlign w:val="bottom"/>
          </w:tcPr>
          <w:p>
            <w:pPr>
              <w:jc w:val="right"/>
              <w:ind w:right="152"/>
              <w:spacing w:after="0"/>
              <w:rPr>
                <w:sz w:val="20"/>
                <w:szCs w:val="20"/>
                <w:color w:val="auto"/>
              </w:rPr>
            </w:pPr>
            <w:r>
              <w:rPr>
                <w:rFonts w:ascii="Arial" w:cs="Arial" w:eastAsia="Arial" w:hAnsi="Arial"/>
                <w:sz w:val="18"/>
                <w:szCs w:val="18"/>
                <w:color w:val="auto"/>
                <w:w w:val="85"/>
              </w:rPr>
              <w:t>24.2</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7260" w:type="dxa"/>
            <w:vAlign w:val="bottom"/>
          </w:tcPr>
          <w:p>
            <w:pPr>
              <w:ind w:left="160"/>
              <w:spacing w:after="0"/>
              <w:rPr>
                <w:sz w:val="20"/>
                <w:szCs w:val="20"/>
                <w:color w:val="auto"/>
              </w:rPr>
            </w:pPr>
            <w:r>
              <w:rPr>
                <w:rFonts w:ascii="Arial" w:cs="Arial" w:eastAsia="Arial" w:hAnsi="Arial"/>
                <w:sz w:val="18"/>
                <w:szCs w:val="18"/>
                <w:color w:val="auto"/>
              </w:rPr>
              <w:t>Power of Attorney for Andrew Gould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52"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as indicated</w:t>
      </w:r>
    </w:p>
    <w:p>
      <w:pPr>
        <w:sectPr>
          <w:pgSz w:w="11900" w:h="16838" w:orient="portrait"/>
          <w:cols w:equalWidth="0" w:num="1">
            <w:col w:w="11372"/>
          </w:cols>
          <w:pgMar w:left="248" w:top="274" w:right="2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10022-4624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connection with the Registration Statement on Form S-8 (the “Registration Statement”) being filed by Schlumberger Limited, a corporation organized under the laws of the Netherlands Antilles (“Schlumberger”), with the Securities and Exchange Commission under the Securities Act of 1933, as amended (the “Securities Act”), relating to 9,000,000 shares of common stock, par value $.01 per share, of Schlumberger (the “Shares”) that may be issued pursuant to the Schlumberger 2001 Stock Option Plan (the “Plan”), certain legal matters in connection with the Shares are being passed on for you by me. At your request, this opinion is being furnished for filing as Exhibit 5 to the Registration Statement.</w:t>
      </w:r>
    </w:p>
    <w:p>
      <w:pPr>
        <w:spacing w:after="0" w:line="10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 am a member of the New York bar, and I am not admitted to practice in, nor do I hold myself out as an expert on the laws of, the Netherlands Antilles. I have, however, consulted with the law firm of Smeets Thesseling Van Bokhorst, counsel qualified to practice in the Netherlands Antilles. Insofar as the opinions expressed below involve conclusions as to matters governed by the laws of the Netherlands Antilles, I am relying on the opinion of such counsel.</w:t>
      </w:r>
    </w:p>
    <w:p>
      <w:pPr>
        <w:spacing w:after="0" w:line="9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my capacity as General Counsel and Secretary of Schlumberger, I am familiar with the Deed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102"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Based on my examination as aforesaid, I am of the opinion that, following the due authorization of a particular stock option in accordance with the Plan, upon the exercise of such option and the issuance and delivery of the Shares issuable under such option in accordance with the provisions of the Plan and such option, including, without limitation, the payment of the exercise price fixed in such option at least equal to the par value of such Shares, such Shares will have been duly authorized and will be validly issued, fully paid and nonassessable.</w:t>
      </w:r>
    </w:p>
    <w:p>
      <w:pPr>
        <w:spacing w:after="0" w:line="99"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Ellen S. Summer, Esq.</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Ellen S. Summer, Esq.</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hereby consent to the incorporation by reference in this Registration Statement on Form S-8 of our report dated January 22, 2003, relating to the financial statements of Schlumberger Limited, which appear in Schlumberger Limited’s Annual Report on Form 10-K for the year ended December 31,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2003</w:t>
      </w:r>
    </w:p>
    <w:p>
      <w:pPr>
        <w:sectPr>
          <w:pgSz w:w="11900" w:h="16838" w:orient="portrait"/>
          <w:cols w:equalWidth="0" w:num="1">
            <w:col w:w="11420"/>
          </w:cols>
          <w:pgMar w:left="240" w:top="125"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24.1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appoints Ellen S. Summer the attorney of the undersigned, with full power of substitution and revocation, for and in the name, place and stead of the undersigned to execute and file with the Securities and Exchange Commission under the Securities Act of 1933, as amended, one or more registration statements or amendments to registration statements heretofore filed (whether on Form S-8 or such other form as may be required), together with any and all necessary amendments (including post-effective amendments) or supplements thereto as may be necessary or appropriate, and any and all exhibits and other documents relating to said registration statements or amendments, with respect to the registration of 9,000,000 shares of common stock, par value $0.01 per share, of the Corporation to be offered and issued under the Schlumberger Limited 2001 Stock Option Plan. Said attorney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approving the acts of said attorney.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April 18, 2002</w:t>
      </w:r>
    </w:p>
    <w:p>
      <w:pPr>
        <w:sectPr>
          <w:pgSz w:w="11900" w:h="16838" w:orient="portrait"/>
          <w:cols w:equalWidth="0" w:num="1">
            <w:col w:w="11420"/>
          </w:cols>
          <w:pgMar w:left="240" w:top="125" w:right="239" w:bottom="1440"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 Euan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 Euan Baird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Chairman,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Deutch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387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William T. McCormick,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94615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William T. McCormick,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Sven Ullring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André Lévy-Lang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340" w:space="720"/>
            <w:col w:w="5360"/>
          </w:cols>
          <w:pgMar w:left="240" w:top="125" w:right="2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24.2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undersigned, in the capacities set forth below his signature as a member of the Board of Directors and an officer of Schlumberger Limited, a Netherlands Antilles corporation (the “Corporation”), hereby appoints Ellen S. Summer the attorney of the undersigned, with full power of substitution and revocation, for and in the name, place and stead of the undersigned to execute and file with the Securities and Exchange Commission under the Securities Act of 1933, as amended, one or more registration statements or amendments to registration statements heretofore filed (whether on Form S-8 or such other form as may be required), together with any and all necessary amendments (including post-effective amendments) or supplements thereto as may be necessary or appropriate, and any and all exhibits and other documents relating to said registration statements or amendments, with respect to the registration of 9,000,000 shares of common stock, par value $0.01 per share, of the Corporation to be offered and issued under the Schlumberger 2001 Stock Option Plan. Said attorney shall have full power and authority to do and perform in the name and on behalf of the undersigned in any and all capacities every act whatsoever necessary or desirable to be done in the premises as fully and to all intents and purposes as the undersigned might or could do in person, the undersigned hereby ratifying and approving the acts of said attorney.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March 24, 2003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263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Andrew Gould Director, Chairman and Chief Executive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2019-12-13T06:42:02Z</dcterms:created>
  <dcterms:modified xsi:type="dcterms:W3CDTF">2019-12-13T06:42:02Z</dcterms:modified>
</cp:coreProperties>
</file>