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97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Nelson Rodney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10/18/2007</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1,263</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3400" w:type="dxa"/>
            <w:vAlign w:val="bottom"/>
            <w:gridSpan w:val="4"/>
          </w:tcPr>
          <w:p>
            <w:pPr>
              <w:ind w:left="500"/>
              <w:spacing w:after="0"/>
              <w:rPr>
                <w:sz w:val="20"/>
                <w:szCs w:val="20"/>
                <w:color w:val="auto"/>
              </w:rPr>
            </w:pPr>
            <w:r>
              <w:rPr>
                <w:rFonts w:ascii="Arial" w:cs="Arial" w:eastAsia="Arial" w:hAnsi="Arial"/>
                <w:sz w:val="18"/>
                <w:szCs w:val="18"/>
                <w:color w:val="0000FF"/>
              </w:rPr>
              <w:t>SL Prof. Sharing Pln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10/19/2009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5,400</w:t>
            </w:r>
          </w:p>
        </w:tc>
        <w:tc>
          <w:tcPr>
            <w:tcW w:w="880" w:type="dxa"/>
            <w:vAlign w:val="bottom"/>
          </w:tcPr>
          <w:p>
            <w:pPr>
              <w:jc w:val="right"/>
              <w:ind w:right="119"/>
              <w:spacing w:after="0"/>
              <w:rPr>
                <w:sz w:val="20"/>
                <w:szCs w:val="20"/>
                <w:color w:val="auto"/>
              </w:rPr>
            </w:pPr>
            <w:r>
              <w:rPr>
                <w:rFonts w:ascii="Arial" w:cs="Arial" w:eastAsia="Arial" w:hAnsi="Arial"/>
                <w:sz w:val="18"/>
                <w:szCs w:val="18"/>
                <w:color w:val="0000FF"/>
              </w:rPr>
              <w:t>25.748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7,172</w:t>
            </w:r>
          </w:p>
        </w:tc>
        <w:tc>
          <w:tcPr>
            <w:tcW w:w="880" w:type="dxa"/>
            <w:vAlign w:val="bottom"/>
          </w:tcPr>
          <w:p>
            <w:pPr>
              <w:jc w:val="right"/>
              <w:ind w:right="119"/>
              <w:spacing w:after="0"/>
              <w:rPr>
                <w:sz w:val="20"/>
                <w:szCs w:val="20"/>
                <w:color w:val="auto"/>
              </w:rPr>
            </w:pPr>
            <w:r>
              <w:rPr>
                <w:rFonts w:ascii="Arial" w:cs="Arial" w:eastAsia="Arial" w:hAnsi="Arial"/>
                <w:sz w:val="18"/>
                <w:szCs w:val="18"/>
                <w:color w:val="0000FF"/>
              </w:rPr>
              <w:t>27.873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3,064</w:t>
            </w:r>
          </w:p>
        </w:tc>
        <w:tc>
          <w:tcPr>
            <w:tcW w:w="880" w:type="dxa"/>
            <w:vAlign w:val="bottom"/>
          </w:tcPr>
          <w:p>
            <w:pPr>
              <w:jc w:val="right"/>
              <w:ind w:right="119"/>
              <w:spacing w:after="0"/>
              <w:rPr>
                <w:sz w:val="20"/>
                <w:szCs w:val="20"/>
                <w:color w:val="auto"/>
              </w:rPr>
            </w:pPr>
            <w:r>
              <w:rPr>
                <w:rFonts w:ascii="Arial" w:cs="Arial" w:eastAsia="Arial" w:hAnsi="Arial"/>
                <w:sz w:val="18"/>
                <w:szCs w:val="18"/>
                <w:color w:val="0000FF"/>
              </w:rPr>
              <w:t>32.618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1,626</w:t>
            </w:r>
          </w:p>
        </w:tc>
        <w:tc>
          <w:tcPr>
            <w:tcW w:w="880" w:type="dxa"/>
            <w:vAlign w:val="bottom"/>
          </w:tcPr>
          <w:p>
            <w:pPr>
              <w:jc w:val="right"/>
              <w:ind w:right="119"/>
              <w:spacing w:after="0"/>
              <w:rPr>
                <w:sz w:val="20"/>
                <w:szCs w:val="20"/>
                <w:color w:val="auto"/>
              </w:rPr>
            </w:pPr>
            <w:r>
              <w:rPr>
                <w:rFonts w:ascii="Arial" w:cs="Arial" w:eastAsia="Arial" w:hAnsi="Arial"/>
                <w:sz w:val="18"/>
                <w:szCs w:val="18"/>
                <w:color w:val="0000FF"/>
              </w:rPr>
              <w:t>41.141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3,684</w:t>
            </w:r>
          </w:p>
        </w:tc>
        <w:tc>
          <w:tcPr>
            <w:tcW w:w="880" w:type="dxa"/>
            <w:vAlign w:val="bottom"/>
          </w:tcPr>
          <w:p>
            <w:pPr>
              <w:jc w:val="right"/>
              <w:ind w:right="119"/>
              <w:spacing w:after="0"/>
              <w:rPr>
                <w:sz w:val="20"/>
                <w:szCs w:val="20"/>
                <w:color w:val="auto"/>
              </w:rPr>
            </w:pPr>
            <w:r>
              <w:rPr>
                <w:rFonts w:ascii="Arial" w:cs="Arial" w:eastAsia="Arial" w:hAnsi="Arial"/>
                <w:sz w:val="18"/>
                <w:szCs w:val="18"/>
                <w:color w:val="0000FF"/>
              </w:rPr>
              <w:t>54.235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10/19/2009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3,390</w:t>
            </w:r>
          </w:p>
        </w:tc>
        <w:tc>
          <w:tcPr>
            <w:tcW w:w="880" w:type="dxa"/>
            <w:vAlign w:val="bottom"/>
            <w:vMerge w:val="restart"/>
          </w:tcPr>
          <w:p>
            <w:pPr>
              <w:jc w:val="right"/>
              <w:ind w:right="119"/>
              <w:spacing w:after="0"/>
              <w:rPr>
                <w:sz w:val="20"/>
                <w:szCs w:val="20"/>
                <w:color w:val="auto"/>
              </w:rPr>
            </w:pPr>
            <w:r>
              <w:rPr>
                <w:rFonts w:ascii="Arial" w:cs="Arial" w:eastAsia="Arial" w:hAnsi="Arial"/>
                <w:sz w:val="18"/>
                <w:szCs w:val="18"/>
                <w:color w:val="0000FF"/>
              </w:rPr>
              <w:t>25.748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93"/>
              </w:rPr>
              <w:t>828</w:t>
            </w:r>
          </w:p>
        </w:tc>
        <w:tc>
          <w:tcPr>
            <w:tcW w:w="880" w:type="dxa"/>
            <w:vAlign w:val="bottom"/>
            <w:vMerge w:val="restart"/>
          </w:tcPr>
          <w:p>
            <w:pPr>
              <w:jc w:val="right"/>
              <w:ind w:right="119"/>
              <w:spacing w:after="0"/>
              <w:rPr>
                <w:sz w:val="20"/>
                <w:szCs w:val="20"/>
                <w:color w:val="auto"/>
              </w:rPr>
            </w:pPr>
            <w:r>
              <w:rPr>
                <w:rFonts w:ascii="Arial" w:cs="Arial" w:eastAsia="Arial" w:hAnsi="Arial"/>
                <w:sz w:val="18"/>
                <w:szCs w:val="18"/>
                <w:color w:val="0000FF"/>
              </w:rPr>
              <w:t>27.873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1,936</w:t>
            </w:r>
          </w:p>
        </w:tc>
        <w:tc>
          <w:tcPr>
            <w:tcW w:w="880" w:type="dxa"/>
            <w:vAlign w:val="bottom"/>
            <w:vMerge w:val="restart"/>
          </w:tcPr>
          <w:p>
            <w:pPr>
              <w:jc w:val="right"/>
              <w:ind w:right="119"/>
              <w:spacing w:after="0"/>
              <w:rPr>
                <w:sz w:val="20"/>
                <w:szCs w:val="20"/>
                <w:color w:val="auto"/>
              </w:rPr>
            </w:pPr>
            <w:r>
              <w:rPr>
                <w:rFonts w:ascii="Arial" w:cs="Arial" w:eastAsia="Arial" w:hAnsi="Arial"/>
                <w:sz w:val="18"/>
                <w:szCs w:val="18"/>
                <w:color w:val="0000FF"/>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4,374</w:t>
            </w:r>
          </w:p>
        </w:tc>
        <w:tc>
          <w:tcPr>
            <w:tcW w:w="880" w:type="dxa"/>
            <w:vAlign w:val="bottom"/>
            <w:vMerge w:val="restart"/>
          </w:tcPr>
          <w:p>
            <w:pPr>
              <w:jc w:val="right"/>
              <w:ind w:right="119"/>
              <w:spacing w:after="0"/>
              <w:rPr>
                <w:sz w:val="20"/>
                <w:szCs w:val="20"/>
                <w:color w:val="auto"/>
              </w:rPr>
            </w:pPr>
            <w:r>
              <w:rPr>
                <w:rFonts w:ascii="Arial" w:cs="Arial" w:eastAsia="Arial" w:hAnsi="Arial"/>
                <w:sz w:val="18"/>
                <w:szCs w:val="18"/>
                <w:color w:val="0000FF"/>
              </w:rPr>
              <w:t>41.141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16,316</w:t>
            </w:r>
          </w:p>
        </w:tc>
        <w:tc>
          <w:tcPr>
            <w:tcW w:w="880" w:type="dxa"/>
            <w:vAlign w:val="bottom"/>
            <w:vMerge w:val="restart"/>
          </w:tcPr>
          <w:p>
            <w:pPr>
              <w:jc w:val="right"/>
              <w:ind w:right="119"/>
              <w:spacing w:after="0"/>
              <w:rPr>
                <w:sz w:val="20"/>
                <w:szCs w:val="20"/>
                <w:color w:val="auto"/>
              </w:rPr>
            </w:pPr>
            <w:r>
              <w:rPr>
                <w:rFonts w:ascii="Arial" w:cs="Arial" w:eastAsia="Arial" w:hAnsi="Arial"/>
                <w:sz w:val="18"/>
                <w:szCs w:val="18"/>
                <w:color w:val="0000FF"/>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Rodney</w:t>
      </w:r>
      <w:r>
        <w:rPr>
          <w:sz w:val="20"/>
          <w:szCs w:val="20"/>
          <w:color w:val="auto"/>
        </w:rPr>
        <w:tab/>
      </w:r>
      <w:r>
        <w:rPr>
          <w:rFonts w:ascii="Arial" w:cs="Arial" w:eastAsia="Arial" w:hAnsi="Arial"/>
          <w:sz w:val="15"/>
          <w:szCs w:val="15"/>
          <w:color w:val="0000FF"/>
        </w:rPr>
        <w:t>10/22/2007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 Nelson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4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w:t>
      </w:r>
    </w:p>
    <w:p>
      <w:pPr>
        <w:ind w:right="3039"/>
        <w:spacing w:after="0" w:line="237" w:lineRule="auto"/>
        <w:rPr>
          <w:sz w:val="20"/>
          <w:szCs w:val="20"/>
          <w:color w:val="auto"/>
        </w:rPr>
      </w:pPr>
      <w:r>
        <w:rPr>
          <w:rFonts w:ascii="Courier New" w:cs="Courier New" w:eastAsia="Courier New" w:hAnsi="Courier New"/>
          <w:sz w:val="18"/>
          <w:szCs w:val="18"/>
          <w:color w:val="auto"/>
        </w:rPr>
        <w:t>(the "Company"),does hereby appoint Janet B. Glassmacher, Lynda M. Quagliara and Ellen Summer, and each of them severally, his true and lawful attorney-in fact with power to act with or without the other and with full power of substitution and resubstitution, to execute for him and in his name, place and stead, in his capacity as a director or officer or both of the Company,a statement of 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18, 2007</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6"/>
          <w:szCs w:val="16"/>
          <w:color w:val="auto"/>
        </w:rPr>
        <w:t>/s/ Rodney Nelson</w:t>
      </w:r>
    </w:p>
    <w:p>
      <w:pPr>
        <w:spacing w:after="0" w:line="16"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Rodney Nelson</w:t>
      </w:r>
    </w:p>
    <w:sectPr>
      <w:pgSz w:w="11900" w:h="16838" w:orient="portrait"/>
      <w:cols w:equalWidth="0" w:num="2">
        <w:col w:w="3080" w:space="720"/>
        <w:col w:w="64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15796"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2019-12-18T12:30:26Z</dcterms:created>
  <dcterms:modified xsi:type="dcterms:W3CDTF">2019-12-18T12:30:26Z</dcterms:modified>
</cp:coreProperties>
</file>