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Poupeau Jean-Francois</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1180" w:type="dxa"/>
            <w:vAlign w:val="bottom"/>
            <w:tcBorders>
              <w:top w:val="single" w:sz="8" w:color="0000EE"/>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4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520" w:type="dxa"/>
            <w:vAlign w:val="bottom"/>
            <w:tcBorders>
              <w:top w:val="single" w:sz="8" w:color="EEEEEE"/>
            </w:tcBorders>
            <w:vMerge w:val="restart"/>
          </w:tcPr>
          <w:p>
            <w:pPr>
              <w:ind w:left="2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EVP Corporate Engagement</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$0.01 Par Value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01/17/2020</w:t>
      </w:r>
    </w:p>
    <w:p>
      <w:pPr>
        <w:spacing w:after="0" w:line="20" w:lineRule="exact"/>
        <w:rPr>
          <w:sz w:val="20"/>
          <w:szCs w:val="20"/>
          <w:color w:val="auto"/>
        </w:rPr>
      </w:pPr>
      <w:r>
        <w:rPr>
          <w:sz w:val="20"/>
          <w:szCs w:val="20"/>
          <w:color w:val="auto"/>
        </w:rPr>
        <w:br w:type="column"/>
      </w:r>
    </w:p>
    <w:p>
      <w:pPr>
        <w:spacing w:after="0"/>
        <w:tabs>
          <w:tab w:leader="none" w:pos="230" w:val="left"/>
        </w:tabs>
        <w:rPr>
          <w:sz w:val="20"/>
          <w:szCs w:val="20"/>
          <w:color w:val="auto"/>
        </w:rPr>
      </w:pPr>
      <w:r>
        <w:rPr>
          <w:rFonts w:ascii="Arial" w:cs="Arial" w:eastAsia="Arial" w:hAnsi="Arial"/>
          <w:sz w:val="14"/>
          <w:szCs w:val="14"/>
          <w:color w:val="0000FF"/>
        </w:rPr>
        <w:t>A</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24,872</w:t>
      </w:r>
      <w:r>
        <w:rPr>
          <w:rFonts w:ascii="Arial" w:cs="Arial" w:eastAsia="Arial" w:hAnsi="Arial"/>
          <w:sz w:val="22"/>
          <w:szCs w:val="22"/>
          <w:color w:val="008000"/>
          <w:vertAlign w:val="superscript"/>
        </w:rPr>
        <w:t xml:space="preserve">(1)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A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 xml:space="preserve">0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148,164</w:t>
      </w:r>
      <w:r>
        <w:rPr>
          <w:rFonts w:ascii="Arial" w:cs="Arial" w:eastAsia="Arial" w:hAnsi="Arial"/>
          <w:sz w:val="22"/>
          <w:szCs w:val="22"/>
          <w:color w:val="008000"/>
          <w:vertAlign w:val="superscript"/>
        </w:rPr>
        <w:t xml:space="preserve">(2)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47" w:lineRule="exact"/>
        <w:rPr>
          <w:sz w:val="20"/>
          <w:szCs w:val="20"/>
          <w:color w:val="auto"/>
        </w:rPr>
      </w:pPr>
    </w:p>
    <w:p>
      <w:pPr>
        <w:sectPr>
          <w:pgSz w:w="11900" w:h="16838" w:orient="portrait"/>
          <w:cols w:equalWidth="0" w:num="2">
            <w:col w:w="5000" w:space="720"/>
            <w:col w:w="570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500" w:type="dxa"/>
            <w:vAlign w:val="bottom"/>
            <w:tcBorders>
              <w:bottom w:val="single" w:sz="8" w:color="2C2C2C"/>
            </w:tcBorders>
            <w:gridSpan w:val="2"/>
          </w:tcPr>
          <w:p>
            <w:pPr>
              <w:jc w:val="right"/>
              <w:ind w:right="399"/>
              <w:spacing w:after="0"/>
              <w:rPr>
                <w:sz w:val="20"/>
                <w:szCs w:val="20"/>
                <w:color w:val="auto"/>
              </w:rPr>
            </w:pPr>
            <w:r>
              <w:rPr>
                <w:rFonts w:ascii="Arial" w:cs="Arial" w:eastAsia="Arial" w:hAnsi="Arial"/>
                <w:sz w:val="18"/>
                <w:szCs w:val="18"/>
                <w:color w:val="0000FF"/>
              </w:rPr>
              <w:t>01/17/2020</w:t>
            </w: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54,750</w:t>
            </w:r>
            <w:r>
              <w:rPr>
                <w:rFonts w:ascii="Arial" w:cs="Arial" w:eastAsia="Arial" w:hAnsi="Arial"/>
                <w:sz w:val="22"/>
                <w:szCs w:val="22"/>
                <w:color w:val="008000"/>
                <w:vertAlign w:val="superscript"/>
              </w:rPr>
              <w:t>(3)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5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417"/>
              <w:spacing w:after="0"/>
              <w:rPr>
                <w:sz w:val="20"/>
                <w:szCs w:val="20"/>
                <w:color w:val="auto"/>
              </w:rPr>
            </w:pPr>
            <w:r>
              <w:rPr>
                <w:rFonts w:ascii="Arial" w:cs="Arial" w:eastAsia="Arial" w:hAnsi="Arial"/>
                <w:sz w:val="18"/>
                <w:szCs w:val="18"/>
                <w:color w:val="0000FF"/>
                <w:w w:val="86"/>
              </w:rPr>
              <w:t>202,914</w:t>
            </w:r>
          </w:p>
        </w:tc>
        <w:tc>
          <w:tcPr>
            <w:tcW w:w="76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500" w:type="dxa"/>
            <w:vAlign w:val="bottom"/>
            <w:gridSpan w:val="2"/>
          </w:tcPr>
          <w:p>
            <w:pPr>
              <w:jc w:val="right"/>
              <w:ind w:right="399"/>
              <w:spacing w:after="0"/>
              <w:rPr>
                <w:sz w:val="20"/>
                <w:szCs w:val="20"/>
                <w:color w:val="auto"/>
              </w:rPr>
            </w:pPr>
            <w:r>
              <w:rPr>
                <w:rFonts w:ascii="Arial" w:cs="Arial" w:eastAsia="Arial" w:hAnsi="Arial"/>
                <w:sz w:val="18"/>
                <w:szCs w:val="18"/>
                <w:color w:val="0000FF"/>
              </w:rPr>
              <w:t>01/17/2020</w:t>
            </w:r>
          </w:p>
        </w:tc>
        <w:tc>
          <w:tcPr>
            <w:tcW w:w="780" w:type="dxa"/>
            <w:vAlign w:val="bottom"/>
          </w:tcPr>
          <w:p>
            <w:pPr>
              <w:spacing w:after="0"/>
              <w:rPr>
                <w:sz w:val="23"/>
                <w:szCs w:val="23"/>
                <w:color w:val="auto"/>
              </w:rPr>
            </w:pPr>
          </w:p>
        </w:tc>
        <w:tc>
          <w:tcPr>
            <w:tcW w:w="820" w:type="dxa"/>
            <w:vAlign w:val="bottom"/>
          </w:tcPr>
          <w:p>
            <w:pPr>
              <w:ind w:left="260"/>
              <w:spacing w:after="0"/>
              <w:rPr>
                <w:sz w:val="20"/>
                <w:szCs w:val="20"/>
                <w:color w:val="auto"/>
              </w:rPr>
            </w:pPr>
            <w:r>
              <w:rPr>
                <w:rFonts w:ascii="Arial" w:cs="Arial" w:eastAsia="Arial" w:hAnsi="Arial"/>
                <w:sz w:val="14"/>
                <w:szCs w:val="14"/>
                <w:color w:val="0000FF"/>
              </w:rPr>
              <w:t>F</w:t>
            </w:r>
          </w:p>
        </w:tc>
        <w:tc>
          <w:tcPr>
            <w:tcW w:w="820" w:type="dxa"/>
            <w:vAlign w:val="bottom"/>
          </w:tcPr>
          <w:p>
            <w:pPr>
              <w:jc w:val="right"/>
              <w:ind w:right="46"/>
              <w:spacing w:after="0"/>
              <w:rPr>
                <w:sz w:val="20"/>
                <w:szCs w:val="20"/>
                <w:color w:val="auto"/>
              </w:rPr>
            </w:pPr>
            <w:r>
              <w:rPr>
                <w:rFonts w:ascii="Arial" w:cs="Arial" w:eastAsia="Arial" w:hAnsi="Arial"/>
                <w:sz w:val="18"/>
                <w:szCs w:val="18"/>
                <w:color w:val="0000FF"/>
              </w:rPr>
              <w:t>9,874</w:t>
            </w:r>
          </w:p>
        </w:tc>
        <w:tc>
          <w:tcPr>
            <w:tcW w:w="440" w:type="dxa"/>
            <w:vAlign w:val="bottom"/>
          </w:tcPr>
          <w:p>
            <w:pPr>
              <w:ind w:left="300"/>
              <w:spacing w:after="0"/>
              <w:rPr>
                <w:sz w:val="20"/>
                <w:szCs w:val="20"/>
                <w:color w:val="auto"/>
              </w:rPr>
            </w:pPr>
            <w:r>
              <w:rPr>
                <w:rFonts w:ascii="Arial" w:cs="Arial" w:eastAsia="Arial" w:hAnsi="Arial"/>
                <w:sz w:val="18"/>
                <w:szCs w:val="18"/>
                <w:color w:val="0000FF"/>
                <w:w w:val="91"/>
              </w:rPr>
              <w:t>D</w:t>
            </w:r>
          </w:p>
        </w:tc>
        <w:tc>
          <w:tcPr>
            <w:tcW w:w="1180" w:type="dxa"/>
            <w:vAlign w:val="bottom"/>
            <w:gridSpan w:val="3"/>
          </w:tcPr>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39.075</w:t>
            </w:r>
          </w:p>
        </w:tc>
        <w:tc>
          <w:tcPr>
            <w:tcW w:w="1120" w:type="dxa"/>
            <w:vAlign w:val="bottom"/>
            <w:gridSpan w:val="2"/>
          </w:tcPr>
          <w:p>
            <w:pPr>
              <w:jc w:val="center"/>
              <w:ind w:right="417"/>
              <w:spacing w:after="0"/>
              <w:rPr>
                <w:sz w:val="20"/>
                <w:szCs w:val="20"/>
                <w:color w:val="auto"/>
              </w:rPr>
            </w:pPr>
            <w:r>
              <w:rPr>
                <w:rFonts w:ascii="Arial" w:cs="Arial" w:eastAsia="Arial" w:hAnsi="Arial"/>
                <w:sz w:val="18"/>
                <w:szCs w:val="18"/>
                <w:color w:val="0000FF"/>
                <w:w w:val="86"/>
              </w:rPr>
              <w:t>193,040</w:t>
            </w:r>
          </w:p>
        </w:tc>
        <w:tc>
          <w:tcPr>
            <w:tcW w:w="760" w:type="dxa"/>
            <w:vAlign w:val="bottom"/>
          </w:tcPr>
          <w:p>
            <w:pPr>
              <w:jc w:val="center"/>
              <w:ind w:right="15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Sl Profit</w:t>
            </w:r>
          </w:p>
        </w:tc>
      </w:tr>
      <w:tr>
        <w:trPr>
          <w:trHeight w:val="216"/>
        </w:trPr>
        <w:tc>
          <w:tcPr>
            <w:tcW w:w="20" w:type="dxa"/>
            <w:vAlign w:val="bottom"/>
          </w:tcPr>
          <w:p>
            <w:pPr>
              <w:spacing w:after="0"/>
              <w:rPr>
                <w:sz w:val="18"/>
                <w:szCs w:val="18"/>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617"/>
              <w:spacing w:after="0"/>
              <w:rPr>
                <w:sz w:val="20"/>
                <w:szCs w:val="20"/>
                <w:color w:val="auto"/>
              </w:rPr>
            </w:pPr>
            <w:r>
              <w:rPr>
                <w:rFonts w:ascii="Arial" w:cs="Arial" w:eastAsia="Arial" w:hAnsi="Arial"/>
                <w:sz w:val="18"/>
                <w:szCs w:val="18"/>
                <w:color w:val="0000FF"/>
                <w:w w:val="89"/>
              </w:rPr>
              <w:t>92</w:t>
            </w:r>
          </w:p>
        </w:tc>
        <w:tc>
          <w:tcPr>
            <w:tcW w:w="760" w:type="dxa"/>
            <w:vAlign w:val="bottom"/>
          </w:tcPr>
          <w:p>
            <w:pPr>
              <w:jc w:val="center"/>
              <w:ind w:right="15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Sharing</w:t>
            </w: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8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January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342 shares for the period ended June 30, 2019, and 312 shares for the period ended December 31, 2019, that were acquired under the Schlumberger discounted stock purchase plan.</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01/22/2020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358232"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2020-01-22T17:02:40Z</dcterms:created>
  <dcterms:modified xsi:type="dcterms:W3CDTF">2020-01-22T17:02:40Z</dcterms:modified>
</cp:coreProperties>
</file>