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November 29,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29, 2006, Schlumberger N.V. (Schlumberger Limited), a Netherlands Antilles corporation (“Schlumberger”), entered into a Purchase Agreement (the “Purchase Agreement”) with J.P. Morgan Securities Inc., Kellyanna Company Limited and the selling stockholders named therein (the “Selling Stockholders”) relating to the purchase by J.P. Morgan Securities Inc. of an aggregate of 4,182,074 shares (the “Shares”) of Schlumberger’s common stock, par value $0.01 per share, from the Selling Stockholders. Schlumberger did not buy or sell any of the Shares in the offering.</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 registration statement on Form S-3ASR (Registration No. 333-134300) with respect to the resale of the Shares has been declared effective by the Securities and Exchange Commission. A copy of the Purchase Agreement has been included as Exhibit 1.1 to this Current Report on Form 8-K and is incorporated by reference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900" w:right="480" w:hanging="445"/>
        <w:spacing w:after="0" w:line="268" w:lineRule="auto"/>
        <w:tabs>
          <w:tab w:leader="none" w:pos="880" w:val="left"/>
        </w:tabs>
        <w:rPr>
          <w:sz w:val="20"/>
          <w:szCs w:val="20"/>
          <w:color w:val="auto"/>
        </w:rPr>
      </w:pPr>
      <w:r>
        <w:rPr>
          <w:rFonts w:ascii="Arial" w:cs="Arial" w:eastAsia="Arial" w:hAnsi="Arial"/>
          <w:sz w:val="18"/>
          <w:szCs w:val="18"/>
          <w:color w:val="auto"/>
        </w:rPr>
        <w:t>1.1</w:t>
        <w:tab/>
        <w:t>Purchase Agreement, dated November 29, 2006, among Schlumberger N.V. (Schlumberger Limited), J.P. Morgan Securities Inc., Kellyanna Company Limited and the selling stockholders named therein.</w:t>
      </w:r>
    </w:p>
    <w:p>
      <w:pPr>
        <w:sectPr>
          <w:pgSz w:w="11900" w:h="16838" w:orient="portrait"/>
          <w:cols w:equalWidth="0" w:num="1">
            <w:col w:w="11220"/>
          </w:cols>
          <w:pgMar w:left="240" w:top="274"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November 29, 2006 among J.P. Morgan Securities Inc. (the “</w:t>
      </w:r>
      <w:r>
        <w:rPr>
          <w:rFonts w:ascii="Arial" w:cs="Arial" w:eastAsia="Arial" w:hAnsi="Arial"/>
          <w:sz w:val="16"/>
          <w:szCs w:val="16"/>
          <w:b w:val="1"/>
          <w:bCs w:val="1"/>
          <w:color w:val="auto"/>
        </w:rPr>
        <w:t>Purchaser</w:t>
      </w:r>
      <w:r>
        <w:rPr>
          <w:rFonts w:ascii="Arial" w:cs="Arial" w:eastAsia="Arial" w:hAnsi="Arial"/>
          <w:sz w:val="16"/>
          <w:szCs w:val="16"/>
          <w:color w:val="auto"/>
        </w:rPr>
        <w:t xml:space="preserve">”), each of the persons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Kellyanna Company Limited, a Cyprus limited company, in its capacity as the PAS Shareholder Representative under the PAS Shareholder Representative and Escrow Agreement dated as of December 5, 2003 (“</w:t>
      </w:r>
      <w:r>
        <w:rPr>
          <w:rFonts w:ascii="Arial" w:cs="Arial" w:eastAsia="Arial" w:hAnsi="Arial"/>
          <w:sz w:val="16"/>
          <w:szCs w:val="16"/>
          <w:b w:val="1"/>
          <w:bCs w:val="1"/>
          <w:color w:val="auto"/>
        </w:rPr>
        <w:t>PAS Shareholder</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Representative</w:t>
      </w:r>
      <w:r>
        <w:rPr>
          <w:rFonts w:ascii="Arial" w:cs="Arial" w:eastAsia="Arial" w:hAnsi="Arial"/>
          <w:sz w:val="16"/>
          <w:szCs w:val="16"/>
          <w:color w:val="auto"/>
        </w:rPr>
        <w:t>”), and, solely with respect to Sections 3, 5(b)(ix), 6(a) and 7, Schlumberger N.V. (Schlumberger Limited), a corporation organized under the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Netherlands Antilles (the “</w:t>
      </w:r>
      <w:r>
        <w:rPr>
          <w:rFonts w:ascii="Arial" w:cs="Arial" w:eastAsia="Arial" w:hAnsi="Arial"/>
          <w:sz w:val="16"/>
          <w:szCs w:val="16"/>
          <w:b w:val="1"/>
          <w:bCs w:val="1"/>
          <w:color w:val="auto"/>
        </w:rPr>
        <w:t>Company</w:t>
      </w:r>
      <w:r>
        <w:rPr>
          <w:rFonts w:ascii="Arial" w:cs="Arial" w:eastAsia="Arial" w:hAnsi="Arial"/>
          <w:sz w:val="16"/>
          <w:szCs w:val="16"/>
          <w:color w:val="auto"/>
        </w:rPr>
        <w:t>”). In consideration of the mutual covenants and agreements set forth herein and for good and valuable consideration, the receipt of which is hereby acknowledged, the parties agree as follows:</w:t>
      </w:r>
    </w:p>
    <w:p>
      <w:pPr>
        <w:spacing w:after="0" w:line="36" w:lineRule="exact"/>
        <w:rPr>
          <w:sz w:val="20"/>
          <w:szCs w:val="20"/>
          <w:color w:val="auto"/>
        </w:rPr>
      </w:pPr>
    </w:p>
    <w:p>
      <w:pPr>
        <w:ind w:right="240" w:firstLine="464"/>
        <w:spacing w:after="0" w:line="256"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Subject to the terms and conditions hereof, the Purchaser shall purchase from each Selling Shareholder, and each Selling Shareholder shall sell to the Purchaser, the number of shares of common stock, par value $.01 per share, of the Company (“</w:t>
      </w:r>
      <w:r>
        <w:rPr>
          <w:rFonts w:ascii="Arial" w:cs="Arial" w:eastAsia="Arial" w:hAnsi="Arial"/>
          <w:sz w:val="18"/>
          <w:szCs w:val="18"/>
          <w:b w:val="1"/>
          <w:bCs w:val="1"/>
          <w:color w:val="auto"/>
        </w:rPr>
        <w:t>Shares</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number of Shares set forth thereon with respect to each Selling Shareholder, “</w:t>
      </w:r>
      <w:r>
        <w:rPr>
          <w:rFonts w:ascii="Arial" w:cs="Arial" w:eastAsia="Arial" w:hAnsi="Arial"/>
          <w:sz w:val="18"/>
          <w:szCs w:val="18"/>
          <w:b w:val="1"/>
          <w:bCs w:val="1"/>
          <w:color w:val="auto"/>
        </w:rPr>
        <w:t>Purchased Shares</w:t>
      </w:r>
      <w:r>
        <w:rPr>
          <w:rFonts w:ascii="Arial" w:cs="Arial" w:eastAsia="Arial" w:hAnsi="Arial"/>
          <w:sz w:val="18"/>
          <w:szCs w:val="18"/>
          <w:color w:val="auto"/>
        </w:rPr>
        <w:t>”). The purchase price for the Purchased Shares shall be $66.87 per Purchased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ind w:right="140" w:firstLine="464"/>
        <w:spacing w:after="0" w:line="275"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such purchase and sale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on December 5, 2006 (the “</w:t>
      </w:r>
      <w:r>
        <w:rPr>
          <w:rFonts w:ascii="Arial" w:cs="Arial" w:eastAsia="Arial" w:hAnsi="Arial"/>
          <w:sz w:val="18"/>
          <w:szCs w:val="18"/>
          <w:b w:val="1"/>
          <w:bCs w:val="1"/>
          <w:color w:val="auto"/>
        </w:rPr>
        <w:t>Closing Date</w:t>
      </w:r>
      <w:r>
        <w:rPr>
          <w:rFonts w:ascii="Arial" w:cs="Arial" w:eastAsia="Arial" w:hAnsi="Arial"/>
          <w:sz w:val="18"/>
          <w:szCs w:val="18"/>
          <w:color w:val="auto"/>
        </w:rPr>
        <w:t>”) at such location and at such time as the Purchaser and the PAS Shareholder Representative shall have agreed. Upon Closing:</w:t>
      </w:r>
    </w:p>
    <w:p>
      <w:pPr>
        <w:spacing w:after="0" w:line="44" w:lineRule="exact"/>
        <w:rPr>
          <w:rFonts w:ascii="Arial" w:cs="Arial" w:eastAsia="Arial" w:hAnsi="Arial"/>
          <w:sz w:val="18"/>
          <w:szCs w:val="18"/>
          <w:color w:val="auto"/>
        </w:rPr>
      </w:pPr>
    </w:p>
    <w:p>
      <w:pPr>
        <w:ind w:left="460" w:right="80" w:firstLine="443"/>
        <w:spacing w:after="0" w:line="306"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each Selling Shareholder shall deliver or caused to be delivered to the Purchaser the number of Purchased Shares sold by such Selling Shareholder in book entry form or physical certificates and in coordination with the procedures established by the Purchaser, the PAS Shareholder Representative, the Selling Shareholders and, if applicable, the Joint Stock Commercial Bank “ROSBANK” (located in Moscow, Russian Federation); and</w:t>
      </w:r>
    </w:p>
    <w:p>
      <w:pPr>
        <w:spacing w:after="0" w:line="25" w:lineRule="exact"/>
        <w:rPr>
          <w:rFonts w:ascii="Arial" w:cs="Arial" w:eastAsia="Arial" w:hAnsi="Arial"/>
          <w:sz w:val="16"/>
          <w:szCs w:val="16"/>
          <w:color w:val="auto"/>
        </w:rPr>
      </w:pPr>
    </w:p>
    <w:p>
      <w:pPr>
        <w:ind w:left="460" w:right="20" w:firstLine="443"/>
        <w:spacing w:after="0" w:line="259" w:lineRule="auto"/>
        <w:tabs>
          <w:tab w:leader="none" w:pos="1147"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the Purchaser shall pay for the Purchased Shares sold by each Selling Shareholder an amount in equal to the product of the Purchase Price and the number of shares set forth opposite such Selling Shareholder’s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by wire transfer of immediately available funds to the account or accounts designated by the PAS Shareholder Representative.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hereby represents and warrants to the Purchaser as follows:</w:t>
      </w:r>
    </w:p>
    <w:p>
      <w:pPr>
        <w:spacing w:after="0" w:line="90" w:lineRule="exact"/>
        <w:rPr>
          <w:rFonts w:ascii="Arial" w:cs="Arial" w:eastAsia="Arial" w:hAnsi="Arial"/>
          <w:sz w:val="18"/>
          <w:szCs w:val="18"/>
          <w:color w:val="auto"/>
        </w:rPr>
      </w:pPr>
    </w:p>
    <w:p>
      <w:pPr>
        <w:ind w:left="460" w:right="60" w:firstLine="443"/>
        <w:spacing w:after="0" w:line="298"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A shelf registration statement for an offering to be made on a continuous or delayed basis in the future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S-3 (File No. 333-134300) with respect to the Purchased Shares has (i) been prepared by the Company in conformity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rules and regulations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thereunder, (ii) been filed with the Commission under the Securities Act, and (iii) become effective under the</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Copies of such registration statement and each of the amendments thereto, if any, have been delivered by the Company to the Purchaser. As used in this Agreement, “</w:t>
      </w:r>
      <w:r>
        <w:rPr>
          <w:rFonts w:ascii="Arial" w:cs="Arial" w:eastAsia="Arial" w:hAnsi="Arial"/>
          <w:sz w:val="15"/>
          <w:szCs w:val="15"/>
          <w:u w:val="single" w:color="auto"/>
          <w:color w:val="auto"/>
        </w:rPr>
        <w:t>Effective Time</w:t>
      </w:r>
      <w:r>
        <w:rPr>
          <w:rFonts w:ascii="Arial" w:cs="Arial" w:eastAsia="Arial" w:hAnsi="Arial"/>
          <w:sz w:val="15"/>
          <w:szCs w:val="15"/>
          <w:color w:val="auto"/>
        </w:rPr>
        <w:t>” means the date and the time as of which such registration statement, or the most recent post-effective amendment thereto, if any, was declared effective by the Commission; “</w:t>
      </w:r>
      <w:r>
        <w:rPr>
          <w:rFonts w:ascii="Arial" w:cs="Arial" w:eastAsia="Arial" w:hAnsi="Arial"/>
          <w:sz w:val="15"/>
          <w:szCs w:val="15"/>
          <w:u w:val="single" w:color="auto"/>
          <w:color w:val="auto"/>
        </w:rPr>
        <w:t>Effective Date</w:t>
      </w:r>
      <w:r>
        <w:rPr>
          <w:rFonts w:ascii="Arial" w:cs="Arial" w:eastAsia="Arial" w:hAnsi="Arial"/>
          <w:sz w:val="15"/>
          <w:szCs w:val="15"/>
          <w:color w:val="auto"/>
        </w:rPr>
        <w:t>” means the date of the Effective Time;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the registration statement referred to above, as amended at the Effective Time; and “</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final prospectus supplement, if any, relating to the Purchased Shares and the offering thereof, including the accompanying base prospectus, as first filed with the Commission pursuant to Rule 424(b) of the Rules and Regulations after the date and time this Agreement is executed. Reference made herein to the Prospectus shall be deemed to refer to and include any information incorporated by reference therein pursuant to Item 12 of Form S-3 under the Securities Act, as of the date of the Prospectus, and any reference to any amendment or supplement to the Prospectus shall be deemed to refer to and include any document filed under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after the date of the Prospectus and incorporated by reference in the Prospectus; and any reference to any amendment to the Registration Statement shall be deemed to include any periodic report of the Company filed with the Commission pursuant to Section 13(a) or 15(d) of the Exchange Act after the Effective Time that is incorporated by reference in the Registration Statement.</w:t>
      </w:r>
    </w:p>
    <w:p>
      <w:pPr>
        <w:spacing w:after="0" w:line="31"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The Registration Statement conforms, and the Prospectus and any further amendments or supplements to the Registration Statement or the Prospectus will, when they become effective or are filed with the Commission, as the case may be, conform in all material respects to the requirements of the Securities Act and the Rules and Regulations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the case of the Prospectus, in the light of the circumstances under which the statements were made).</w:t>
      </w:r>
    </w:p>
    <w:p>
      <w:pPr>
        <w:spacing w:after="0" w:line="33" w:lineRule="exact"/>
        <w:rPr>
          <w:sz w:val="20"/>
          <w:szCs w:val="20"/>
          <w:color w:val="auto"/>
        </w:rPr>
      </w:pPr>
    </w:p>
    <w:p>
      <w:pPr>
        <w:ind w:firstLine="443"/>
        <w:spacing w:after="0" w:line="291"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Incorporated Documents. </w:t>
      </w:r>
      <w:r>
        <w:rPr>
          <w:rFonts w:ascii="Arial" w:cs="Arial" w:eastAsia="Arial" w:hAnsi="Arial"/>
          <w:sz w:val="16"/>
          <w:szCs w:val="16"/>
          <w:color w:val="auto"/>
        </w:rPr>
        <w:t>The documents incorporated by reference in the Registration Statement and the Prospectus (the “</w:t>
      </w:r>
      <w:r>
        <w:rPr>
          <w:rFonts w:ascii="Arial" w:cs="Arial" w:eastAsia="Arial" w:hAnsi="Arial"/>
          <w:sz w:val="16"/>
          <w:szCs w:val="16"/>
          <w:b w:val="1"/>
          <w:bCs w:val="1"/>
          <w:color w:val="auto"/>
        </w:rPr>
        <w:t>Incorporated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 when they were filed with the Commission, conformed in all material respects to the requirements of the Exchange Act and the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thereunder, and none of the Incorporated Documents contained any untrue statement of material fact or omitted to state a material fact required to be stated therein or necessary to make the statements therein not misleading; and any further documents so filed and incorporated by reference in the Registration Statement and the Prospectus, respectively, when such documents are filed with the Commission, will conform in all material respects to the requirements of the Exchange Act and the Rules and Regulations thereunder and will not contain any untrue statement of a material fact or omit to state a material fact required to be stated therein or necessary to make the statements therein not misleading.</w:t>
      </w:r>
    </w:p>
    <w:p>
      <w:pPr>
        <w:spacing w:after="0" w:line="38" w:lineRule="exact"/>
        <w:rPr>
          <w:rFonts w:ascii="Arial" w:cs="Arial" w:eastAsia="Arial" w:hAnsi="Arial"/>
          <w:sz w:val="16"/>
          <w:szCs w:val="16"/>
          <w:color w:val="auto"/>
        </w:rPr>
      </w:pPr>
    </w:p>
    <w:p>
      <w:pPr>
        <w:ind w:right="300" w:firstLine="443"/>
        <w:spacing w:after="0" w:line="268" w:lineRule="auto"/>
        <w:tabs>
          <w:tab w:leader="none" w:pos="67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Existence; No Breach. </w:t>
      </w:r>
      <w:r>
        <w:rPr>
          <w:rFonts w:ascii="Arial" w:cs="Arial" w:eastAsia="Arial" w:hAnsi="Arial"/>
          <w:sz w:val="18"/>
          <w:szCs w:val="18"/>
          <w:color w:val="auto"/>
        </w:rPr>
        <w:t>(i) The Company is a corporation duly formed, validly existing and in good standing under the laws of the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Antilles, with all</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5" w:name="page6"/>
    <w:bookmarkEnd w:id="5"/>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corporate power and authority to own its properties and conduct its business as described in the Prospectus; and (ii) the execution, delivery and performance of this Agreement by the Company and the consummation by the Company of the transactions contemplated hereby (A) will not conflict with or result in a breach or violation of any of the terms or provisions of, or constitute a default under, any material agreement or instrument to which the Company is a party or by which the Company is bound or to which any of the property or assets of the Company is subject, (B) will not result in any violation of the provisions of the articles of incorporation or the bylaws of the Company, or (C) will not violate any statute or order, rule or regulation of any court or governmental agency or body having jurisdiction over the Company or the property or assets of the Company, except in the case of clauses</w:t>
      </w:r>
    </w:p>
    <w:p>
      <w:pPr>
        <w:spacing w:after="0" w:line="1" w:lineRule="exact"/>
        <w:rPr>
          <w:sz w:val="20"/>
          <w:szCs w:val="20"/>
          <w:color w:val="auto"/>
        </w:rPr>
      </w:pPr>
    </w:p>
    <w:p>
      <w:pPr>
        <w:ind w:right="120" w:firstLine="4"/>
        <w:spacing w:after="0" w:line="255"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(ii), for such conflicts, breaches, violations or defaults as would not prevent the consummation of the transactions contemplated by this Agreement and would not, individually or in the aggregate, reasonably be expected to have a material adverse effect on the financial condition, business, results of operation or prospects of the Company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100" w:firstLine="443"/>
        <w:spacing w:after="0" w:line="314" w:lineRule="auto"/>
        <w:tabs>
          <w:tab w:leader="none" w:pos="687" w:val="left"/>
        </w:tabs>
        <w:numPr>
          <w:ilvl w:val="1"/>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No Material Adverse Effect. </w:t>
      </w:r>
      <w:r>
        <w:rPr>
          <w:rFonts w:ascii="Arial" w:cs="Arial" w:eastAsia="Arial" w:hAnsi="Arial"/>
          <w:sz w:val="15"/>
          <w:szCs w:val="15"/>
          <w:color w:val="auto"/>
        </w:rPr>
        <w:t>Except as set forth in or contemplated by the Incorporated Documents filed with the Commission on or prior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date hereof, since the end of the period covered by the Company’s most recent annual report on Form 10-K filed with the Commission, there has been no change, event, occurrence, effect, fact, circumstance or condition that has had or could be reasonably expected to have a Material Adverse Effect, other than those occurring as a result of general economic or financial conditions or other developments that are not unique to the Company and its subsidiaries and that also affect other companies that participate or are engaged in the lines of business in which the Company and its subsidiaries participate or are engaged, except to the extent such condition or development affects the Company to a significantly greater extent than other similarly situated companies.</w:t>
      </w:r>
    </w:p>
    <w:p>
      <w:pPr>
        <w:spacing w:after="0" w:line="23" w:lineRule="exact"/>
        <w:rPr>
          <w:rFonts w:ascii="Arial" w:cs="Arial" w:eastAsia="Arial" w:hAnsi="Arial"/>
          <w:sz w:val="15"/>
          <w:szCs w:val="15"/>
          <w:color w:val="auto"/>
        </w:rPr>
      </w:pPr>
    </w:p>
    <w:p>
      <w:pPr>
        <w:ind w:left="680" w:hanging="23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w:t>
      </w: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1040" w:firstLine="443"/>
        <w:spacing w:after="0" w:line="268" w:lineRule="auto"/>
        <w:tabs>
          <w:tab w:leader="none" w:pos="657"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of Shares; Listing. </w:t>
      </w:r>
      <w:r>
        <w:rPr>
          <w:rFonts w:ascii="Arial" w:cs="Arial" w:eastAsia="Arial" w:hAnsi="Arial"/>
          <w:sz w:val="18"/>
          <w:szCs w:val="18"/>
          <w:color w:val="auto"/>
        </w:rPr>
        <w:t>The Purchased Shares were duly authorized and validly issued by the Company, are fully paid and</w:t>
      </w:r>
      <w:r>
        <w:rPr>
          <w:rFonts w:ascii="Arial" w:cs="Arial" w:eastAsia="Arial" w:hAnsi="Arial"/>
          <w:sz w:val="18"/>
          <w:szCs w:val="18"/>
          <w:i w:val="1"/>
          <w:iCs w:val="1"/>
          <w:color w:val="auto"/>
        </w:rPr>
        <w:t xml:space="preserve"> </w:t>
      </w:r>
      <w:r>
        <w:rPr>
          <w:rFonts w:ascii="Arial" w:cs="Arial" w:eastAsia="Arial" w:hAnsi="Arial"/>
          <w:sz w:val="18"/>
          <w:szCs w:val="18"/>
          <w:color w:val="auto"/>
        </w:rPr>
        <w:t>nonassessable, and have been approved for listing on the New York Stock Exchange.</w:t>
      </w:r>
    </w:p>
    <w:p>
      <w:pPr>
        <w:spacing w:after="0" w:line="132" w:lineRule="exact"/>
        <w:rPr>
          <w:sz w:val="20"/>
          <w:szCs w:val="20"/>
          <w:color w:val="auto"/>
        </w:rPr>
      </w:pPr>
    </w:p>
    <w:p>
      <w:pPr>
        <w:ind w:left="180" w:hanging="176"/>
        <w:spacing w:after="0"/>
        <w:tabs>
          <w:tab w:leader="none" w:pos="180"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Representations of the Selling Shareholders</w:t>
      </w:r>
      <w:r>
        <w:rPr>
          <w:rFonts w:ascii="Arial" w:cs="Arial" w:eastAsia="Arial" w:hAnsi="Arial"/>
          <w:sz w:val="15"/>
          <w:szCs w:val="15"/>
          <w:color w:val="auto"/>
        </w:rPr>
        <w:t>. Each Selling Shareholder, jointly and severally, hereby represents and warrants to the Purchaser as follows:</w:t>
      </w:r>
    </w:p>
    <w:p>
      <w:pPr>
        <w:spacing w:after="0" w:line="124" w:lineRule="exact"/>
        <w:rPr>
          <w:rFonts w:ascii="Arial" w:cs="Arial" w:eastAsia="Arial" w:hAnsi="Arial"/>
          <w:sz w:val="15"/>
          <w:szCs w:val="15"/>
          <w:color w:val="auto"/>
        </w:rPr>
      </w:pPr>
    </w:p>
    <w:p>
      <w:pPr>
        <w:ind w:right="80" w:firstLine="443"/>
        <w:spacing w:after="0" w:line="259" w:lineRule="auto"/>
        <w:tabs>
          <w:tab w:leader="none" w:pos="677"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Valid Title; No Liens. </w:t>
      </w:r>
      <w:r>
        <w:rPr>
          <w:rFonts w:ascii="Arial" w:cs="Arial" w:eastAsia="Arial" w:hAnsi="Arial"/>
          <w:sz w:val="18"/>
          <w:szCs w:val="18"/>
          <w:color w:val="auto"/>
        </w:rPr>
        <w:t>The Selling Shareholder has good and valid title to such Selling Shareholder’s Purchased Shares, free and clear of all liens,</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encumbrances, equities or claims. Upon delivery of the Purchased Shares and payment therefor pursuant hereto, good and valid title to such Purchased Shares, free and clear of all liens, encumbrances, equities or claims, will pass to the Purchaser.</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1"/>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Existence; No Breach. </w:t>
      </w:r>
      <w:r>
        <w:rPr>
          <w:rFonts w:ascii="Arial" w:cs="Arial" w:eastAsia="Arial" w:hAnsi="Arial"/>
          <w:sz w:val="15"/>
          <w:szCs w:val="15"/>
          <w:color w:val="auto"/>
        </w:rPr>
        <w:t>(i) The Selling Shareholder, if not a natural person, has been duly formed and is validly existing in good standing under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laws of</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6" w:name="page7"/>
    <w:bookmarkEnd w:id="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jurisdiction of its formation, with all necessary power and authority to own its properties and to conduct its business as currently conducted; (ii) the execution, delivery and performance of this Agreement by the Selling Shareholder and the consummation by the Selling Shareholder of the transactions contemplated hereby (A) will not conflict with or result in a breach or violation of any of the terms or provisions of, or constitute a default under, any material agreement to which the Selling Shareholder is a party or by which the Selling Shareholder is bound or to which any of the property or assets of the Selling Shareholder is subject, (B) will not result in any violation of the provisions of the organizational documents of the Selling Shareholder, if not a natural person and (C) will not violate any statute or any order, rule or regulation of any court or governmental agency or body having jurisdiction over the Selling Shareholder or the property or assets of the Selling Shareholder, except in the case of clauses (ii)(A) and (ii)(C), for such conflicts, breaches, violations or defaults as would not prevent the consummation of the transactions contemplated by this Agreement and would not, individually or in the aggregate, reasonably be expected to have a material adverse effect on the financial condition or prospects of the Selling Shareholder.</w:t>
      </w:r>
    </w:p>
    <w:p>
      <w:pPr>
        <w:spacing w:after="0" w:line="39" w:lineRule="exact"/>
        <w:rPr>
          <w:sz w:val="20"/>
          <w:szCs w:val="20"/>
          <w:color w:val="auto"/>
        </w:rPr>
      </w:pPr>
    </w:p>
    <w:p>
      <w:pPr>
        <w:ind w:right="20" w:firstLine="443"/>
        <w:spacing w:after="0" w:line="288" w:lineRule="auto"/>
        <w:tabs>
          <w:tab w:leader="none" w:pos="67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Enforceability. </w:t>
      </w:r>
      <w:r>
        <w:rPr>
          <w:rFonts w:ascii="Arial" w:cs="Arial" w:eastAsia="Arial" w:hAnsi="Arial"/>
          <w:sz w:val="16"/>
          <w:szCs w:val="16"/>
          <w:color w:val="auto"/>
        </w:rPr>
        <w:t>The Selling Shareholder has all necessary right, power and authority to execute, deliver and perform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Agreement, the Custody Agreement (as defined below) and the Power of Attorney (as defined below). The execution, delivery and performance of this Agreement, the Custody Agreement or the Power of Attorney by the Selling Shareholder and the consummation by the Selling Shareholder of the transactions contemplated hereby and thereby have been duly and validly authorized by all necessary legal action, and no further consent or authorization of any Selling Shareholder or the PAS Shareholder Representative is required. This Agreement, the Custody Agreement and the Power of Attorney have been duly executed and delivered by the Selling Shareholder and constitute legal, valid and binding agreements of the Selling Shareholder, enforceable in accordance with their terms; provided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38" w:lineRule="exact"/>
        <w:rPr>
          <w:rFonts w:ascii="Arial" w:cs="Arial" w:eastAsia="Arial" w:hAnsi="Arial"/>
          <w:sz w:val="16"/>
          <w:szCs w:val="16"/>
          <w:color w:val="auto"/>
        </w:rPr>
      </w:pPr>
    </w:p>
    <w:p>
      <w:pPr>
        <w:ind w:right="620" w:firstLine="443"/>
        <w:spacing w:after="0" w:line="306"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No Brokerage Fee. </w:t>
      </w:r>
      <w:r>
        <w:rPr>
          <w:rFonts w:ascii="Arial" w:cs="Arial" w:eastAsia="Arial" w:hAnsi="Arial"/>
          <w:sz w:val="16"/>
          <w:szCs w:val="16"/>
          <w:color w:val="auto"/>
        </w:rPr>
        <w:t>There are no contracts, agreements or understandings between the Selling Shareholder and any person,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that would give rise to a valid claim against the Selling Shareholder for a brokerage commission, finder’s fee or other like payment in connection with the purchase and sale of the Purchased Shares pursuant to this Agreement.</w:t>
      </w:r>
    </w:p>
    <w:p>
      <w:pPr>
        <w:spacing w:after="0" w:line="25" w:lineRule="exact"/>
        <w:rPr>
          <w:rFonts w:ascii="Arial" w:cs="Arial" w:eastAsia="Arial" w:hAnsi="Arial"/>
          <w:sz w:val="16"/>
          <w:szCs w:val="16"/>
          <w:color w:val="auto"/>
        </w:rPr>
      </w:pPr>
    </w:p>
    <w:p>
      <w:pPr>
        <w:ind w:right="60" w:firstLine="443"/>
        <w:spacing w:after="0" w:line="298" w:lineRule="auto"/>
        <w:tabs>
          <w:tab w:leader="none" w:pos="67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Custody Agreements. </w:t>
      </w:r>
      <w:r>
        <w:rPr>
          <w:rFonts w:ascii="Arial" w:cs="Arial" w:eastAsia="Arial" w:hAnsi="Arial"/>
          <w:sz w:val="16"/>
          <w:szCs w:val="16"/>
          <w:color w:val="auto"/>
        </w:rPr>
        <w:t>The Selling Shareholder has placed in custody under a custody agreement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i w:val="1"/>
          <w:iCs w:val="1"/>
          <w:color w:val="auto"/>
        </w:rPr>
        <w:t xml:space="preserve"> </w:t>
      </w:r>
      <w:r>
        <w:rPr>
          <w:rFonts w:ascii="Arial" w:cs="Arial" w:eastAsia="Arial" w:hAnsi="Arial"/>
          <w:sz w:val="16"/>
          <w:szCs w:val="16"/>
          <w:color w:val="auto"/>
        </w:rPr>
        <w:t>hereto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Custody Agreement</w:t>
      </w:r>
      <w:r>
        <w:rPr>
          <w:rFonts w:ascii="Arial" w:cs="Arial" w:eastAsia="Arial" w:hAnsi="Arial"/>
          <w:sz w:val="16"/>
          <w:szCs w:val="16"/>
          <w:color w:val="auto"/>
        </w:rPr>
        <w:t>” and, together with all other similar agreements executed by the other Selling Shareholders, the “</w:t>
      </w:r>
      <w:r>
        <w:rPr>
          <w:rFonts w:ascii="Arial" w:cs="Arial" w:eastAsia="Arial" w:hAnsi="Arial"/>
          <w:sz w:val="16"/>
          <w:szCs w:val="16"/>
          <w:b w:val="1"/>
          <w:bCs w:val="1"/>
          <w:color w:val="auto"/>
        </w:rPr>
        <w:t>Custody Agreements</w:t>
      </w:r>
      <w:r>
        <w:rPr>
          <w:rFonts w:ascii="Arial" w:cs="Arial" w:eastAsia="Arial" w:hAnsi="Arial"/>
          <w:sz w:val="16"/>
          <w:szCs w:val="16"/>
          <w:color w:val="auto"/>
        </w:rPr>
        <w:t>”) with the PAS Shareholder Representative, as custodian, for delivery under this Agreement, certificates in negotiable form or accompanied by a signed stock power representing the Common Shares to be sold by the Selling Shareholder hereunder.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7" w:name="page8"/>
    <w:bookmarkEnd w:id="7"/>
    <w:p>
      <w:pPr>
        <w:ind w:right="100" w:firstLine="443"/>
        <w:spacing w:after="0" w:line="255" w:lineRule="auto"/>
        <w:tabs>
          <w:tab w:leader="none" w:pos="657"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Powers of Attorney. </w:t>
      </w:r>
      <w:r>
        <w:rPr>
          <w:rFonts w:ascii="Arial" w:cs="Arial" w:eastAsia="Arial" w:hAnsi="Arial"/>
          <w:sz w:val="18"/>
          <w:szCs w:val="18"/>
          <w:color w:val="auto"/>
        </w:rPr>
        <w:t>The Selling Shareholder has duly and irrevocably executed and delivered a power of attorney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Power of Attorney</w:t>
      </w:r>
      <w:r>
        <w:rPr>
          <w:rFonts w:ascii="Arial" w:cs="Arial" w:eastAsia="Arial" w:hAnsi="Arial"/>
          <w:sz w:val="18"/>
          <w:szCs w:val="18"/>
          <w:color w:val="auto"/>
        </w:rPr>
        <w:t>” and, together with all other similar agreements executed by the other Selling Shareholders, the “</w:t>
      </w:r>
      <w:r>
        <w:rPr>
          <w:rFonts w:ascii="Arial" w:cs="Arial" w:eastAsia="Arial" w:hAnsi="Arial"/>
          <w:sz w:val="18"/>
          <w:szCs w:val="18"/>
          <w:b w:val="1"/>
          <w:bCs w:val="1"/>
          <w:color w:val="auto"/>
        </w:rPr>
        <w:t>Powers of</w:t>
      </w:r>
      <w:r>
        <w:rPr>
          <w:rFonts w:ascii="Arial" w:cs="Arial" w:eastAsia="Arial" w:hAnsi="Arial"/>
          <w:sz w:val="18"/>
          <w:szCs w:val="18"/>
          <w:color w:val="auto"/>
        </w:rPr>
        <w:t xml:space="preserve"> </w:t>
      </w:r>
      <w:r>
        <w:rPr>
          <w:rFonts w:ascii="Arial" w:cs="Arial" w:eastAsia="Arial" w:hAnsi="Arial"/>
          <w:sz w:val="18"/>
          <w:szCs w:val="18"/>
          <w:b w:val="1"/>
          <w:bCs w:val="1"/>
          <w:color w:val="auto"/>
        </w:rPr>
        <w:t>Attorney</w:t>
      </w:r>
      <w:r>
        <w:rPr>
          <w:rFonts w:ascii="Arial" w:cs="Arial" w:eastAsia="Arial" w:hAnsi="Arial"/>
          <w:sz w:val="18"/>
          <w:szCs w:val="18"/>
          <w:color w:val="auto"/>
        </w:rPr>
        <w:t>”) appointing William K. Rice, in his capacity as an authorized signatory of the PAS Shareholder Representative, with full power of substitution,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full authority to execute and deliver this Agreement and to take such other action as may be necessary or desirable to carry out the provisions hereof on behalf of the Selling Shareholder.</w:t>
      </w:r>
    </w:p>
    <w:p>
      <w:pPr>
        <w:spacing w:after="0" w:line="223" w:lineRule="exact"/>
        <w:rPr>
          <w:rFonts w:ascii="Arial" w:cs="Arial" w:eastAsia="Arial" w:hAnsi="Arial"/>
          <w:sz w:val="18"/>
          <w:szCs w:val="18"/>
          <w:color w:val="auto"/>
        </w:rPr>
      </w:pPr>
    </w:p>
    <w:p>
      <w:pPr>
        <w:ind w:left="180" w:hanging="176"/>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Conditions to the Parties’ Obligation to Close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443"/>
        <w:spacing w:after="0" w:line="332" w:lineRule="auto"/>
        <w:tabs>
          <w:tab w:leader="none" w:pos="677"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obligation of each Selling Shareholder to sell such Selling Shareholder’s Purchased Shares at the Closing is subject to the satisfaction (or waiver by the PAS Shareholder Representative on behalf of the Selling Shareholders), at or before the Closing, of each of the following conditions:</w:t>
      </w:r>
    </w:p>
    <w:p>
      <w:pPr>
        <w:spacing w:after="0" w:line="4" w:lineRule="exact"/>
        <w:rPr>
          <w:rFonts w:ascii="Arial" w:cs="Arial" w:eastAsia="Arial" w:hAnsi="Arial"/>
          <w:sz w:val="16"/>
          <w:szCs w:val="16"/>
          <w:color w:val="auto"/>
        </w:rPr>
      </w:pPr>
    </w:p>
    <w:p>
      <w:pPr>
        <w:ind w:left="460" w:firstLine="421"/>
        <w:spacing w:after="0" w:line="306" w:lineRule="auto"/>
        <w:tabs>
          <w:tab w:leader="none" w:pos="1089" w:val="left"/>
        </w:tabs>
        <w:numPr>
          <w:ilvl w:val="2"/>
          <w:numId w:val="8"/>
        </w:numPr>
        <w:rPr>
          <w:rFonts w:ascii="Arial" w:cs="Arial" w:eastAsia="Arial" w:hAnsi="Arial"/>
          <w:sz w:val="16"/>
          <w:szCs w:val="16"/>
          <w:color w:val="auto"/>
        </w:rPr>
      </w:pPr>
      <w:r>
        <w:rPr>
          <w:rFonts w:ascii="Arial" w:cs="Arial" w:eastAsia="Arial" w:hAnsi="Arial"/>
          <w:sz w:val="16"/>
          <w:szCs w:val="16"/>
          <w:color w:val="auto"/>
        </w:rPr>
        <w:t>No statute, rule, order, decree or regulation shall have been enacted or promulgated, and no action shall have been taken, by or before any governmental authority of competent jurisdiction which temporarily, preliminarily or permanently restrains, precludes, enjoins or otherwise prohibits the consummation of the transactions contemplated hereby or makes the transactions contemplated hereby illegal.</w:t>
      </w:r>
    </w:p>
    <w:p>
      <w:pPr>
        <w:spacing w:after="0" w:line="25" w:lineRule="exact"/>
        <w:rPr>
          <w:rFonts w:ascii="Arial" w:cs="Arial" w:eastAsia="Arial" w:hAnsi="Arial"/>
          <w:sz w:val="16"/>
          <w:szCs w:val="16"/>
          <w:color w:val="auto"/>
        </w:rPr>
      </w:pPr>
    </w:p>
    <w:p>
      <w:pPr>
        <w:ind w:left="460" w:right="80" w:firstLine="421"/>
        <w:spacing w:after="0" w:line="268" w:lineRule="auto"/>
        <w:tabs>
          <w:tab w:leader="none" w:pos="1138" w:val="left"/>
        </w:tabs>
        <w:numPr>
          <w:ilvl w:val="2"/>
          <w:numId w:val="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part thereof shall have been issued and no proceedings for that purpose shall have been instituted or threatened by any governmental agency.</w:t>
      </w:r>
    </w:p>
    <w:p>
      <w:pPr>
        <w:spacing w:after="0" w:line="50" w:lineRule="exact"/>
        <w:rPr>
          <w:rFonts w:ascii="Arial" w:cs="Arial" w:eastAsia="Arial" w:hAnsi="Arial"/>
          <w:sz w:val="18"/>
          <w:szCs w:val="18"/>
          <w:color w:val="auto"/>
        </w:rPr>
      </w:pPr>
    </w:p>
    <w:p>
      <w:pPr>
        <w:ind w:left="460" w:right="40" w:firstLine="421"/>
        <w:spacing w:after="0" w:line="259" w:lineRule="auto"/>
        <w:tabs>
          <w:tab w:leader="none" w:pos="1187" w:val="left"/>
        </w:tabs>
        <w:numPr>
          <w:ilvl w:val="2"/>
          <w:numId w:val="8"/>
        </w:numPr>
        <w:rPr>
          <w:rFonts w:ascii="Arial" w:cs="Arial" w:eastAsia="Arial" w:hAnsi="Arial"/>
          <w:sz w:val="18"/>
          <w:szCs w:val="18"/>
          <w:color w:val="auto"/>
        </w:rPr>
      </w:pPr>
      <w:r>
        <w:rPr>
          <w:rFonts w:ascii="Arial" w:cs="Arial" w:eastAsia="Arial" w:hAnsi="Arial"/>
          <w:sz w:val="18"/>
          <w:szCs w:val="18"/>
          <w:color w:val="auto"/>
        </w:rPr>
        <w:t>No action, suit or proceeding shall be pending against or involve the Selling Shareholder or any of its property that would materially and adversely affect the ability of the Selling Shareholder to perform its obligations under this Agreement and no such action, suit or proceeding shall be threatened or contemplated.</w:t>
      </w:r>
    </w:p>
    <w:p>
      <w:pPr>
        <w:spacing w:after="0" w:line="59" w:lineRule="exact"/>
        <w:rPr>
          <w:rFonts w:ascii="Arial" w:cs="Arial" w:eastAsia="Arial" w:hAnsi="Arial"/>
          <w:sz w:val="18"/>
          <w:szCs w:val="18"/>
          <w:color w:val="auto"/>
        </w:rPr>
      </w:pPr>
    </w:p>
    <w:p>
      <w:pPr>
        <w:ind w:right="600" w:firstLine="443"/>
        <w:spacing w:after="0" w:line="268" w:lineRule="auto"/>
        <w:tabs>
          <w:tab w:leader="none" w:pos="68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obligation of the Purchaser to purchase the Purchased Shares hereunder from the Selling Shareholders at the Closing is subject to the satisfaction (or waiver by the Purchaser), at or before the Closing, of each of the following conditions:</w:t>
      </w:r>
    </w:p>
    <w:p>
      <w:pPr>
        <w:spacing w:after="0" w:line="50" w:lineRule="exact"/>
        <w:rPr>
          <w:rFonts w:ascii="Arial" w:cs="Arial" w:eastAsia="Arial" w:hAnsi="Arial"/>
          <w:sz w:val="18"/>
          <w:szCs w:val="18"/>
          <w:color w:val="auto"/>
        </w:rPr>
      </w:pPr>
    </w:p>
    <w:p>
      <w:pPr>
        <w:ind w:left="460" w:right="400" w:firstLine="421"/>
        <w:spacing w:after="0" w:line="268" w:lineRule="auto"/>
        <w:tabs>
          <w:tab w:leader="none" w:pos="1089"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required, the Company shall have filed with the Commission pursuant to Rule 424(b) of the Securities Act, a prospectus supplement regarding the sale of all of the Purchased Shares.</w:t>
      </w:r>
    </w:p>
    <w:p>
      <w:pPr>
        <w:spacing w:after="0" w:line="50" w:lineRule="exact"/>
        <w:rPr>
          <w:rFonts w:ascii="Arial" w:cs="Arial" w:eastAsia="Arial" w:hAnsi="Arial"/>
          <w:sz w:val="18"/>
          <w:szCs w:val="18"/>
          <w:color w:val="auto"/>
        </w:rPr>
      </w:pPr>
    </w:p>
    <w:p>
      <w:pPr>
        <w:ind w:left="460" w:firstLine="421"/>
        <w:spacing w:after="0" w:line="306" w:lineRule="auto"/>
        <w:tabs>
          <w:tab w:leader="none" w:pos="1138" w:val="left"/>
        </w:tabs>
        <w:numPr>
          <w:ilvl w:val="2"/>
          <w:numId w:val="8"/>
        </w:numPr>
        <w:rPr>
          <w:rFonts w:ascii="Arial" w:cs="Arial" w:eastAsia="Arial" w:hAnsi="Arial"/>
          <w:sz w:val="16"/>
          <w:szCs w:val="16"/>
          <w:color w:val="auto"/>
        </w:rPr>
      </w:pPr>
      <w:r>
        <w:rPr>
          <w:rFonts w:ascii="Arial" w:cs="Arial" w:eastAsia="Arial" w:hAnsi="Arial"/>
          <w:sz w:val="16"/>
          <w:szCs w:val="16"/>
          <w:color w:val="auto"/>
        </w:rPr>
        <w:t>No statute, rule, order, decree or regulation shall have been enacted or promulgated, and no action shall have been taken, by or before any governmental authority of competent jurisdiction which temporarily, preliminarily or permanently restrains, precludes, enjoins or otherwise prohibits the consummation of the transactions contemplated hereby or makes the transactions contemplated hereby illegal.</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 w:name="page9"/>
    <w:bookmarkEnd w:id="8"/>
    <w:p>
      <w:pPr>
        <w:ind w:firstLine="421"/>
        <w:spacing w:after="0" w:line="268"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stop order suspending the effectiveness of the Registration Statement or any part thereof shall have been issued and no proceedings for that purpose shall have been instituted or threatened by any governmental agency.</w:t>
      </w:r>
    </w:p>
    <w:p>
      <w:pPr>
        <w:spacing w:after="0" w:line="50" w:lineRule="exact"/>
        <w:rPr>
          <w:rFonts w:ascii="Arial" w:cs="Arial" w:eastAsia="Arial" w:hAnsi="Arial"/>
          <w:sz w:val="18"/>
          <w:szCs w:val="18"/>
          <w:color w:val="auto"/>
        </w:rPr>
      </w:pPr>
    </w:p>
    <w:p>
      <w:pPr>
        <w:ind w:right="20" w:firstLine="421"/>
        <w:spacing w:after="0" w:line="255" w:lineRule="auto"/>
        <w:tabs>
          <w:tab w:leader="none" w:pos="71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Selling Shareholder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correct and complete in all material respects as of the date hereof and as of the Closing Date as though made at that time (except for representations and warranties that speak as of a specific date, which shall be true, correct and complete as of such date), and each Selling Shareholder shall have performed, satisfied and complied in all material respects with the covenants and conditions required hereby to be performed, satisfied or complied with by such Selling Shareholder at or before the Closing.</w:t>
      </w:r>
    </w:p>
    <w:p>
      <w:pPr>
        <w:spacing w:after="0" w:line="61" w:lineRule="exact"/>
        <w:rPr>
          <w:rFonts w:ascii="Arial" w:cs="Arial" w:eastAsia="Arial" w:hAnsi="Arial"/>
          <w:sz w:val="18"/>
          <w:szCs w:val="18"/>
          <w:color w:val="auto"/>
        </w:rPr>
      </w:pPr>
    </w:p>
    <w:p>
      <w:pPr>
        <w:ind w:right="220" w:firstLine="421"/>
        <w:spacing w:after="0" w:line="357" w:lineRule="auto"/>
        <w:tabs>
          <w:tab w:leader="none" w:pos="668"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The Purchaser shall have received a certificate, dated the Closing Date, of the PAS Shareholder Representative on behalf of each Selling Shareholder, certifying on behalf of each Selling Shareholder, that each of the conditions set forth in </w:t>
      </w:r>
      <w:r>
        <w:rPr>
          <w:rFonts w:ascii="Arial" w:cs="Arial" w:eastAsia="Arial" w:hAnsi="Arial"/>
          <w:sz w:val="15"/>
          <w:szCs w:val="15"/>
          <w:u w:val="single" w:color="auto"/>
          <w:color w:val="auto"/>
        </w:rPr>
        <w:t>paragraph (iv)</w:t>
      </w:r>
      <w:r>
        <w:rPr>
          <w:rFonts w:ascii="Arial" w:cs="Arial" w:eastAsia="Arial" w:hAnsi="Arial"/>
          <w:sz w:val="15"/>
          <w:szCs w:val="15"/>
          <w:color w:val="auto"/>
        </w:rPr>
        <w:t xml:space="preserve"> above have been satisfied.</w:t>
      </w:r>
    </w:p>
    <w:p>
      <w:pPr>
        <w:ind w:right="40" w:firstLine="421"/>
        <w:spacing w:after="0" w:line="298"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true, correct and complete in all material respects as of the date hereof and as of the Closing Date as though made at that time (except for representations and warranties that speak as of a specific date, which shall be true, correct and complete as of such date), and the Company shall have performed, satisfied and complied in all material respects with the covenants and conditions required hereby to be performed, satisfied or complied with by it at or before the Closing.</w:t>
      </w:r>
    </w:p>
    <w:p>
      <w:pPr>
        <w:spacing w:after="0" w:line="31" w:lineRule="exact"/>
        <w:rPr>
          <w:rFonts w:ascii="Arial" w:cs="Arial" w:eastAsia="Arial" w:hAnsi="Arial"/>
          <w:sz w:val="16"/>
          <w:szCs w:val="16"/>
          <w:color w:val="auto"/>
        </w:rPr>
      </w:pPr>
    </w:p>
    <w:p>
      <w:pPr>
        <w:ind w:left="760" w:hanging="339"/>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 Material Adverse Effect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83" w:lineRule="exact"/>
        <w:rPr>
          <w:rFonts w:ascii="Arial" w:cs="Arial" w:eastAsia="Arial" w:hAnsi="Arial"/>
          <w:sz w:val="16"/>
          <w:szCs w:val="16"/>
          <w:color w:val="auto"/>
        </w:rPr>
      </w:pPr>
    </w:p>
    <w:p>
      <w:pPr>
        <w:ind w:right="20" w:firstLine="421"/>
        <w:spacing w:after="0" w:line="287" w:lineRule="auto"/>
        <w:tabs>
          <w:tab w:leader="none" w:pos="815"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or the American Stock Exchange or in the over-the-counter market shall have been suspended or the settlement of such trading generally shall have been materially disrupted or minimum prices shall have been established on any such exchange or in such market by the Commission, by such exchange or by any other regulatory body or governmental authority having jurisdiction, (ii) trading in any securities of any of the Company on any exchange or in the over-the-counter market, shall have been suspended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(iii) a banking moratorium shall have been declared by federal or state authorities, (iv) the United States shall have become engaged in hostilities, there shall have been an escalation in hostilities involving the United States or there shall have been a declaration of a national emergency or war by the United States or (v) there shall have occurred such a material adverse change in</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80" w:right="279" w:bottom="1440" w:gutter="0" w:footer="0" w:header="0"/>
        </w:sectPr>
      </w:pPr>
    </w:p>
    <w:bookmarkStart w:id="9" w:name="page10"/>
    <w:bookmarkEnd w:id="9"/>
    <w:p>
      <w:pPr>
        <w:jc w:val="both"/>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economic, political or financial conditions, including without limitation, as a result of terrorist activities after the date hereof, or the effect of international conditions on the financial markets in the United States shall be such, as to make it, in the judgment of the Purchaser, impracticable or inadvisable to proceed with the public offering or delivery of the Purchased Shares.</w:t>
      </w:r>
    </w:p>
    <w:p>
      <w:pPr>
        <w:spacing w:after="0" w:line="59" w:lineRule="exact"/>
        <w:rPr>
          <w:sz w:val="20"/>
          <w:szCs w:val="20"/>
          <w:color w:val="auto"/>
        </w:rPr>
      </w:pPr>
    </w:p>
    <w:p>
      <w:pPr>
        <w:ind w:left="460" w:right="500" w:firstLine="421"/>
        <w:spacing w:after="0" w:line="370" w:lineRule="auto"/>
        <w:tabs>
          <w:tab w:leader="none" w:pos="1177" w:val="left"/>
        </w:tabs>
        <w:numPr>
          <w:ilvl w:val="2"/>
          <w:numId w:val="10"/>
        </w:numPr>
        <w:rPr>
          <w:rFonts w:ascii="Arial" w:cs="Arial" w:eastAsia="Arial" w:hAnsi="Arial"/>
          <w:sz w:val="15"/>
          <w:szCs w:val="15"/>
          <w:color w:val="auto"/>
        </w:rPr>
      </w:pPr>
      <w:r>
        <w:rPr>
          <w:rFonts w:ascii="Arial" w:cs="Arial" w:eastAsia="Arial" w:hAnsi="Arial"/>
          <w:sz w:val="15"/>
          <w:szCs w:val="15"/>
          <w:color w:val="auto"/>
        </w:rPr>
        <w:t xml:space="preserve">The Purchaser shall have received a certificate, dated the Closing Date, of a duly authorized officer of the Company on behalf of the Company, certifying on behalf of the Company, that each of the conditions set forth in </w:t>
      </w:r>
      <w:r>
        <w:rPr>
          <w:rFonts w:ascii="Arial" w:cs="Arial" w:eastAsia="Arial" w:hAnsi="Arial"/>
          <w:sz w:val="15"/>
          <w:szCs w:val="15"/>
          <w:u w:val="single" w:color="auto"/>
          <w:color w:val="auto"/>
        </w:rPr>
        <w:t>paragraphs 5(b)(vi) and 5(b)(vii)</w:t>
      </w:r>
      <w:r>
        <w:rPr>
          <w:rFonts w:ascii="Arial" w:cs="Arial" w:eastAsia="Arial" w:hAnsi="Arial"/>
          <w:sz w:val="15"/>
          <w:szCs w:val="15"/>
          <w:color w:val="auto"/>
        </w:rPr>
        <w:t xml:space="preserve"> have been satisfied.</w:t>
      </w:r>
    </w:p>
    <w:p>
      <w:pPr>
        <w:spacing w:after="0" w:line="143" w:lineRule="exact"/>
        <w:rPr>
          <w:rFonts w:ascii="Arial" w:cs="Arial" w:eastAsia="Arial" w:hAnsi="Arial"/>
          <w:sz w:val="15"/>
          <w:szCs w:val="15"/>
          <w:color w:val="auto"/>
        </w:rPr>
      </w:pPr>
    </w:p>
    <w:p>
      <w:pPr>
        <w:ind w:left="180" w:hanging="176"/>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91" w:lineRule="auto"/>
        <w:tabs>
          <w:tab w:leader="none" w:pos="677"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Securities Laws, Compliance with Registration Rights Agreement. </w:t>
      </w:r>
      <w:r>
        <w:rPr>
          <w:rFonts w:ascii="Arial" w:cs="Arial" w:eastAsia="Arial" w:hAnsi="Arial"/>
          <w:sz w:val="16"/>
          <w:szCs w:val="16"/>
          <w:color w:val="auto"/>
        </w:rPr>
        <w:t>Each of the Purchaser, the Selling Shareholders and the PAS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shall comply with all federal and state securities laws, rules and regulations applicable to it in connection with the transactions contemplated by this Agreement. The Purchaser agrees to comply with the terms and conditions of Sections 1.03(b), (c) and (d) of the Registration Rights Agreement, dated as of May 27, 2004, between the Company and the Selling Shareholders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as if the Purchaser was a “Holder” thereunder. The Purchaser hereby gives notice to the Company, pursuant to Section 1.03(d) of the Registration Rights Agreement, of the Purchaser’s proposed sale of some or all of the Purchased Shares under the Registration Statement on or before November 29, 2006.</w:t>
      </w:r>
    </w:p>
    <w:p>
      <w:pPr>
        <w:spacing w:after="0" w:line="39" w:lineRule="exact"/>
        <w:rPr>
          <w:rFonts w:ascii="Arial" w:cs="Arial" w:eastAsia="Arial" w:hAnsi="Arial"/>
          <w:sz w:val="16"/>
          <w:szCs w:val="16"/>
          <w:color w:val="auto"/>
        </w:rPr>
      </w:pPr>
    </w:p>
    <w:p>
      <w:pPr>
        <w:ind w:firstLine="443"/>
        <w:spacing w:after="0" w:line="289"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Russian Currency Regulations. </w:t>
      </w:r>
      <w:r>
        <w:rPr>
          <w:rFonts w:ascii="Arial" w:cs="Arial" w:eastAsia="Arial" w:hAnsi="Arial"/>
          <w:sz w:val="16"/>
          <w:szCs w:val="16"/>
          <w:color w:val="auto"/>
        </w:rPr>
        <w:t>Each Selling Shareholder and the PAS Shareholder Representative shall comply with all laws,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of the Russian Federation applicable to such Selling Shareholder or the PAS Shareholder Representative, as the case may be, in connection with the transactions contemplated by this Agreement, including but not limited to, as applicable, the establishment of special bank accounts, the payment of reserve sums, the opening of a safekeeping omnibus account reflecting the change in ownership of the shares, the submission to an authorized bank of all required applications and documentation required under applicable laws, rules and regulations of the Russian Federation, and any other actions necessary to consummate the transactions contemplated by this Agreement in compliance with such laws, rules and regulations. To the extent that any such actions are required to be taken prior to the consummation of the transactions contemplated by this Agreement, such actions shall be completed prior to the Closing Date.</w:t>
      </w:r>
    </w:p>
    <w:p>
      <w:pPr>
        <w:spacing w:after="0" w:line="199" w:lineRule="exact"/>
        <w:rPr>
          <w:rFonts w:ascii="Arial" w:cs="Arial" w:eastAsia="Arial" w:hAnsi="Arial"/>
          <w:sz w:val="16"/>
          <w:szCs w:val="16"/>
          <w:color w:val="auto"/>
        </w:rPr>
      </w:pPr>
    </w:p>
    <w:p>
      <w:pPr>
        <w:ind w:left="180" w:hanging="176"/>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443"/>
        <w:spacing w:after="0" w:line="256" w:lineRule="auto"/>
        <w:tabs>
          <w:tab w:leader="none" w:pos="6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will indemnify and hold harmless the Purchaser against any losses, claims, damages or liabilities, joint or several, to which the Purchaser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arise out of are based upon the omission or alleged omission to state therein a material fact necessary to make the statements therein not misleading (in the case of the Prospectus, in the light of the circumstances under which the statements were made), and will reimburse the Purchaser for any legal or other expenses reasonably incurred by the Purchaser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or the Prospectus (in the case of the Prospectus, in the light of the circumstances under which the statements were made) or any such amendment or supplement in reliance upon and in conformity with written information furnished to the Company by the Purchaser expressly for use therein.</w:t>
      </w:r>
    </w:p>
    <w:p>
      <w:pPr>
        <w:spacing w:after="0" w:line="37" w:lineRule="exact"/>
        <w:rPr>
          <w:sz w:val="20"/>
          <w:szCs w:val="20"/>
          <w:color w:val="auto"/>
        </w:rPr>
      </w:pPr>
    </w:p>
    <w:p>
      <w:pPr>
        <w:ind w:right="20" w:firstLine="443"/>
        <w:spacing w:after="0" w:line="285"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Each of the Selling Shareholders, jointly and severally, will indemnify and hold harmless the Purchaser against any losses, claims, damages or liabilities, joint or several, to which the Purchaser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or the Prospectus, or any amendment or supplement thereto, or arise out of are based upon the omission or alleged omission to state therein a material fact necessary to make the statements therein not misleading (in the case of the Prospectus, in the light of the circumstances under which the statements were made), and will reimburse the Purchaser for any legal or other expenses reasonably incurred by the Purchaser in connection with investigating or defending any such action or claim as such expenses are incurred, or (ii) any breach of any representation or warranty of the Selling Stockholders in this Agreement or any certificate or other agreement delivered pursuant hereto or contemplated hereby;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the indemnities provided in clause (i) above, no Selling Shareholder shall be liable in any such case to the extent that any such loss, claim, damage or liability arises out of or is based upon an untrue statement or alleged untrue statement or omission or alleged omission made in the Registration Statement or the Prospectus or any such amendment or supplement in reliance upon and in conformity with written information furnished to the Company by the Purchaser expressly for use therein. Notwithstanding the indemnity provisions set forth in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in no event shall any Selling Shareholder be liable under the provisions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for any amount in excess of the total proceeds received by such Selling Shareholder from the sale of the Purchased Shares sold by the Selling Shareholder (net of underwriting discounts and commissions, but before taxes and any other expenses) pursuant to this Agreement.</w:t>
      </w:r>
    </w:p>
    <w:p>
      <w:pPr>
        <w:spacing w:after="0" w:line="45" w:lineRule="exact"/>
        <w:rPr>
          <w:rFonts w:ascii="Arial" w:cs="Arial" w:eastAsia="Arial" w:hAnsi="Arial"/>
          <w:sz w:val="16"/>
          <w:szCs w:val="16"/>
          <w:color w:val="auto"/>
        </w:rPr>
      </w:pPr>
    </w:p>
    <w:p>
      <w:pPr>
        <w:ind w:right="160" w:firstLine="443"/>
        <w:spacing w:after="0" w:line="298"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Purchaser will indemnify and hold harmless the Company and the Selling Shareholders against any losses, claims, damages or liabilities to which the Company or the Selling Shareholders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 arise out of or are based upon the omission or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11" w:name="page12"/>
    <w:bookmarkEnd w:id="11"/>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alleged omission to state therein a material fact or necessary to make the statements therein not misleading (in the case of the Prospectus, in the light of the circumstances under which the statements were made), in each case to the extent, but only to the extent, that such untrue statement or alleged untrue statement or omission or alleged omission was made in the Registration Statement or the Prospectus or any such amendment or supplement in reliance upon and in conformity with written information furnished to the Company by the Purchaser expressly for use therein; and will reimburse the Company and the Selling Shareholders for any legal or other expenses reasonably incurred by the Company in connection with investigating or defending any such action or claim as such expenses are incurred.</w:t>
      </w:r>
    </w:p>
    <w:p>
      <w:pPr>
        <w:spacing w:after="0" w:line="39" w:lineRule="exact"/>
        <w:rPr>
          <w:sz w:val="20"/>
          <w:szCs w:val="20"/>
          <w:color w:val="auto"/>
        </w:rPr>
      </w:pPr>
    </w:p>
    <w:p>
      <w:pPr>
        <w:ind w:right="120" w:firstLine="443"/>
        <w:spacing w:after="0" w:line="291"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Selling Shareholders, jointly and severally, shall indemnify and hold harmless the Purchaser, its officers and employees, and any person who controls the Purchaser within the meaning of the Securities Act, from and against any loss, claim, damage or liability, joint or several, or any action in respect thereof (including, but not limited to, any loss, claim, damage, liability or action relating to purchases and sales of the Purchased Shares), to which the Purchaser, officer, employee or controlling person may become subject, under the Securities Act or otherwise, insofar as such loss, claim, damage, liability or action arises out of, or is based upon the agreement entered into between the Purchaser and the Joint Stock Commercial Bank “ROSBANK” (located in Moscow, Russian Federation).</w:t>
      </w:r>
    </w:p>
    <w:p>
      <w:pPr>
        <w:spacing w:after="0" w:line="39" w:lineRule="exact"/>
        <w:rPr>
          <w:rFonts w:ascii="Arial" w:cs="Arial" w:eastAsia="Arial" w:hAnsi="Arial"/>
          <w:sz w:val="16"/>
          <w:szCs w:val="16"/>
          <w:color w:val="auto"/>
        </w:rPr>
      </w:pPr>
    </w:p>
    <w:p>
      <w:pPr>
        <w:ind w:firstLine="443"/>
        <w:spacing w:after="0" w:line="285"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7 of notice of the commencement of any action, such indemnified party shall, if a claim in respect thereof is to be made against the indemnifying party under any subsection of this Section 7,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2" w:name="page13"/>
    <w:bookmarkEnd w:id="12"/>
    <w:p>
      <w:pPr>
        <w:ind w:firstLine="443"/>
        <w:spacing w:after="0" w:line="284" w:lineRule="auto"/>
        <w:tabs>
          <w:tab w:leader="none" w:pos="65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indemnification provided for in this Section 7 is unavailable to or insufficient to hold harmless an indemnified party under this Section 7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Selling Shareholders on the one hand and the Purchaser on the other from the sale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or the Selling Shareholders, as the case may be, on the one hand and the Purchaser on the other in connection with the statements or omissions which resulted in such losses, claims, damages or liabilities (or actions in respect thereof), as well as any other relevant equitable considerations. The relative benefits received by the Selling Shareholders on the one hand and the Purchaser on the other shall be deemed to be in the same proportion as the total net proceeds from the sale (before deducting expenses) received by the Selling Shareholders bear to the total underwriting discounts and commissions received by the Purchaser, in each case as set forth herein. The relative fault shall be determined by reference to, among other things, whether the untrue or alleged untrue statement of a material fact or the omission or alleged omission to state a material fact relates to information supplied by the Company or the Selling Shareholders, as the case may be, on the one hand or the Purchaser on the other and the parties’ relative intent, knowledge, access to information and opportunity to correct or prevent such statement or omission. The parties agree that it would not be just and equitable if contribution pursuant to this subsection (f) were determined by pro rata allocation or by any other method of allocation which does not take account of the equitable considerations referred to above in this subsection (f). The amount paid or payable by an indemnified party as a result of the losses, claims, damages or liabilities (or actions in respect thereof) referred to above in this subsection (f) shall be deemed to include any legal or other expenses reasonably incurred by such indemnified party in connection with investigating or defending any such action or claim. Notwithstanding the provisions of this subsection (f), the Purchaser shall not be required to contribute any amount in excess of the amount by which the total price at which the Purchased Shares purchased by it and distributed to investors were offered to the public exceeds the amount of any damages which such Purchaser has otherwise been required to pay by reason of such untrue or alleged untrue statement or omission or alleged omission.</w:t>
      </w:r>
    </w:p>
    <w:p>
      <w:pPr>
        <w:spacing w:after="0" w:line="45" w:lineRule="exact"/>
        <w:rPr>
          <w:rFonts w:ascii="Arial" w:cs="Arial" w:eastAsia="Arial" w:hAnsi="Arial"/>
          <w:sz w:val="16"/>
          <w:szCs w:val="16"/>
          <w:color w:val="auto"/>
        </w:rPr>
      </w:pPr>
    </w:p>
    <w:p>
      <w:pPr>
        <w:ind w:right="80" w:firstLine="443"/>
        <w:spacing w:after="0" w:line="255"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obligations of the Company and the Selling Shareholders under this Section 7 shall be in addition to any liability which the Company or the Selling Shareholders may otherwise have and shall extend, upon the same terms and conditions, to each person, if any, who controls the Purchaser within the meaning of the Securities Act; and the obligations of the Purchaser under this Section 7 shall be in addition to any liability which the Purchaser may otherwise have and shall extend, upon the same terms and conditions, to each officer and director of the Company and to each person, if any, who controls the Company within the meaning of the Securities Act.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3" w:name="page14"/>
    <w:bookmarkEnd w:id="13"/>
    <w:p>
      <w:pPr>
        <w:ind w:left="440" w:right="180" w:firstLine="443"/>
        <w:spacing w:after="0" w:line="298" w:lineRule="auto"/>
        <w:tabs>
          <w:tab w:leader="none" w:pos="1127"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Purchaser confirms and the Company and each Selling Shareholder acknowledges that the information concerning the Purchaser, if any, appearing under the caption “Plan of Distribution” in the Prospectus constitutes the only information concerning the Purchaser furnished in writing to the Company by or on behalf of the Purchaser specifically for inclusion in the Registration Statement and the Prospectus. Each Selling Shareholder confirms that all information appearing under the caption “Plan of Distribution” in the Prospectus is correct.</w:t>
      </w:r>
    </w:p>
    <w:p>
      <w:pPr>
        <w:spacing w:after="0" w:line="193" w:lineRule="exact"/>
        <w:rPr>
          <w:rFonts w:ascii="Arial" w:cs="Arial" w:eastAsia="Arial" w:hAnsi="Arial"/>
          <w:sz w:val="16"/>
          <w:szCs w:val="16"/>
          <w:color w:val="auto"/>
        </w:rPr>
      </w:pPr>
    </w:p>
    <w:p>
      <w:pPr>
        <w:ind w:left="620" w:hanging="17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140" w:firstLine="443"/>
        <w:spacing w:after="0" w:line="298" w:lineRule="auto"/>
        <w:tabs>
          <w:tab w:leader="none" w:pos="111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If any condition to the Selling Shareholders’ obligations to close specified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is not satisfied at or prior to the Closing Date, the PAS Shareholder Representative may terminate this Agreement on behalf of the Selling Shareholders. In the event of any such termination of this Agreement pursuant to this </w:t>
      </w:r>
      <w:r>
        <w:rPr>
          <w:rFonts w:ascii="Arial" w:cs="Arial" w:eastAsia="Arial" w:hAnsi="Arial"/>
          <w:sz w:val="16"/>
          <w:szCs w:val="16"/>
          <w:u w:val="single" w:color="auto"/>
          <w:color w:val="auto"/>
        </w:rPr>
        <w:t>Section 8(a)</w:t>
      </w:r>
      <w:r>
        <w:rPr>
          <w:rFonts w:ascii="Arial" w:cs="Arial" w:eastAsia="Arial" w:hAnsi="Arial"/>
          <w:sz w:val="16"/>
          <w:szCs w:val="16"/>
          <w:color w:val="auto"/>
        </w:rPr>
        <w:t>, this Agreement shall forthwith become null and void and there shall be no liability on the part of any party hereto, provided that nothing herein shall relieve any party from any liability or obligation with respect to any willful breach of this Agreement.</w:t>
      </w:r>
    </w:p>
    <w:p>
      <w:pPr>
        <w:spacing w:after="0" w:line="31" w:lineRule="exact"/>
        <w:rPr>
          <w:rFonts w:ascii="Arial" w:cs="Arial" w:eastAsia="Arial" w:hAnsi="Arial"/>
          <w:sz w:val="16"/>
          <w:szCs w:val="16"/>
          <w:color w:val="auto"/>
        </w:rPr>
      </w:pPr>
    </w:p>
    <w:p>
      <w:pPr>
        <w:ind w:left="440" w:right="140" w:firstLine="443"/>
        <w:spacing w:after="0" w:line="298" w:lineRule="auto"/>
        <w:tabs>
          <w:tab w:leader="none" w:pos="11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If any condition to the Purchaser’s obligation to close specified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is not satisfied at or prior to the Closing Date, the Purchaser may terminate this Agreement. In the event of any such termination by the Purchaser pursuant to this </w:t>
      </w:r>
      <w:r>
        <w:rPr>
          <w:rFonts w:ascii="Arial" w:cs="Arial" w:eastAsia="Arial" w:hAnsi="Arial"/>
          <w:sz w:val="16"/>
          <w:szCs w:val="16"/>
          <w:u w:val="single" w:color="auto"/>
          <w:color w:val="auto"/>
        </w:rPr>
        <w:t>Section 8(b)</w:t>
      </w:r>
      <w:r>
        <w:rPr>
          <w:rFonts w:ascii="Arial" w:cs="Arial" w:eastAsia="Arial" w:hAnsi="Arial"/>
          <w:sz w:val="16"/>
          <w:szCs w:val="16"/>
          <w:color w:val="auto"/>
        </w:rPr>
        <w:t>, this Agreement shall forthwith become null and void as between the Purchaser, the Selling Shareholders and the Company and there shall be no liability on the part of any of such parties among themselves, provided that nothing herein shall relieve any such party from any liability or obligation with respect to any willful breach of this Agreement.</w:t>
      </w:r>
    </w:p>
    <w:p>
      <w:pPr>
        <w:spacing w:after="0" w:line="112" w:lineRule="exact"/>
        <w:rPr>
          <w:rFonts w:ascii="Arial" w:cs="Arial" w:eastAsia="Arial" w:hAnsi="Arial"/>
          <w:sz w:val="16"/>
          <w:szCs w:val="16"/>
          <w:color w:val="auto"/>
        </w:rPr>
      </w:pPr>
    </w:p>
    <w:p>
      <w:pPr>
        <w:ind w:left="-20" w:firstLine="464"/>
        <w:spacing w:after="0" w:line="332"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statements, requests, notices, communications and agreements hereunder shall be in writing and shall be delivered or sent by courier service, registered or certified mail return receipt requested, courier service, personal delivery or facsimile transmission to the following addresses:</w:t>
      </w:r>
    </w:p>
    <w:p>
      <w:pPr>
        <w:spacing w:after="0" w:line="4" w:lineRule="exact"/>
        <w:rPr>
          <w:rFonts w:ascii="Arial" w:cs="Arial" w:eastAsia="Arial" w:hAnsi="Arial"/>
          <w:sz w:val="16"/>
          <w:szCs w:val="16"/>
          <w:color w:val="auto"/>
        </w:rPr>
      </w:pPr>
    </w:p>
    <w:p>
      <w:pPr>
        <w:ind w:left="1140" w:hanging="239"/>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to the Purchaser: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277 Park Avenue New York, NY 10172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Equity Syndicate Desk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212-622-8358</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600 Travis, Suite 4200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John B. Clutterbuck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(713) 220-4285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if to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U.S.A.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457-0257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 rue St. 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Villard, Deputy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(33-1) 4062-1030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Baker Botts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910 Louisiana St.,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 David Kirkland,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(713) 229-7701</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(c) if to the Selling Shareholders or the PAS Shareholder Representative: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Kellyanna Company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Steven Douglas Stinemetz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Lambousa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Nicosia, Cyprus 1095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(713) 547-2600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HaynesBoone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1221 McKinney,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Bryce Linsenmayer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713-236-5540</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299"/>
          </w:cols>
          <w:pgMar w:left="1160" w:top="280" w:right="1440"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to such other address as any of such parties shall designate in writing. Notice given by delivery or courier service shall be effective upon actual receipt. Notice given by mail shall be effective upon actual receipt or, if not actually received, the third business day following deposit with the U.S. Post Office, first-class postage pre-paid and return receipt requested. Notice given by facsimile transmission shall be confirmed by appropriate answer back and shall be effective upon actual receipt if received during the recipient’s normal business hours, or at the beginning of the recipient’s next business day after receipt if not received during the recipient’s normal business hours.</w:t>
      </w:r>
    </w:p>
    <w:p>
      <w:pPr>
        <w:spacing w:after="0" w:line="143" w:lineRule="exact"/>
        <w:rPr>
          <w:sz w:val="20"/>
          <w:szCs w:val="20"/>
          <w:color w:val="auto"/>
        </w:rPr>
      </w:pPr>
    </w:p>
    <w:p>
      <w:pPr>
        <w:ind w:right="400" w:firstLine="464"/>
        <w:spacing w:after="0" w:line="306"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contains the entire understanding of the parties with respect to the subject matter hereof and supersedes all prior agreements and understandings, oral or written, with respect to such matters, which the parties acknowledge have been merged into this Agreement. This Agreement may not be modified or amended except pursuant to an instrument in writing signed by each of the parties hereto.</w:t>
      </w:r>
    </w:p>
    <w:p>
      <w:pPr>
        <w:spacing w:after="0" w:line="106" w:lineRule="exact"/>
        <w:rPr>
          <w:rFonts w:ascii="Arial" w:cs="Arial" w:eastAsia="Arial" w:hAnsi="Arial"/>
          <w:sz w:val="16"/>
          <w:szCs w:val="16"/>
          <w:color w:val="auto"/>
        </w:rPr>
      </w:pPr>
    </w:p>
    <w:p>
      <w:pPr>
        <w:ind w:right="80" w:firstLine="464"/>
        <w:spacing w:after="0" w:line="332" w:lineRule="auto"/>
        <w:tabs>
          <w:tab w:leader="none" w:pos="71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representations, warranties, covenants and agreements of the parties contained in this Agreement shall survive the delivery of and payment for the Purchased Shares and shall remain in full force and effect, regardless of any investigation made by or on behalf of any of them.</w:t>
      </w:r>
    </w:p>
    <w:p>
      <w:pPr>
        <w:spacing w:after="0" w:line="85" w:lineRule="exact"/>
        <w:rPr>
          <w:rFonts w:ascii="Arial" w:cs="Arial" w:eastAsia="Arial" w:hAnsi="Arial"/>
          <w:sz w:val="16"/>
          <w:szCs w:val="16"/>
          <w:color w:val="auto"/>
        </w:rPr>
      </w:pPr>
    </w:p>
    <w:p>
      <w:pPr>
        <w:ind w:right="80" w:firstLine="464"/>
        <w:spacing w:after="0" w:line="26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Agreement are for convenience of reference only and shall not be deemed to alter or affect the interpretation of any provision hereof</w:t>
      </w:r>
    </w:p>
    <w:p>
      <w:pPr>
        <w:spacing w:after="0" w:line="131" w:lineRule="exact"/>
        <w:rPr>
          <w:rFonts w:ascii="Arial" w:cs="Arial" w:eastAsia="Arial" w:hAnsi="Arial"/>
          <w:sz w:val="18"/>
          <w:szCs w:val="18"/>
          <w:color w:val="auto"/>
        </w:rPr>
      </w:pPr>
    </w:p>
    <w:p>
      <w:pPr>
        <w:ind w:right="240" w:firstLine="464"/>
        <w:spacing w:after="0" w:line="25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be binding on and inure solely to the benefit of the parties hereto and their respective successors and permitted assigns, and no other person will have any right or obligation hereunder. The Purchaser may not assign this Agreement without the written consent of the PAS Shareholder Representative and the Company. None of the Selling Shareholders, the PAS Shareholder Representative nor the Company may assign this Agreement without the written consent of the Purchaser. No purchaser of Purchased Shares from the Purchaser shall be deemed to be a successor or assign by reason merely of such purchase.</w:t>
      </w:r>
    </w:p>
    <w:p>
      <w:pPr>
        <w:spacing w:after="0" w:line="142" w:lineRule="exact"/>
        <w:rPr>
          <w:rFonts w:ascii="Arial" w:cs="Arial" w:eastAsia="Arial" w:hAnsi="Arial"/>
          <w:sz w:val="18"/>
          <w:szCs w:val="18"/>
          <w:color w:val="auto"/>
        </w:rPr>
      </w:pPr>
    </w:p>
    <w:p>
      <w:pPr>
        <w:ind w:right="440" w:firstLine="4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Facsimile copies of signatures shall constitute original signatures for all purposes of this Agreement and any enforcement hereof.</w:t>
      </w:r>
    </w:p>
    <w:p>
      <w:pPr>
        <w:spacing w:after="0" w:line="134" w:lineRule="exact"/>
        <w:rPr>
          <w:rFonts w:ascii="Arial" w:cs="Arial" w:eastAsia="Arial" w:hAnsi="Arial"/>
          <w:sz w:val="18"/>
          <w:szCs w:val="18"/>
          <w:color w:val="auto"/>
        </w:rPr>
      </w:pPr>
    </w:p>
    <w:p>
      <w:pPr>
        <w:ind w:firstLine="464"/>
        <w:spacing w:after="0" w:line="27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Agreement shall be governed by, and construed in accordance with, the laws of the State of New York, without regard to its principles of conflicts of laws.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6" w:name="page17"/>
    <w:bookmarkEnd w:id="1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Purchase Agreement to be executed by their respective representatives, hereunto duly authorized,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PURCHASER: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SECURITIES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Yaw Asamoah-Duodu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Yaw Asamoah-Duodu</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COMPANY (Solely with respect to Sections 3, 5(b)(ix), 6(a)</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and 7):</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 (SCHLUMBERGER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Summer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Ellen Summer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PAS SHAREHOLDER REPRESENTATIVE: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KELLYANNA COMPANY LIMITED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K. Rice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William K. Rice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as Attorney-in-Fact for each Selling</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Shareholder listed on </w:t>
      </w:r>
      <w:r>
        <w:rPr>
          <w:rFonts w:ascii="Arial" w:cs="Arial" w:eastAsia="Arial" w:hAnsi="Arial"/>
          <w:sz w:val="18"/>
          <w:szCs w:val="18"/>
          <w:u w:val="single" w:color="auto"/>
          <w:color w:val="auto"/>
        </w:rPr>
        <w:t>Exhibit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Purchase Agreement Signature Page</w:t>
      </w:r>
    </w:p>
    <w:p>
      <w:pPr>
        <w:sectPr>
          <w:pgSz w:w="11900" w:h="16838" w:orient="portrait"/>
          <w:cols w:equalWidth="0" w:num="1">
            <w:col w:w="11420"/>
          </w:cols>
          <w:pgMar w:left="240" w:top="28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7800" w:type="dxa"/>
            <w:vAlign w:val="bottom"/>
          </w:tcPr>
          <w:p>
            <w:pPr>
              <w:ind w:left="4340"/>
              <w:spacing w:after="0"/>
              <w:rPr>
                <w:sz w:val="20"/>
                <w:szCs w:val="20"/>
                <w:color w:val="auto"/>
              </w:rPr>
            </w:pPr>
            <w:r>
              <w:rPr>
                <w:rFonts w:ascii="Arial" w:cs="Arial" w:eastAsia="Arial" w:hAnsi="Arial"/>
                <w:sz w:val="18"/>
                <w:szCs w:val="18"/>
                <w:b w:val="1"/>
                <w:bCs w:val="1"/>
                <w:color w:val="auto"/>
              </w:rPr>
              <w:t>EXHIBIT A</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w:t>
            </w:r>
          </w:p>
        </w:tc>
        <w:tc>
          <w:tcPr>
            <w:tcW w:w="740" w:type="dxa"/>
            <w:vAlign w:val="bottom"/>
          </w:tcPr>
          <w:p>
            <w:pPr>
              <w:spacing w:after="0"/>
              <w:rPr>
                <w:sz w:val="24"/>
                <w:szCs w:val="24"/>
                <w:color w:val="auto"/>
              </w:rPr>
            </w:pPr>
          </w:p>
        </w:tc>
        <w:tc>
          <w:tcPr>
            <w:tcW w:w="1040" w:type="dxa"/>
            <w:vAlign w:val="bottom"/>
          </w:tcPr>
          <w:p>
            <w:pPr>
              <w:jc w:val="right"/>
              <w:ind w:right="126"/>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8"/>
        </w:trPr>
        <w:tc>
          <w:tcPr>
            <w:tcW w:w="7800" w:type="dxa"/>
            <w:vAlign w:val="bottom"/>
            <w:tcBorders>
              <w:bottom w:val="single" w:sz="8" w:color="auto"/>
            </w:tcBorders>
            <w:vMerge w:val="continue"/>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3"/>
              </w:rPr>
              <w:t>Purchased Shares</w:t>
            </w:r>
          </w:p>
        </w:tc>
        <w:tc>
          <w:tcPr>
            <w:tcW w:w="0" w:type="dxa"/>
            <w:vAlign w:val="bottom"/>
          </w:tcPr>
          <w:p>
            <w:pPr>
              <w:spacing w:after="0"/>
              <w:rPr>
                <w:sz w:val="1"/>
                <w:szCs w:val="1"/>
                <w:color w:val="auto"/>
              </w:rPr>
            </w:pPr>
          </w:p>
        </w:tc>
      </w:tr>
      <w:tr>
        <w:trPr>
          <w:trHeight w:val="195"/>
        </w:trPr>
        <w:tc>
          <w:tcPr>
            <w:tcW w:w="7800" w:type="dxa"/>
            <w:vAlign w:val="bottom"/>
          </w:tcPr>
          <w:p>
            <w:pPr>
              <w:spacing w:after="0" w:line="195" w:lineRule="exact"/>
              <w:rPr>
                <w:sz w:val="20"/>
                <w:szCs w:val="20"/>
                <w:color w:val="auto"/>
              </w:rPr>
            </w:pPr>
            <w:r>
              <w:rPr>
                <w:rFonts w:ascii="Arial" w:cs="Arial" w:eastAsia="Arial" w:hAnsi="Arial"/>
                <w:sz w:val="18"/>
                <w:szCs w:val="18"/>
                <w:color w:val="auto"/>
              </w:rPr>
              <w:t>Janak Kumar Basnet</w:t>
            </w:r>
          </w:p>
        </w:tc>
        <w:tc>
          <w:tcPr>
            <w:tcW w:w="7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47,309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Marjoram Limited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1,182,744</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Alexander Yulievich Djaparidze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709,646</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Efraim Dory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Alexander V. Gavura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Inter Jura Cy (Services) Limited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Igor N. Kerysov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Vassili Kyvelidi</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Vladimir V. Metlin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Andrei Niziev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PetroAlliance Directors, Officers and Employees Benefits Plan Limited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99,207</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PetroAliance Stock Incentive Plan Limited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529,821</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Murat Sampiev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321,753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Isa Sharaputtinovich Shabanov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Alexander Sizov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Vladimir Stenin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85,205</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Alexander A. Vaigel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Vadim E. Usakovsky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106,446</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Fuad Aliev</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324"/>
        </w:trPr>
        <w:tc>
          <w:tcPr>
            <w:tcW w:w="7800" w:type="dxa"/>
            <w:vAlign w:val="bottom"/>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4,182,074</w:t>
            </w:r>
          </w:p>
        </w:tc>
        <w:tc>
          <w:tcPr>
            <w:tcW w:w="0" w:type="dxa"/>
            <w:vAlign w:val="bottom"/>
          </w:tcPr>
          <w:p>
            <w:pPr>
              <w:spacing w:after="0"/>
              <w:rPr>
                <w:sz w:val="1"/>
                <w:szCs w:val="1"/>
                <w:color w:val="auto"/>
              </w:rPr>
            </w:pPr>
          </w:p>
        </w:tc>
      </w:tr>
      <w:tr>
        <w:trPr>
          <w:trHeight w:val="378"/>
        </w:trPr>
        <w:tc>
          <w:tcPr>
            <w:tcW w:w="7800" w:type="dxa"/>
            <w:vAlign w:val="bottom"/>
          </w:tcPr>
          <w:p>
            <w:pPr>
              <w:ind w:left="4460"/>
              <w:spacing w:after="0"/>
              <w:rPr>
                <w:sz w:val="20"/>
                <w:szCs w:val="20"/>
                <w:color w:val="auto"/>
              </w:rPr>
            </w:pPr>
            <w:r>
              <w:rPr>
                <w:rFonts w:ascii="Arial" w:cs="Arial" w:eastAsia="Arial" w:hAnsi="Arial"/>
                <w:sz w:val="18"/>
                <w:szCs w:val="18"/>
                <w:color w:val="auto"/>
              </w:rPr>
              <w:t>Exhibit A</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580"/>
          </w:cols>
          <w:pgMar w:left="1160" w:top="274" w:right="11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8" w:name="page19"/>
    <w:bookmarkEnd w:id="18"/>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Form of Custody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274" w:right="1440"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Power of Attorney</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C</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9"/>
    </w:lvl>
    <w:lvl w:ilvl="1">
      <w:lvlJc w:val="left"/>
      <w:lvlText w:val="(%2)"/>
      <w:numFmt w:val="lowerLetter"/>
      <w:start w:val="4"/>
    </w:lvl>
  </w:abstractNum>
  <w:abstractNum w:abstractNumId="4">
    <w:nsid w:val="1F16E9E8"/>
    <w:multiLevelType w:val="hybridMultilevel"/>
    <w:lvl w:ilvl="0">
      <w:lvlJc w:val="left"/>
      <w:lvlText w:val="%1."/>
      <w:numFmt w:val="decimal"/>
      <w:start w:val="4"/>
    </w:lvl>
    <w:lvl w:ilvl="1">
      <w:lvlJc w:val="left"/>
      <w:lvlText w:val="(%2)"/>
      <w:numFmt w:val="lowerLetter"/>
      <w:start w:val="1"/>
    </w:lvl>
  </w:abstractNum>
  <w:abstractNum w:abstractNumId="5">
    <w:nsid w:val="1190CDE7"/>
    <w:multiLevelType w:val="hybridMultilevel"/>
    <w:lvl w:ilvl="0">
      <w:lvlJc w:val="left"/>
      <w:lvlText w:val="(%1)"/>
      <w:numFmt w:val="lowerLetter"/>
      <w:start w:val="3"/>
    </w:lvl>
  </w:abstractNum>
  <w:abstractNum w:abstractNumId="6">
    <w:nsid w:val="66EF438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
    <w:nsid w:val="140E0F7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
    <w:nsid w:val="3352255A"/>
    <w:multiLevelType w:val="hybridMultilevel"/>
    <w:lvl w:ilvl="0">
      <w:lvlJc w:val="left"/>
      <w:lvlText w:val="(%1)"/>
      <w:numFmt w:val="lowerRoman"/>
      <w:start w:val="3"/>
    </w:lvl>
  </w:abstractNum>
  <w:abstractNum w:abstractNumId="9">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0">
    <w:nsid w:val="DED726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6"/>
    </w:lvl>
  </w:abstractNum>
  <w:abstractNum w:abstractNumId="14">
    <w:nsid w:val="6B68079A"/>
    <w:multiLevelType w:val="hybridMultilevel"/>
    <w:lvl w:ilvl="0">
      <w:lvlJc w:val="left"/>
      <w:lvlText w:val="%1"/>
      <w:numFmt w:val="decimal"/>
      <w:start w:val="1"/>
    </w:lvl>
    <w:lvl w:ilvl="1">
      <w:lvlJc w:val="left"/>
      <w:lvlText w:val="(%2)"/>
      <w:numFmt w:val="lowerLetter"/>
      <w:start w:val="8"/>
    </w:lvl>
  </w:abstractNum>
  <w:abstractNum w:abstractNumId="15">
    <w:nsid w:val="4E6AFB66"/>
    <w:multiLevelType w:val="hybridMultilevel"/>
    <w:lvl w:ilvl="0">
      <w:lvlJc w:val="left"/>
      <w:lvlText w:val="%1."/>
      <w:numFmt w:val="decimal"/>
      <w:start w:val="8"/>
    </w:lvl>
    <w:lvl w:ilvl="1">
      <w:lvlJc w:val="left"/>
      <w:lvlText w:val="(%2)"/>
      <w:numFmt w:val="lowerLetter"/>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2019-12-13T06:36:51Z</dcterms:created>
  <dcterms:modified xsi:type="dcterms:W3CDTF">2019-12-13T06:36:51Z</dcterms:modified>
</cp:coreProperties>
</file>