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300"/>
        <w:spacing w:after="0"/>
        <w:rPr>
          <w:sz w:val="20"/>
          <w:szCs w:val="20"/>
          <w:color w:val="auto"/>
        </w:rPr>
      </w:pPr>
      <w:r>
        <w:rPr>
          <w:rFonts w:ascii="Arial" w:cs="Arial" w:eastAsia="Arial" w:hAnsi="Arial"/>
          <w:sz w:val="15"/>
          <w:szCs w:val="15"/>
          <w:b w:val="1"/>
          <w:bCs w:val="1"/>
          <w:color w:val="auto"/>
        </w:rPr>
        <w:t>June 30, 2010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580" w:type="dxa"/>
        <w:tblCellMar>
          <w:top w:w="0" w:type="dxa"/>
          <w:left w:w="0" w:type="dxa"/>
          <w:bottom w:w="0" w:type="dxa"/>
          <w:right w:w="0" w:type="dxa"/>
        </w:tblCellMar>
      </w:tblP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297"/>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31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5599 SAN FELIPE, 17</w:t>
            </w:r>
            <w:r>
              <w:rPr>
                <w:rFonts w:ascii="Arial" w:cs="Arial" w:eastAsia="Arial" w:hAnsi="Arial"/>
                <w:sz w:val="11"/>
                <w:szCs w:val="11"/>
                <w:b w:val="1"/>
                <w:bCs w:val="1"/>
                <w:color w:val="auto"/>
                <w:w w:val="94"/>
              </w:rPr>
              <w:t>th</w:t>
            </w:r>
            <w:r>
              <w:rPr>
                <w:rFonts w:ascii="Arial" w:cs="Arial" w:eastAsia="Arial" w:hAnsi="Arial"/>
                <w:sz w:val="18"/>
                <w:szCs w:val="18"/>
                <w:b w:val="1"/>
                <w:bCs w:val="1"/>
                <w:color w:val="auto"/>
                <w:w w:val="94"/>
              </w:rPr>
              <w:t xml:space="preserve"> FLOOR</w:t>
            </w:r>
          </w:p>
        </w:tc>
        <w:tc>
          <w:tcPr>
            <w:tcW w:w="3140" w:type="dxa"/>
            <w:vAlign w:val="bottom"/>
          </w:tcPr>
          <w:p>
            <w:pPr>
              <w:spacing w:after="0"/>
              <w:rPr>
                <w:sz w:val="24"/>
                <w:szCs w:val="24"/>
                <w:color w:val="auto"/>
              </w:rPr>
            </w:pPr>
          </w:p>
        </w:tc>
      </w:tr>
      <w:tr>
        <w:trPr>
          <w:trHeight w:val="22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312"/>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8"/>
                <w:szCs w:val="18"/>
                <w:color w:val="auto"/>
              </w:rPr>
            </w:pPr>
          </w:p>
        </w:tc>
      </w:tr>
      <w:tr>
        <w:trPr>
          <w:trHeight w:val="218"/>
        </w:trPr>
        <w:tc>
          <w:tcPr>
            <w:tcW w:w="4540" w:type="dxa"/>
            <w:vAlign w:val="bottom"/>
          </w:tcPr>
          <w:p>
            <w:pPr>
              <w:jc w:val="center"/>
              <w:ind w:right="199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40" w:type="dxa"/>
            <w:vAlign w:val="bottom"/>
          </w:tcPr>
          <w:p>
            <w:pPr>
              <w:jc w:val="center"/>
              <w:ind w:right="199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7"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p>
      <w:pPr>
        <w:spacing w:after="0" w:line="207" w:lineRule="exact"/>
        <w:tabs>
          <w:tab w:leader="none" w:pos="2740" w:val="left"/>
          <w:tab w:leader="none" w:pos="5380" w:val="left"/>
          <w:tab w:leader="none" w:pos="8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jc w:val="center"/>
              <w:ind w:right="622"/>
              <w:spacing w:after="0"/>
              <w:rPr>
                <w:sz w:val="20"/>
                <w:szCs w:val="20"/>
                <w:color w:val="auto"/>
              </w:rPr>
            </w:pPr>
            <w:r>
              <w:rPr>
                <w:rFonts w:ascii="Arial" w:cs="Arial" w:eastAsia="Arial" w:hAnsi="Arial"/>
                <w:sz w:val="14"/>
                <w:szCs w:val="14"/>
                <w:b w:val="1"/>
                <w:bCs w:val="1"/>
                <w:color w:val="auto"/>
                <w:w w:val="80"/>
              </w:rPr>
              <w:t>Class</w:t>
            </w:r>
          </w:p>
        </w:tc>
        <w:tc>
          <w:tcPr>
            <w:tcW w:w="5100" w:type="dxa"/>
            <w:vAlign w:val="bottom"/>
          </w:tcPr>
          <w:p>
            <w:pPr>
              <w:jc w:val="center"/>
              <w:ind w:right="182"/>
              <w:spacing w:after="0"/>
              <w:rPr>
                <w:sz w:val="20"/>
                <w:szCs w:val="20"/>
                <w:color w:val="auto"/>
              </w:rPr>
            </w:pPr>
            <w:r>
              <w:rPr>
                <w:rFonts w:ascii="Arial" w:cs="Arial" w:eastAsia="Arial" w:hAnsi="Arial"/>
                <w:sz w:val="14"/>
                <w:szCs w:val="14"/>
                <w:b w:val="1"/>
                <w:bCs w:val="1"/>
                <w:color w:val="auto"/>
                <w:w w:val="86"/>
              </w:rPr>
              <w:t>Outstanding at June 30, 2010</w:t>
            </w:r>
          </w:p>
        </w:tc>
      </w:tr>
      <w:tr>
        <w:trPr>
          <w:trHeight w:val="222"/>
        </w:trPr>
        <w:tc>
          <w:tcPr>
            <w:tcW w:w="6320" w:type="dxa"/>
            <w:vAlign w:val="bottom"/>
          </w:tcPr>
          <w:p>
            <w:pPr>
              <w:jc w:val="center"/>
              <w:ind w:right="602"/>
              <w:spacing w:after="0"/>
              <w:rPr>
                <w:sz w:val="20"/>
                <w:szCs w:val="20"/>
                <w:color w:val="auto"/>
              </w:rPr>
            </w:pPr>
            <w:r>
              <w:rPr>
                <w:rFonts w:ascii="Arial" w:cs="Arial" w:eastAsia="Arial" w:hAnsi="Arial"/>
                <w:sz w:val="18"/>
                <w:szCs w:val="18"/>
                <w:color w:val="auto"/>
                <w:w w:val="92"/>
              </w:rPr>
              <w:t>COMMON STOCK, $0.01 PAR VALUE PER SHARE</w:t>
            </w:r>
          </w:p>
        </w:tc>
        <w:tc>
          <w:tcPr>
            <w:tcW w:w="5100" w:type="dxa"/>
            <w:vAlign w:val="bottom"/>
          </w:tcPr>
          <w:p>
            <w:pPr>
              <w:jc w:val="right"/>
              <w:ind w:right="2102"/>
              <w:spacing w:after="0"/>
              <w:rPr>
                <w:sz w:val="20"/>
                <w:szCs w:val="20"/>
                <w:color w:val="auto"/>
              </w:rPr>
            </w:pPr>
            <w:r>
              <w:rPr>
                <w:rFonts w:ascii="Arial" w:cs="Arial" w:eastAsia="Arial" w:hAnsi="Arial"/>
                <w:sz w:val="18"/>
                <w:szCs w:val="18"/>
                <w:color w:val="auto"/>
              </w:rPr>
              <w:t>1,193,236,410</w:t>
            </w:r>
          </w:p>
        </w:tc>
      </w:tr>
      <w:tr>
        <w:trPr>
          <w:trHeight w:val="83"/>
        </w:trPr>
        <w:tc>
          <w:tcPr>
            <w:tcW w:w="632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2010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540" w:type="dxa"/>
            <w:vAlign w:val="bottom"/>
            <w:gridSpan w:val="2"/>
            <w:vMerge w:val="restart"/>
          </w:tcPr>
          <w:p>
            <w:pPr>
              <w:spacing w:after="0"/>
              <w:rPr>
                <w:sz w:val="14"/>
                <w:szCs w:val="14"/>
                <w:color w:val="auto"/>
              </w:rPr>
            </w:pPr>
          </w:p>
        </w:tc>
        <w:tc>
          <w:tcPr>
            <w:tcW w:w="1660" w:type="dxa"/>
            <w:vAlign w:val="bottom"/>
            <w:gridSpan w:val="7"/>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60" w:type="dxa"/>
            <w:vAlign w:val="bottom"/>
            <w:tcBorders>
              <w:bottom w:val="single" w:sz="8" w:color="0000EE"/>
            </w:tcBorders>
            <w:gridSpan w:val="7"/>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24"/>
                <w:szCs w:val="24"/>
                <w:color w:val="auto"/>
              </w:rPr>
            </w:pPr>
          </w:p>
        </w:tc>
        <w:tc>
          <w:tcPr>
            <w:tcW w:w="85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914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[Removed and Reserved]</w:t>
              </w:r>
            </w:hyperlink>
          </w:p>
        </w:tc>
        <w:tc>
          <w:tcPr>
            <w:tcW w:w="480" w:type="dxa"/>
            <w:vAlign w:val="bottom"/>
            <w:tcBorders>
              <w:top w:val="single" w:sz="8" w:color="0000EE"/>
            </w:tcBorders>
          </w:tcPr>
          <w:p>
            <w:pPr>
              <w:spacing w:after="0"/>
              <w:rPr>
                <w:sz w:val="24"/>
                <w:szCs w:val="24"/>
                <w:color w:val="auto"/>
              </w:rPr>
            </w:pPr>
          </w:p>
        </w:tc>
        <w:tc>
          <w:tcPr>
            <w:tcW w:w="77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Other Information</w:t>
              </w:r>
            </w:hyperlink>
          </w:p>
        </w:tc>
        <w:tc>
          <w:tcPr>
            <w:tcW w:w="874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6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Certifications</w:t>
            </w:r>
          </w:p>
        </w:tc>
        <w:tc>
          <w:tcPr>
            <w:tcW w:w="906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13"/>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3"/>
              </w:rPr>
              <w:t>PART I.</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426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Item 1.</w:t>
            </w:r>
          </w:p>
        </w:tc>
        <w:tc>
          <w:tcPr>
            <w:tcW w:w="6740" w:type="dxa"/>
            <w:vAlign w:val="bottom"/>
            <w:gridSpan w:val="8"/>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4260" w:type="dxa"/>
            <w:vAlign w:val="bottom"/>
            <w:gridSpan w:val="4"/>
          </w:tcPr>
          <w:p>
            <w:pPr>
              <w:jc w:val="center"/>
              <w:ind w:left="132"/>
              <w:spacing w:after="0"/>
              <w:rPr>
                <w:sz w:val="20"/>
                <w:szCs w:val="20"/>
                <w:color w:val="auto"/>
              </w:rPr>
            </w:pPr>
            <w:r>
              <w:rPr>
                <w:rFonts w:ascii="Arial" w:cs="Arial" w:eastAsia="Arial" w:hAnsi="Arial"/>
                <w:sz w:val="18"/>
                <w:szCs w:val="18"/>
                <w:b w:val="1"/>
                <w:bCs w:val="1"/>
                <w:color w:val="auto"/>
                <w:w w:val="99"/>
              </w:rPr>
              <w:t>SCHLUMBERGER LIMITED AND SUBSIDIARIES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CONSOLIDATED STATEMENT OF INCOME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10"/>
          </w:tcPr>
          <w:p>
            <w:pPr>
              <w:jc w:val="right"/>
              <w:ind w:right="100"/>
              <w:spacing w:after="0"/>
              <w:rPr>
                <w:sz w:val="20"/>
                <w:szCs w:val="20"/>
                <w:color w:val="auto"/>
              </w:rPr>
            </w:pPr>
            <w:r>
              <w:rPr>
                <w:rFonts w:ascii="Arial" w:cs="Arial" w:eastAsia="Arial" w:hAnsi="Arial"/>
                <w:sz w:val="14"/>
                <w:szCs w:val="14"/>
                <w:i w:val="1"/>
                <w:iCs w:val="1"/>
                <w:color w:val="auto"/>
                <w:w w:val="88"/>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Second 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5,937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5,528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11,534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1"/>
          </w:tcPr>
          <w:p>
            <w:pPr>
              <w:spacing w:after="0"/>
              <w:rPr>
                <w:sz w:val="20"/>
                <w:szCs w:val="20"/>
                <w:color w:val="auto"/>
              </w:rPr>
            </w:pPr>
            <w:r>
              <w:rPr>
                <w:rFonts w:ascii="Arial" w:cs="Arial" w:eastAsia="Arial" w:hAnsi="Arial"/>
                <w:sz w:val="18"/>
                <w:szCs w:val="18"/>
                <w:i w:val="1"/>
                <w:iCs w:val="1"/>
                <w:color w:val="auto"/>
              </w:rPr>
              <w:t>Interest &amp; other income,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1"/>
          </w:tcPr>
          <w:p>
            <w:pPr>
              <w:ind w:left="42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4,576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4,432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8,918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1"/>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1"/>
          </w:tcPr>
          <w:p>
            <w:pPr>
              <w:ind w:left="420"/>
              <w:spacing w:after="0"/>
              <w:rPr>
                <w:sz w:val="20"/>
                <w:szCs w:val="20"/>
                <w:color w:val="auto"/>
              </w:rPr>
            </w:pPr>
            <w:r>
              <w:rPr>
                <w:rFonts w:ascii="Arial" w:cs="Arial" w:eastAsia="Arial" w:hAnsi="Arial"/>
                <w:sz w:val="18"/>
                <w:szCs w:val="18"/>
                <w:color w:val="auto"/>
              </w:rPr>
              <w:t>General &amp;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289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1"/>
            <w:shd w:val="clear" w:color="auto" w:fill="CCEEFF"/>
          </w:tcPr>
          <w:p>
            <w:pPr>
              <w:ind w:left="420"/>
              <w:spacing w:after="0"/>
              <w:rPr>
                <w:sz w:val="20"/>
                <w:szCs w:val="20"/>
                <w:color w:val="auto"/>
              </w:rPr>
            </w:pPr>
            <w:r>
              <w:rPr>
                <w:rFonts w:ascii="Arial" w:cs="Arial" w:eastAsia="Arial" w:hAnsi="Arial"/>
                <w:sz w:val="18"/>
                <w:szCs w:val="18"/>
                <w:color w:val="auto"/>
              </w:rPr>
              <w:t>Merger &amp; integration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gridSpan w:val="3"/>
          </w:tcPr>
          <w:p>
            <w:pPr>
              <w:ind w:left="420"/>
              <w:spacing w:after="0"/>
              <w:rPr>
                <w:sz w:val="20"/>
                <w:szCs w:val="20"/>
                <w:color w:val="auto"/>
              </w:rPr>
            </w:pPr>
            <w:r>
              <w:rPr>
                <w:rFonts w:ascii="Arial" w:cs="Arial" w:eastAsia="Arial" w:hAnsi="Arial"/>
                <w:sz w:val="18"/>
                <w:szCs w:val="18"/>
                <w:color w:val="auto"/>
                <w:w w:val="89"/>
              </w:rPr>
              <w:t>Interest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11"/>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1"/>
          </w:tcPr>
          <w:p>
            <w:pPr>
              <w:ind w:left="420"/>
              <w:spacing w:after="0"/>
              <w:rPr>
                <w:sz w:val="20"/>
                <w:szCs w:val="20"/>
                <w:color w:val="auto"/>
              </w:rPr>
            </w:pPr>
            <w:r>
              <w:rPr>
                <w:rFonts w:ascii="Arial" w:cs="Arial" w:eastAsia="Arial" w:hAnsi="Arial"/>
                <w:sz w:val="18"/>
                <w:szCs w:val="18"/>
                <w:color w:val="auto"/>
              </w:rPr>
              <w:t>Taxes on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11"/>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11"/>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774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gridSpan w:val="1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11"/>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0"/>
        </w:trPr>
        <w:tc>
          <w:tcPr>
            <w:tcW w:w="774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gridSpan w:val="1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11"/>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774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gridSpan w:val="1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11"/>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74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40" w:type="dxa"/>
            <w:vAlign w:val="bottom"/>
            <w:gridSpan w:val="1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1,192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20" w:type="dxa"/>
            <w:vAlign w:val="bottom"/>
            <w:gridSpan w:val="11"/>
          </w:tcPr>
          <w:p>
            <w:pPr>
              <w:ind w:left="420"/>
              <w:spacing w:after="0"/>
              <w:rPr>
                <w:sz w:val="20"/>
                <w:szCs w:val="20"/>
                <w:color w:val="auto"/>
              </w:rPr>
            </w:pPr>
            <w:r>
              <w:rPr>
                <w:rFonts w:ascii="Arial" w:cs="Arial" w:eastAsia="Arial" w:hAnsi="Arial"/>
                <w:sz w:val="18"/>
                <w:szCs w:val="18"/>
                <w:color w:val="auto"/>
              </w:rPr>
              <w:t>Assuming dilution</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1,208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Jun. 30, 2010</w:t>
            </w: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2,849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(2010—$141; 2009—$160)</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1,865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12,230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2,396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9,657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5,854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Long-term debt—current portion</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Convertible debentures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6,776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1,581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13,133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14,236</w:t>
            </w: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i w:val="1"/>
                <w:iCs w:val="1"/>
                <w:color w:val="auto"/>
              </w:rPr>
              <w:t>Equity</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8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(5,420)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23,007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(2,729)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Schlumberger 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33,017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center"/>
              <w:ind w:left="234"/>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left="274"/>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1,491</w:t>
            </w:r>
          </w:p>
        </w:tc>
        <w:tc>
          <w:tcPr>
            <w:tcW w:w="260" w:type="dxa"/>
            <w:vAlign w:val="bottom"/>
          </w:tcPr>
          <w:p>
            <w:pPr>
              <w:spacing w:after="0"/>
              <w:rPr>
                <w:sz w:val="18"/>
                <w:szCs w:val="18"/>
                <w:color w:val="auto"/>
              </w:rPr>
            </w:pPr>
          </w:p>
        </w:tc>
        <w:tc>
          <w:tcPr>
            <w:tcW w:w="2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1,258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Pension and other postretirement benefits expense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Pension and other postretirement benefits funding</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Pension and other postretirement benefits curtailment charge</w:t>
            </w: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non-cash items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decrease in receivables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Decrease (increase) in inventories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(increase) in other current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(decrease) in estimated liability for taxes on income</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Decrease in other liabilities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78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(1,083)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Acquisition of Geoservices, net of cash acquired</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business acquisitions and investments, net of cash acquired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Sale (purchase) of investments, net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1,603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(698)</w:t>
            </w:r>
          </w:p>
        </w:tc>
        <w:tc>
          <w:tcPr>
            <w:tcW w:w="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benefits on stock options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Stock repurchase program</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Repayment of long-term debt</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decrease in short-term borrowings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9780" w:type="dxa"/>
            <w:vAlign w:val="bottom"/>
            <w:gridSpan w:val="3"/>
          </w:tcPr>
          <w:p>
            <w:pPr>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(1,601)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before translation effect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8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260" w:type="dxa"/>
            <w:vAlign w:val="bottom"/>
          </w:tcPr>
          <w:p>
            <w:pPr>
              <w:spacing w:after="0"/>
              <w:rPr>
                <w:sz w:val="19"/>
                <w:szCs w:val="19"/>
                <w:color w:val="auto"/>
              </w:rPr>
            </w:pPr>
          </w:p>
        </w:tc>
        <w:tc>
          <w:tcPr>
            <w:tcW w:w="280" w:type="dxa"/>
            <w:vAlign w:val="bottom"/>
            <w:gridSpan w:val="2"/>
          </w:tcPr>
          <w:p>
            <w:pPr>
              <w:jc w:val="center"/>
              <w:ind w:left="7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multiclient seismic data costs.</w:t>
      </w:r>
    </w:p>
    <w:p>
      <w:pPr>
        <w:spacing w:after="0" w:line="1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Net of the effect of business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980" w:type="dxa"/>
            <w:vAlign w:val="bottom"/>
            <w:gridSpan w:val="8"/>
            <w:vMerge w:val="restart"/>
          </w:tcPr>
          <w:p>
            <w:pPr>
              <w:jc w:val="right"/>
              <w:ind w:right="740"/>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980" w:type="dxa"/>
            <w:vAlign w:val="bottom"/>
            <w:gridSpan w:val="8"/>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January 1, 2009 - June 30, 2009</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Issued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In Treasury</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3"/>
              </w:rPr>
              <w:t>Balance, January 1, 2009</w:t>
            </w:r>
          </w:p>
        </w:tc>
        <w:tc>
          <w:tcPr>
            <w:tcW w:w="33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$4,668</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(4,796)</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$19,891</w:t>
            </w:r>
          </w:p>
        </w:tc>
        <w:tc>
          <w:tcPr>
            <w:tcW w:w="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(2,901)</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Stock-based compensation cost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Acquisition of noncontrolling interests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declared ($0.42 per share)</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Tax benefits on stock options</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2009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4,718</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(4,668)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20,940</w:t>
            </w:r>
          </w:p>
        </w:tc>
        <w:tc>
          <w:tcPr>
            <w:tcW w:w="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(2,363)</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980" w:type="dxa"/>
            <w:vAlign w:val="bottom"/>
            <w:gridSpan w:val="8"/>
            <w:vMerge w:val="restart"/>
          </w:tcPr>
          <w:p>
            <w:pPr>
              <w:jc w:val="right"/>
              <w:ind w:right="780"/>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980" w:type="dxa"/>
            <w:vAlign w:val="bottom"/>
            <w:gridSpan w:val="8"/>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right"/>
              <w:ind w:right="540"/>
              <w:spacing w:after="0" w:line="14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77"/>
              </w:rPr>
              <w:t>Retained</w:t>
            </w:r>
          </w:p>
        </w:tc>
        <w:tc>
          <w:tcPr>
            <w:tcW w:w="140" w:type="dxa"/>
            <w:vAlign w:val="bottom"/>
          </w:tcPr>
          <w:p>
            <w:pPr>
              <w:spacing w:after="0"/>
              <w:rPr>
                <w:sz w:val="11"/>
                <w:szCs w:val="11"/>
                <w:color w:val="auto"/>
              </w:rPr>
            </w:pPr>
          </w:p>
        </w:tc>
        <w:tc>
          <w:tcPr>
            <w:tcW w:w="11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12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January 1, 2010 - June 30, 2010</w:t>
            </w: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Issued</w:t>
            </w:r>
          </w:p>
        </w:tc>
        <w:tc>
          <w:tcPr>
            <w:tcW w:w="140" w:type="dxa"/>
            <w:vAlign w:val="bottom"/>
          </w:tcPr>
          <w:p>
            <w:pPr>
              <w:spacing w:after="0"/>
              <w:rPr>
                <w:sz w:val="14"/>
                <w:szCs w:val="14"/>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Treasury</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6"/>
              </w:rPr>
              <w:t>Earnings</w:t>
            </w:r>
          </w:p>
        </w:tc>
        <w:tc>
          <w:tcPr>
            <w:tcW w:w="140" w:type="dxa"/>
            <w:vAlign w:val="bottom"/>
          </w:tcPr>
          <w:p>
            <w:pPr>
              <w:spacing w:after="0"/>
              <w:rPr>
                <w:sz w:val="14"/>
                <w:szCs w:val="14"/>
                <w:color w:val="auto"/>
              </w:rPr>
            </w:pPr>
          </w:p>
        </w:tc>
        <w:tc>
          <w:tcPr>
            <w:tcW w:w="11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2"/>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3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w w:val="93"/>
              </w:rPr>
              <w:t>Balance, January 1, 2010</w:t>
            </w:r>
          </w:p>
        </w:tc>
        <w:tc>
          <w:tcPr>
            <w:tcW w:w="33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$4,777</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(5,002)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$22,019</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color w:val="auto"/>
              </w:rPr>
              <w:t>Currency translation adjustments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420"/>
              <w:spacing w:after="0"/>
              <w:rPr>
                <w:sz w:val="20"/>
                <w:szCs w:val="20"/>
                <w:color w:val="auto"/>
              </w:rPr>
            </w:pPr>
            <w:r>
              <w:rPr>
                <w:rFonts w:ascii="Arial" w:cs="Arial" w:eastAsia="Arial" w:hAnsi="Arial"/>
                <w:sz w:val="18"/>
                <w:szCs w:val="18"/>
                <w:color w:val="auto"/>
              </w:rPr>
              <w:t>Deferred employee benefits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Shares sold to optionees, less shares exchanged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(872)</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Shares issued on conversion of debentures</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Acquisition of noncontrolling 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Dividends declared ($0.42 per share)</w:t>
            </w:r>
          </w:p>
        </w:tc>
        <w:tc>
          <w:tcPr>
            <w:tcW w:w="4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Tax benefits on stock options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4,920</w:t>
            </w:r>
          </w:p>
        </w:tc>
        <w:tc>
          <w:tcPr>
            <w:tcW w:w="240" w:type="dxa"/>
            <w:vAlign w:val="bottom"/>
            <w:tcBorders>
              <w:lef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(5,420)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23,007</w:t>
            </w:r>
          </w:p>
        </w:tc>
        <w:tc>
          <w:tcPr>
            <w:tcW w:w="2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49"/>
        </w:trPr>
        <w:tc>
          <w:tcPr>
            <w:tcW w:w="8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r>
      <w:tr>
        <w:trPr>
          <w:trHeight w:val="161"/>
        </w:trPr>
        <w:tc>
          <w:tcPr>
            <w:tcW w:w="832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5"/>
              </w:rPr>
              <w:t>Issued</w:t>
            </w: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In Treasury</w:t>
            </w:r>
          </w:p>
        </w:tc>
        <w:tc>
          <w:tcPr>
            <w:tcW w:w="4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Outstanding</w:t>
            </w:r>
          </w:p>
        </w:tc>
      </w:tr>
      <w:tr>
        <w:trPr>
          <w:trHeight w:val="20"/>
        </w:trPr>
        <w:tc>
          <w:tcPr>
            <w:tcW w:w="8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1,334</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purchase plan</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Stock repurchase plan</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on conversion of debebtures</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Balance, June 30, 2010</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1,334</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(141)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1,193</w:t>
            </w:r>
          </w:p>
        </w:tc>
      </w:tr>
      <w:tr>
        <w:trPr>
          <w:trHeight w:val="20"/>
        </w:trPr>
        <w:tc>
          <w:tcPr>
            <w:tcW w:w="8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 month period ended June 30, 2010 are not necessarily indicative of the results that may be expected for the full year ending December 31, 2010. The December 31, 2009 balance sheet information has been derived from the audited 2009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2009, filed with the Securities and Exchange Commission on February 5, 2010.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 have been reclassified to conform to the current year presentation.</w:t>
      </w:r>
    </w:p>
    <w:p>
      <w:pPr>
        <w:spacing w:after="0" w:line="24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Merger with Smith International, Inc.</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21, 2010, Schlumberger and Smith International, Inc. (“Smith”) jointly announced that their Boards of Directors approved a definitive merger agreement in which the companies would combine in a stock-for-stock transaction. Under the terms of the agreement, Smith shareholders will receive 0.6966 shares of Schlumberger in exchange for each Smith share. Schlumberger estimates that it will issue approximately 176 million shares of its common stock in this transaction. The value of this transaction using Schlumberger’s stock price at the end of June is approximately $9.8 billion. Such amount excludes Smith’s net debt which was $1.3 billion as of March 31, 2010. Smith is a leading supplier of premium products and services to the oil and gas exploration and production industry and reported revenues of $8.2 billion in 2009. The transaction is subject to various conditions including Smith stockholder approval. Subject to receipt of approval from Smith Stockholders, Schlumberger expects that the closing of the transaction will occur on August 27, 2010.</w:t>
      </w:r>
    </w:p>
    <w:p>
      <w:pPr>
        <w:spacing w:after="0" w:line="193"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first six months of 2010 and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2010:</w:t>
      </w:r>
    </w:p>
    <w:p>
      <w:pPr>
        <w:spacing w:after="0" w:line="90" w:lineRule="exact"/>
        <w:rPr>
          <w:sz w:val="20"/>
          <w:szCs w:val="20"/>
          <w:color w:val="auto"/>
        </w:rPr>
      </w:pPr>
    </w:p>
    <w:p>
      <w:pPr>
        <w:ind w:left="900" w:right="30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Schlumberger incurred $35 million of merger-related costs in connection with the Smith and Geoservices transactions (see Notes 2 and 5). These costs primarily consist of advisory and legal fees and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900" w:right="240" w:hanging="446"/>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During March 2010, the Patient Protection and Affordable Care Act (PPACA) was signed into law in the United States. Among other things, the PPACA eliminates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 This charge is classified in </w:t>
      </w:r>
      <w:r>
        <w:rPr>
          <w:rFonts w:ascii="Arial" w:cs="Arial" w:eastAsia="Arial" w:hAnsi="Arial"/>
          <w:sz w:val="16"/>
          <w:szCs w:val="16"/>
          <w:i w:val="1"/>
          <w:iCs w:val="1"/>
          <w:color w:val="auto"/>
        </w:rPr>
        <w:t>Taxes on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8460" w:type="dxa"/>
            <w:vAlign w:val="bottom"/>
          </w:tcPr>
          <w:p>
            <w:pPr>
              <w:spacing w:after="0"/>
              <w:rPr>
                <w:sz w:val="14"/>
                <w:szCs w:val="14"/>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Pretax</w:t>
            </w:r>
          </w:p>
        </w:tc>
        <w:tc>
          <w:tcPr>
            <w:tcW w:w="50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Tax</w:t>
            </w:r>
          </w:p>
        </w:tc>
        <w:tc>
          <w:tcPr>
            <w:tcW w:w="5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Net</w:t>
            </w: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  Merger-related transaction costs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7"/>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  Impact of elimination of tax deduction related to Medicare Part D subsidy</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8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w:t>
            </w:r>
          </w:p>
        </w:tc>
      </w:tr>
      <w:tr>
        <w:trPr>
          <w:trHeight w:val="20"/>
        </w:trPr>
        <w:tc>
          <w:tcPr>
            <w:tcW w:w="8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2009:</w:t>
      </w:r>
    </w:p>
    <w:p>
      <w:pPr>
        <w:spacing w:after="0" w:line="90" w:lineRule="exact"/>
        <w:rPr>
          <w:sz w:val="20"/>
          <w:szCs w:val="20"/>
          <w:color w:val="auto"/>
        </w:rPr>
      </w:pPr>
    </w:p>
    <w:p>
      <w:pPr>
        <w:jc w:val="both"/>
        <w:ind w:left="900" w:right="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Schlumberger continued to reduce its global workforce as a result of the slowdown in oil and gas exploration and production spending and its effect on activity in the oilfield services sector. As a result of these actions, Schlumberger recorded a pretax charge of $102 million ($85 million after-tax), which is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hanging="446"/>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Schlumberger experienced a significant reduction in the expected aggregate years of future service of its employees in certain of its pension plans and its postretirement medical plan as a consequence of the above mentioned workforce reductions. Accordingly, Schlumberger recorded pretax non-cash pension and other postretirement benefit curtailment charges of $136 million ($122 million after-tax). The curtailment charge included recognition of the change in benefit obligations as well as a portion of the previously unrecognized prior service costs, reflecting the reduction in expected future service for the impacted plans. These costs are classified in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4"/>
              </w:rPr>
              <w:t>Pretax</w:t>
            </w:r>
          </w:p>
        </w:tc>
        <w:tc>
          <w:tcPr>
            <w:tcW w:w="50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45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 Workforce reductions</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$ 102</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 Postretirement benefits curtailment</w:t>
            </w:r>
          </w:p>
        </w:tc>
        <w:tc>
          <w:tcPr>
            <w:tcW w:w="4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00" w:type="dxa"/>
            <w:vAlign w:val="bottom"/>
          </w:tcPr>
          <w:p>
            <w:pPr>
              <w:spacing w:after="0"/>
              <w:rPr>
                <w:sz w:val="19"/>
                <w:szCs w:val="19"/>
                <w:color w:val="auto"/>
              </w:rPr>
            </w:pP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$ 238</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207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500" w:type="dxa"/>
            <w:vAlign w:val="bottom"/>
            <w:vMerge w:val="restart"/>
          </w:tcPr>
          <w:p>
            <w:pPr>
              <w:jc w:val="right"/>
              <w:ind w:right="3012"/>
              <w:spacing w:after="0"/>
              <w:rPr>
                <w:sz w:val="20"/>
                <w:szCs w:val="20"/>
                <w:color w:val="auto"/>
              </w:rPr>
            </w:pPr>
            <w:r>
              <w:rPr>
                <w:rFonts w:ascii="Arial" w:cs="Arial" w:eastAsia="Arial" w:hAnsi="Arial"/>
                <w:sz w:val="18"/>
                <w:szCs w:val="18"/>
                <w:color w:val="auto"/>
              </w:rPr>
              <w:t>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per share of Schlumberger to diluted earnings per share of Schlumberger: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7"/>
          </w:tcPr>
          <w:p>
            <w:pPr>
              <w:jc w:val="right"/>
              <w:ind w:right="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Schlumberger</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48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Schlumberger</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1"/>
        </w:trPr>
        <w:tc>
          <w:tcPr>
            <w:tcW w:w="4540" w:type="dxa"/>
            <w:vAlign w:val="bottom"/>
            <w:gridSpan w:val="4"/>
          </w:tcPr>
          <w:p>
            <w:pPr>
              <w:spacing w:after="0"/>
              <w:rPr>
                <w:sz w:val="20"/>
                <w:szCs w:val="20"/>
                <w:color w:val="auto"/>
              </w:rPr>
            </w:pPr>
            <w:r>
              <w:rPr>
                <w:rFonts w:ascii="Arial" w:cs="Arial" w:eastAsia="Arial" w:hAnsi="Arial"/>
                <w:sz w:val="14"/>
                <w:szCs w:val="14"/>
                <w:b w:val="1"/>
                <w:bCs w:val="1"/>
                <w:color w:val="auto"/>
              </w:rPr>
              <w:t>Second Quarter</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Income</w:t>
            </w:r>
          </w:p>
        </w:tc>
        <w:tc>
          <w:tcPr>
            <w:tcW w:w="4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Net Income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613</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1,197</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2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44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2</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615</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1,214</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Schlumberger</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48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Schlumberger</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1"/>
        </w:trPr>
        <w:tc>
          <w:tcPr>
            <w:tcW w:w="4540" w:type="dxa"/>
            <w:vAlign w:val="bottom"/>
            <w:gridSpan w:val="4"/>
          </w:tcPr>
          <w:p>
            <w:pPr>
              <w:spacing w:after="0"/>
              <w:rPr>
                <w:sz w:val="20"/>
                <w:szCs w:val="20"/>
                <w:color w:val="auto"/>
              </w:rPr>
            </w:pPr>
            <w:r>
              <w:rPr>
                <w:rFonts w:ascii="Arial" w:cs="Arial" w:eastAsia="Arial" w:hAnsi="Arial"/>
                <w:sz w:val="14"/>
                <w:szCs w:val="14"/>
                <w:b w:val="1"/>
                <w:bCs w:val="1"/>
                <w:color w:val="auto"/>
              </w:rPr>
              <w:t>Six Months</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Income</w:t>
            </w:r>
          </w:p>
        </w:tc>
        <w:tc>
          <w:tcPr>
            <w:tcW w:w="4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Net Income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8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1,552</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1,197</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2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44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4</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40" w:type="dxa"/>
            <w:vAlign w:val="bottom"/>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Unvested restricted stock</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1,493</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1,556</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1,212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8020" w:type="dxa"/>
            <w:vAlign w:val="bottom"/>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8"/>
        </w:trPr>
        <w:tc>
          <w:tcPr>
            <w:tcW w:w="8020" w:type="dxa"/>
            <w:vAlign w:val="bottom"/>
          </w:tcPr>
          <w:p>
            <w:pPr>
              <w:spacing w:after="0"/>
              <w:rPr>
                <w:sz w:val="20"/>
                <w:szCs w:val="20"/>
                <w:color w:val="auto"/>
              </w:rPr>
            </w:pPr>
            <w:r>
              <w:rPr>
                <w:rFonts w:ascii="Arial" w:cs="Arial" w:eastAsia="Arial" w:hAnsi="Arial"/>
                <w:sz w:val="18"/>
                <w:szCs w:val="18"/>
                <w:color w:val="auto"/>
              </w:rPr>
              <w:t>Six Months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w:t>
            </w:r>
          </w:p>
        </w:tc>
      </w:tr>
    </w:tbl>
    <w:p>
      <w:pPr>
        <w:spacing w:after="0" w:line="216"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April 23, 2010, Schlumberger completed the acquisition of Geoservices, a privately owned oilfield services company specializing in mud logging, slickline and production surveillance operations, for approximately $915 million in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has been preliminarily allocated to the net assets acquired upon their estimated fair values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20"/>
                <w:szCs w:val="20"/>
                <w:color w:val="auto"/>
              </w:rPr>
            </w:pPr>
            <w:r>
              <w:rPr>
                <w:rFonts w:ascii="Arial" w:cs="Arial" w:eastAsia="Arial" w:hAnsi="Arial"/>
                <w:sz w:val="14"/>
                <w:szCs w:val="14"/>
                <w:i w:val="1"/>
                <w:iCs w:val="1"/>
                <w:color w:val="auto"/>
              </w:rPr>
              <w:t>(Stated in millions)</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assets</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Goodwill</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Long-term debt</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liabilities</w:t>
            </w: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(155)</w:t>
            </w:r>
          </w:p>
        </w:tc>
      </w:tr>
      <w:tr>
        <w:trPr>
          <w:trHeight w:val="27"/>
        </w:trPr>
        <w:tc>
          <w:tcPr>
            <w:tcW w:w="53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r>
      <w:tr>
        <w:trPr>
          <w:trHeight w:val="20"/>
        </w:trPr>
        <w:tc>
          <w:tcPr>
            <w:tcW w:w="5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recorded amounts for certain assets and liabilities, primarily relating to intangible assets, goodwill and deferred tax liabilities, are preliminary and subject to change. Any further adjustments are not expected to be material.</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Geoservices’ long-term debt was repaid at the time of closing. Schlumberger will record the results of Geoservices one month in arrears. Geoservices’ revenue in 2009 was approximately $500 million.</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Intangible assets recorded in connection with this transaction, which primarily relate to customer relationships, will be amortized over a weighted average period of approximately 19 years.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amount allocated to goodwill represents the excess of the purchase price over the fair value of the net assets acquired. The goodwill is not tax deductible.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first six months of 2010, Schlumberger made certain other acquisitions and minority interest investments for $145 million, net of cash acquired, none of which were significant on an individual basis or in the aggregate.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pertaining to the above acquisitions are not presented as the impact was not significant.</w:t>
      </w:r>
    </w:p>
    <w:p>
      <w:pPr>
        <w:spacing w:after="0" w:line="246"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Jun. 30</w:t>
            </w:r>
          </w:p>
        </w:tc>
        <w:tc>
          <w:tcPr>
            <w:tcW w:w="4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Work in process</w:t>
            </w:r>
          </w:p>
        </w:tc>
        <w:tc>
          <w:tcPr>
            <w:tcW w:w="51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34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1,865</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620" w:type="dxa"/>
            <w:vAlign w:val="bottom"/>
            <w:vMerge w:val="restart"/>
          </w:tcPr>
          <w:p>
            <w:pPr>
              <w:jc w:val="right"/>
              <w:ind w:right="3132"/>
              <w:spacing w:after="0"/>
              <w:rPr>
                <w:sz w:val="20"/>
                <w:szCs w:val="20"/>
                <w:color w:val="auto"/>
              </w:rPr>
            </w:pPr>
            <w:r>
              <w:rPr>
                <w:rFonts w:ascii="Arial" w:cs="Arial" w:eastAsia="Arial" w:hAnsi="Arial"/>
                <w:sz w:val="18"/>
                <w:szCs w:val="18"/>
                <w:color w:val="auto"/>
              </w:rPr>
              <w:t>11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1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Jun. 30</w:t>
            </w:r>
          </w:p>
        </w:tc>
        <w:tc>
          <w:tcPr>
            <w:tcW w:w="6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30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$22,279</w:t>
            </w:r>
          </w:p>
        </w:tc>
        <w:tc>
          <w:tcPr>
            <w:tcW w:w="3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$ 21,505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40" w:type="dxa"/>
            <w:vAlign w:val="bottom"/>
          </w:tcPr>
          <w:p>
            <w:pPr>
              <w:spacing w:after="0"/>
              <w:rPr>
                <w:sz w:val="18"/>
                <w:szCs w:val="18"/>
                <w:color w:val="auto"/>
              </w:rPr>
            </w:pPr>
          </w:p>
        </w:tc>
        <w:tc>
          <w:tcPr>
            <w:tcW w:w="76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12,622</w:t>
            </w:r>
          </w:p>
        </w:tc>
        <w:tc>
          <w:tcPr>
            <w:tcW w:w="3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$ 9,657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9,660</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52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500" w:type="dxa"/>
            <w:vAlign w:val="bottom"/>
            <w:gridSpan w:val="2"/>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000" w:type="dxa"/>
            <w:vAlign w:val="bottom"/>
            <w:gridSpan w:val="4"/>
            <w:shd w:val="clear" w:color="auto" w:fill="CCEEFF"/>
          </w:tcPr>
          <w:p>
            <w:pPr>
              <w:jc w:val="center"/>
              <w:ind w:left="2412"/>
              <w:spacing w:after="0"/>
              <w:rPr>
                <w:sz w:val="20"/>
                <w:szCs w:val="20"/>
                <w:color w:val="auto"/>
              </w:rPr>
            </w:pPr>
            <w:r>
              <w:rPr>
                <w:rFonts w:ascii="Arial" w:cs="Arial" w:eastAsia="Arial" w:hAnsi="Arial"/>
                <w:sz w:val="18"/>
                <w:szCs w:val="18"/>
                <w:b w:val="1"/>
                <w:bCs w:val="1"/>
                <w:color w:val="auto"/>
                <w:w w:val="99"/>
              </w:rPr>
              <w:t>$  558</w:t>
            </w: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Six Months</w:t>
            </w:r>
          </w:p>
        </w:tc>
        <w:tc>
          <w:tcPr>
            <w:tcW w:w="3000" w:type="dxa"/>
            <w:vAlign w:val="bottom"/>
            <w:gridSpan w:val="4"/>
          </w:tcPr>
          <w:p>
            <w:pPr>
              <w:jc w:val="center"/>
              <w:ind w:left="2412"/>
              <w:spacing w:after="0"/>
              <w:rPr>
                <w:sz w:val="20"/>
                <w:szCs w:val="20"/>
                <w:color w:val="auto"/>
              </w:rPr>
            </w:pPr>
            <w:r>
              <w:rPr>
                <w:rFonts w:ascii="Arial" w:cs="Arial" w:eastAsia="Arial" w:hAnsi="Arial"/>
                <w:sz w:val="18"/>
                <w:szCs w:val="18"/>
                <w:b w:val="1"/>
                <w:bCs w:val="1"/>
                <w:color w:val="auto"/>
                <w:w w:val="90"/>
              </w:rPr>
              <w:t>$1,105</w:t>
            </w:r>
          </w:p>
        </w:tc>
        <w:tc>
          <w:tcPr>
            <w:tcW w:w="3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b w:val="1"/>
          <w:bCs w:val="1"/>
          <w:u w:val="single" w:color="auto"/>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2010 was as follows:</w:t>
      </w:r>
    </w:p>
    <w:p>
      <w:pPr>
        <w:sectPr>
          <w:pgSz w:w="11900" w:h="16838" w:orient="portrait"/>
          <w:cols w:equalWidth="0" w:num="1">
            <w:col w:w="10960"/>
          </w:cols>
          <w:pgMar w:left="240" w:top="459" w:right="699" w:bottom="1440" w:gutter="0" w:footer="0" w:header="0"/>
        </w:sectPr>
      </w:pPr>
    </w:p>
    <w:p>
      <w:pPr>
        <w:spacing w:after="0" w:line="36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Balance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-103505</wp:posOffset>
            </wp:positionV>
            <wp:extent cx="60801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Charged to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-114935</wp:posOffset>
            </wp:positionV>
            <wp:extent cx="60801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at June 30, 2010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6"/>
        <w:spacing w:after="0"/>
        <w:rPr>
          <w:sz w:val="20"/>
          <w:szCs w:val="20"/>
          <w:color w:val="auto"/>
        </w:rPr>
      </w:pPr>
      <w:r>
        <w:rPr>
          <w:rFonts w:ascii="Arial" w:cs="Arial" w:eastAsia="Arial" w:hAnsi="Arial"/>
          <w:sz w:val="12"/>
          <w:szCs w:val="12"/>
          <w:i w:val="1"/>
          <w:iCs w:val="1"/>
          <w:color w:val="auto"/>
        </w:rPr>
        <w:t>(Stated in millions)</w:t>
      </w:r>
    </w:p>
    <w:p>
      <w:pPr>
        <w:spacing w:after="0" w:line="27" w:lineRule="exact"/>
        <w:rPr>
          <w:sz w:val="20"/>
          <w:szCs w:val="20"/>
          <w:color w:val="auto"/>
        </w:rPr>
      </w:pPr>
    </w:p>
    <w:p>
      <w:pPr>
        <w:ind w:left="786" w:hanging="786"/>
        <w:spacing w:after="0"/>
        <w:tabs>
          <w:tab w:leader="none" w:pos="7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288</w:t>
      </w:r>
    </w:p>
    <w:p>
      <w:pPr>
        <w:spacing w:after="0" w:line="1" w:lineRule="exact"/>
        <w:rPr>
          <w:rFonts w:ascii="Arial" w:cs="Arial" w:eastAsia="Arial" w:hAnsi="Arial"/>
          <w:sz w:val="18"/>
          <w:szCs w:val="18"/>
          <w:color w:val="auto"/>
        </w:rPr>
      </w:pPr>
    </w:p>
    <w:p>
      <w:pPr>
        <w:ind w:left="786"/>
        <w:spacing w:after="0"/>
        <w:rPr>
          <w:rFonts w:ascii="Arial" w:cs="Arial" w:eastAsia="Arial" w:hAnsi="Arial"/>
          <w:sz w:val="18"/>
          <w:szCs w:val="18"/>
          <w:color w:val="auto"/>
        </w:rPr>
      </w:pPr>
      <w:r>
        <w:rPr>
          <w:rFonts w:ascii="Arial" w:cs="Arial" w:eastAsia="Arial" w:hAnsi="Arial"/>
          <w:sz w:val="18"/>
          <w:szCs w:val="18"/>
          <w:color w:val="auto"/>
        </w:rPr>
        <w:t>172</w:t>
      </w:r>
    </w:p>
    <w:p>
      <w:pPr>
        <w:spacing w:after="0" w:line="9" w:lineRule="exact"/>
        <w:rPr>
          <w:rFonts w:ascii="Arial" w:cs="Arial" w:eastAsia="Arial" w:hAnsi="Arial"/>
          <w:sz w:val="18"/>
          <w:szCs w:val="18"/>
          <w:color w:val="auto"/>
        </w:rPr>
      </w:pPr>
    </w:p>
    <w:p>
      <w:pPr>
        <w:ind w:left="806"/>
        <w:spacing w:after="0"/>
        <w:rPr>
          <w:rFonts w:ascii="Arial" w:cs="Arial" w:eastAsia="Arial" w:hAnsi="Arial"/>
          <w:sz w:val="18"/>
          <w:szCs w:val="18"/>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60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3" w:lineRule="exact"/>
        <w:rPr>
          <w:sz w:val="20"/>
          <w:szCs w:val="20"/>
          <w:color w:val="auto"/>
        </w:rPr>
      </w:pPr>
    </w:p>
    <w:p>
      <w:pPr>
        <w:ind w:left="786" w:hanging="786"/>
        <w:spacing w:after="0"/>
        <w:tabs>
          <w:tab w:leader="none" w:pos="7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604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660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34" w:space="720"/>
            <w:col w:w="1606"/>
          </w:cols>
          <w:pgMar w:left="240" w:top="459" w:right="699" w:bottom="1440" w:gutter="0" w:footer="0" w:header="0"/>
          <w:type w:val="continuous"/>
        </w:sectPr>
      </w:pPr>
    </w:p>
    <w:p>
      <w:pPr>
        <w:spacing w:after="0" w:line="10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six months ended June 30, 2010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Oilfield</w:t>
            </w:r>
          </w:p>
        </w:tc>
        <w:tc>
          <w:tcPr>
            <w:tcW w:w="24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Western</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Geco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Additions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4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Balance at June 30, 2010</w:t>
            </w:r>
          </w:p>
        </w:tc>
        <w:tc>
          <w:tcPr>
            <w:tcW w:w="4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vMerge w:val="continue"/>
          </w:tcPr>
          <w:p>
            <w:pPr>
              <w:spacing w:after="0"/>
              <w:rPr>
                <w:sz w:val="19"/>
                <w:szCs w:val="19"/>
                <w:color w:val="auto"/>
              </w:rPr>
            </w:pPr>
          </w:p>
        </w:tc>
        <w:tc>
          <w:tcPr>
            <w:tcW w:w="4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4,822</w:t>
            </w:r>
          </w:p>
        </w:tc>
        <w:tc>
          <w:tcPr>
            <w:tcW w:w="28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1,032</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060" w:type="dxa"/>
            <w:vAlign w:val="bottom"/>
            <w:vMerge w:val="restart"/>
          </w:tcPr>
          <w:p>
            <w:pPr>
              <w:jc w:val="right"/>
              <w:ind w:right="2452"/>
              <w:spacing w:after="0"/>
              <w:rPr>
                <w:sz w:val="20"/>
                <w:szCs w:val="20"/>
                <w:color w:val="auto"/>
              </w:rPr>
            </w:pPr>
            <w:r>
              <w:rPr>
                <w:rFonts w:ascii="Arial" w:cs="Arial" w:eastAsia="Arial" w:hAnsi="Arial"/>
                <w:sz w:val="18"/>
                <w:szCs w:val="18"/>
                <w:color w:val="auto"/>
              </w:rPr>
              <w:t>12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 30, 2010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Dec. 31, 2009</w:t>
            </w:r>
          </w:p>
        </w:tc>
        <w:tc>
          <w:tcPr>
            <w:tcW w:w="1060" w:type="dxa"/>
            <w:vAlign w:val="bottom"/>
            <w:gridSpan w:val="4"/>
          </w:tcPr>
          <w:p>
            <w:pPr>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36"/>
        </w:trPr>
        <w:tc>
          <w:tcPr>
            <w:tcW w:w="4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5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w w:val="83"/>
              </w:rPr>
              <w:t>Gross</w:t>
            </w:r>
          </w:p>
        </w:tc>
        <w:tc>
          <w:tcPr>
            <w:tcW w:w="500" w:type="dxa"/>
            <w:vAlign w:val="bottom"/>
          </w:tcPr>
          <w:p>
            <w:pPr>
              <w:spacing w:after="0"/>
              <w:rPr>
                <w:sz w:val="11"/>
                <w:szCs w:val="11"/>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auto"/>
                <w:w w:val="80"/>
              </w:rPr>
              <w:t>Value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Book Value</w:t>
            </w:r>
          </w:p>
        </w:tc>
        <w:tc>
          <w:tcPr>
            <w:tcW w:w="5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1"/>
              </w:rPr>
              <w:t>Amortization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1,360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8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2009</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8"/>
        </w:trPr>
        <w:tc>
          <w:tcPr>
            <w:tcW w:w="8020" w:type="dxa"/>
            <w:vAlign w:val="bottom"/>
          </w:tcPr>
          <w:p>
            <w:pPr>
              <w:spacing w:after="0"/>
              <w:rPr>
                <w:sz w:val="20"/>
                <w:szCs w:val="20"/>
                <w:color w:val="auto"/>
              </w:rPr>
            </w:pPr>
            <w:r>
              <w:rPr>
                <w:rFonts w:ascii="Arial" w:cs="Arial" w:eastAsia="Arial" w:hAnsi="Arial"/>
                <w:sz w:val="18"/>
                <w:szCs w:val="18"/>
                <w:color w:val="auto"/>
              </w:rPr>
              <w:t>Six Months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14 years.</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Based on the net book value of intangible assets at June 30, 2010, amortization charged to income for the subsequent five years is estimated to be: remainder of 2010 – $69 million; 2011 – $134 million; 2012 – $122 million; 2013 – $107 million; 2014 – $97 million and 2015 – $89 million.</w:t>
      </w:r>
    </w:p>
    <w:p>
      <w:pPr>
        <w:spacing w:after="0" w:line="16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a multinational company, Schlumberger conducts its business in approximately 80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 – reported expenses will increase (decrease).</w:t>
      </w:r>
    </w:p>
    <w:p>
      <w:pPr>
        <w:spacing w:after="0" w:line="14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Other Comprehensive Income (Loss) </w:t>
      </w:r>
      <w:r>
        <w:rPr>
          <w:rFonts w:ascii="Arial" w:cs="Arial" w:eastAsia="Arial" w:hAnsi="Arial"/>
          <w:sz w:val="18"/>
          <w:szCs w:val="18"/>
          <w:color w:val="auto"/>
        </w:rPr>
        <w:t>are reclassified into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same period or periods that the hedged item is recognized in earnings. The ineffective portion of changes in the fair value of the hedged item is recorded directly to earnings.</w:t>
      </w:r>
    </w:p>
    <w:p>
      <w:pPr>
        <w:spacing w:after="0" w:line="14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 xml:space="preserve">At June 30, 2010, Schlumberger recognized a cumulative net $41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At June 30, 2010, contracts were outstanding for the US dollar equivalent of $3.8 billion in various foreign currencies.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Schlumberger is exposed to the impact of market fluctuations in the price of commodities, such as copper and lead. Schlumberger has entered into forward contracts on these commodities to manage the price risk associated with forecasted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third quarter of 2009, Schlumberger entered into interest rate swaps relating to two of its debt instruments. The first swap was for a notional amount of $600 million in order to hedge a portion of the changes in fair value of Schlumberger’s $650 million 6.50% Notes due 2012. Under the terms of this swap agreement, Schlumberger will receive interest at a fixed rate of 6.5% semi-annually and will pay interest semi-annually at a floating rate of one-month LIBOR plus a spread of 4.84%. The second swap was for a notional amount of $450 million in order to hedge changes in the fair value of Schlumberger’s $450 million 3.00% Notes due 2013. Under the terms of this swap, Schlumberger will receive interest at a fixed rate of 3.0% annually and will pay interest quarterly at a floating rate of three-month LIBOR plus a spread of 0.765%.</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These interest rate swaps are designated as fair value hedges of the underlying debt. These derivative instruments are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At June 30, 2010, Schlumberger had fixed rate debt aggregating approximately $2.4 billion and variable rate debt aggregating approximately $2.1 billion, after taking into account the effects of the interest rate swaps.</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approximately $3.5 billion at June 30, 2010, and are comprised primarily of</w:t>
      </w:r>
      <w:r>
        <w:rPr>
          <w:rFonts w:ascii="Arial" w:cs="Arial" w:eastAsia="Arial" w:hAnsi="Arial"/>
          <w:sz w:val="16"/>
          <w:szCs w:val="16"/>
          <w:i w:val="1"/>
          <w:iCs w:val="1"/>
          <w:color w:val="auto"/>
        </w:rPr>
        <w:t xml:space="preserve"> </w:t>
      </w:r>
      <w:r>
        <w:rPr>
          <w:rFonts w:ascii="Arial" w:cs="Arial" w:eastAsia="Arial" w:hAnsi="Arial"/>
          <w:sz w:val="16"/>
          <w:szCs w:val="16"/>
          <w:color w:val="auto"/>
        </w:rPr>
        <w:t>money market funds, eurodollar time deposits, certificates of deposit, commercial paper, euro notes and Eurobonds, and are substantially all denominated in US dollars. The carrying value of these investments approximates fair value, which was estimated using quoted market prices for those or similar investments.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gridSpan w:val="2"/>
          </w:tcPr>
          <w:p>
            <w:pPr>
              <w:spacing w:after="0"/>
              <w:rPr>
                <w:sz w:val="20"/>
                <w:szCs w:val="20"/>
                <w:color w:val="auto"/>
              </w:rPr>
            </w:pPr>
            <w:r>
              <w:rPr>
                <w:rFonts w:ascii="Arial" w:cs="Arial" w:eastAsia="Arial" w:hAnsi="Arial"/>
                <w:sz w:val="14"/>
                <w:szCs w:val="14"/>
                <w:i w:val="1"/>
                <w:iCs w:val="1"/>
                <w:color w:val="auto"/>
              </w:rPr>
              <w:t>(Stated in millions)</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5140" w:type="dxa"/>
            <w:vAlign w:val="bottom"/>
          </w:tcPr>
          <w:p>
            <w:pPr>
              <w:spacing w:after="0"/>
              <w:rPr>
                <w:sz w:val="14"/>
                <w:szCs w:val="14"/>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Fair Value of Derivatives</w:t>
            </w:r>
          </w:p>
        </w:tc>
        <w:tc>
          <w:tcPr>
            <w:tcW w:w="500" w:type="dxa"/>
            <w:vAlign w:val="bottom"/>
          </w:tcPr>
          <w:p>
            <w:pPr>
              <w:spacing w:after="0"/>
              <w:rPr>
                <w:sz w:val="14"/>
                <w:szCs w:val="1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Classification</w:t>
            </w:r>
          </w:p>
        </w:tc>
      </w:tr>
      <w:tr>
        <w:trPr>
          <w:trHeight w:val="129"/>
        </w:trPr>
        <w:tc>
          <w:tcPr>
            <w:tcW w:w="5140" w:type="dxa"/>
            <w:vAlign w:val="bottom"/>
          </w:tcPr>
          <w:p>
            <w:pPr>
              <w:spacing w:after="0"/>
              <w:rPr>
                <w:sz w:val="11"/>
                <w:szCs w:val="11"/>
                <w:color w:val="auto"/>
              </w:rPr>
            </w:pPr>
          </w:p>
        </w:tc>
        <w:tc>
          <w:tcPr>
            <w:tcW w:w="940" w:type="dxa"/>
            <w:vAlign w:val="bottom"/>
          </w:tcPr>
          <w:p>
            <w:pPr>
              <w:jc w:val="center"/>
              <w:ind w:right="212"/>
              <w:spacing w:after="0" w:line="129" w:lineRule="exact"/>
              <w:rPr>
                <w:sz w:val="20"/>
                <w:szCs w:val="20"/>
                <w:color w:val="auto"/>
              </w:rPr>
            </w:pPr>
            <w:r>
              <w:rPr>
                <w:rFonts w:ascii="Arial" w:cs="Arial" w:eastAsia="Arial" w:hAnsi="Arial"/>
                <w:sz w:val="14"/>
                <w:szCs w:val="14"/>
                <w:b w:val="1"/>
                <w:bCs w:val="1"/>
                <w:color w:val="auto"/>
                <w:w w:val="86"/>
              </w:rPr>
              <w:t>Jun. 30</w:t>
            </w:r>
          </w:p>
        </w:tc>
        <w:tc>
          <w:tcPr>
            <w:tcW w:w="960" w:type="dxa"/>
            <w:vAlign w:val="bottom"/>
          </w:tcPr>
          <w:p>
            <w:pPr>
              <w:jc w:val="center"/>
              <w:ind w:left="192"/>
              <w:spacing w:after="0" w:line="129" w:lineRule="exact"/>
              <w:rPr>
                <w:sz w:val="20"/>
                <w:szCs w:val="20"/>
                <w:color w:val="auto"/>
              </w:rPr>
            </w:pPr>
            <w:r>
              <w:rPr>
                <w:rFonts w:ascii="Arial" w:cs="Arial" w:eastAsia="Arial" w:hAnsi="Arial"/>
                <w:sz w:val="14"/>
                <w:szCs w:val="14"/>
                <w:b w:val="1"/>
                <w:bCs w:val="1"/>
                <w:color w:val="auto"/>
                <w:w w:val="85"/>
              </w:rPr>
              <w:t>Dec. 31</w:t>
            </w: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74"/>
        </w:trPr>
        <w:tc>
          <w:tcPr>
            <w:tcW w:w="608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-7620</wp:posOffset>
            </wp:positionV>
            <wp:extent cx="4286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-7620</wp:posOffset>
            </wp:positionV>
            <wp:extent cx="437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8"/>
          <w:szCs w:val="18"/>
          <w:b w:val="1"/>
          <w:bCs w:val="1"/>
          <w:color w:val="auto"/>
        </w:rPr>
        <w:t>Derivative assets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rate swaps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designated as hedges: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color w:val="auto"/>
        </w:rPr>
        <w:t>Derivative not designated as hedges: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Commodity contracts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exchange contracts</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7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rPr>
              <w:t>Other current assets</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29"/>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24"/>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25"/>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rPr>
              <w:t>Other current assets</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rPr>
              <w:t>Other current assets</w:t>
            </w:r>
          </w:p>
        </w:tc>
      </w:tr>
      <w:tr>
        <w:trPr>
          <w:trHeight w:val="229"/>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24"/>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23"/>
        </w:trPr>
        <w:tc>
          <w:tcPr>
            <w:tcW w:w="2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628"/>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7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w w:val="89"/>
              </w:rPr>
              <w:t>Accounts payable and accrued liabilities</w:t>
            </w:r>
          </w:p>
        </w:tc>
      </w:tr>
      <w:tr>
        <w:trPr>
          <w:trHeight w:val="229"/>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rPr>
              <w:t>Other Liabilities</w:t>
            </w:r>
          </w:p>
        </w:tc>
      </w:tr>
      <w:tr>
        <w:trPr>
          <w:trHeight w:val="224"/>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520" w:type="dxa"/>
            <w:vAlign w:val="bottom"/>
          </w:tcPr>
          <w:p>
            <w:pPr>
              <w:spacing w:after="0"/>
              <w:rPr>
                <w:sz w:val="19"/>
                <w:szCs w:val="19"/>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438"/>
        </w:trPr>
        <w:tc>
          <w:tcPr>
            <w:tcW w:w="240" w:type="dxa"/>
            <w:vAlign w:val="bottom"/>
            <w:gridSpan w:val="2"/>
          </w:tcPr>
          <w:p>
            <w:pPr>
              <w:jc w:val="right"/>
              <w:ind w:right="11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7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3140" w:type="dxa"/>
            <w:vAlign w:val="bottom"/>
          </w:tcPr>
          <w:p>
            <w:pPr>
              <w:ind w:left="260"/>
              <w:spacing w:after="0"/>
              <w:rPr>
                <w:sz w:val="20"/>
                <w:szCs w:val="20"/>
                <w:color w:val="auto"/>
              </w:rPr>
            </w:pPr>
            <w:r>
              <w:rPr>
                <w:rFonts w:ascii="Arial" w:cs="Arial" w:eastAsia="Arial" w:hAnsi="Arial"/>
                <w:sz w:val="18"/>
                <w:szCs w:val="18"/>
                <w:i w:val="1"/>
                <w:iCs w:val="1"/>
                <w:color w:val="auto"/>
                <w:w w:val="89"/>
              </w:rPr>
              <w:t>Accounts payable and accrued liabilities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-2742565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-2467610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-2193290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-1884680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-1610360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-1318895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-993140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-718185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-426720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-135255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20" w:hanging="1032"/>
        <w:spacing w:after="0"/>
        <w:tabs>
          <w:tab w:leader="none" w:pos="162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i w:val="1"/>
          <w:iCs w:val="1"/>
          <w:color w:val="auto"/>
        </w:rPr>
        <w:t>Accounts payable and accrued liabilities</w:t>
      </w:r>
    </w:p>
    <w:p>
      <w:pPr>
        <w:spacing w:after="0" w:line="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color w:val="auto"/>
        </w:rPr>
        <w:t>25</w:t>
      </w:r>
      <w:r>
        <w:rPr>
          <w:rFonts w:ascii="Arial" w:cs="Arial" w:eastAsia="Arial" w:hAnsi="Arial"/>
          <w:sz w:val="16"/>
          <w:szCs w:val="16"/>
          <w:i w:val="1"/>
          <w:i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-129540</wp:posOffset>
            </wp:positionV>
            <wp:extent cx="72466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 w:lineRule="exact"/>
        <w:rPr>
          <w:sz w:val="20"/>
          <w:szCs w:val="20"/>
          <w:color w:val="auto"/>
        </w:rPr>
      </w:pPr>
    </w:p>
    <w:p>
      <w:pPr>
        <w:spacing w:after="0"/>
        <w:tabs>
          <w:tab w:leader="none" w:pos="560" w:val="left"/>
          <w:tab w:leader="none" w:pos="1180" w:val="left"/>
          <w:tab w:leader="none" w:pos="17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28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286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14605</wp:posOffset>
            </wp:positionV>
            <wp:extent cx="4375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763270</wp:posOffset>
            </wp:positionH>
            <wp:positionV relativeFrom="paragraph">
              <wp:posOffset>31750</wp:posOffset>
            </wp:positionV>
            <wp:extent cx="4375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43" w:lineRule="exact"/>
        <w:rPr>
          <w:sz w:val="20"/>
          <w:szCs w:val="20"/>
          <w:color w:val="auto"/>
        </w:rPr>
      </w:pPr>
    </w:p>
    <w:p>
      <w:pPr>
        <w:spacing w:after="0"/>
        <w:tabs>
          <w:tab w:leader="none" w:pos="400" w:val="left"/>
          <w:tab w:leader="none" w:pos="1180" w:val="left"/>
          <w:tab w:leader="none" w:pos="170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236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-121920</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280"/>
          </w:cols>
          <w:pgMar w:left="240" w:top="459" w:right="239" w:bottom="1440" w:gutter="0" w:footer="0" w:header="0"/>
          <w:type w:val="continuous"/>
        </w:sectPr>
      </w:pPr>
    </w:p>
    <w:p>
      <w:pPr>
        <w:spacing w:after="0" w:line="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effect on the </w:t>
      </w:r>
      <w:r>
        <w:rPr>
          <w:rFonts w:ascii="Arial" w:cs="Arial" w:eastAsia="Arial" w:hAnsi="Arial"/>
          <w:sz w:val="15"/>
          <w:szCs w:val="15"/>
          <w:i w:val="1"/>
          <w:iCs w:val="1"/>
          <w:color w:val="auto"/>
        </w:rPr>
        <w:t>Consolidated Statement of Income</w:t>
      </w:r>
      <w:r>
        <w:rPr>
          <w:rFonts w:ascii="Arial" w:cs="Arial" w:eastAsia="Arial" w:hAnsi="Arial"/>
          <w:sz w:val="15"/>
          <w:szCs w:val="15"/>
          <w:color w:val="auto"/>
        </w:rPr>
        <w:t xml:space="preserve"> of derivative instruments designated as fair value hedges and those not designated as hedges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60" w:type="dxa"/>
            <w:vAlign w:val="bottom"/>
          </w:tcPr>
          <w:p>
            <w:pPr>
              <w:spacing w:after="0"/>
              <w:rPr>
                <w:sz w:val="20"/>
                <w:szCs w:val="20"/>
                <w:color w:val="auto"/>
              </w:rPr>
            </w:pPr>
            <w:r>
              <w:rPr>
                <w:rFonts w:ascii="Arial" w:cs="Arial" w:eastAsia="Arial" w:hAnsi="Arial"/>
                <w:sz w:val="14"/>
                <w:szCs w:val="14"/>
                <w:i w:val="1"/>
                <w:iCs w:val="1"/>
                <w:color w:val="auto"/>
              </w:rPr>
              <w:t>(Stated in millions)</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8"/>
            <w:vMerge w:val="restart"/>
          </w:tcPr>
          <w:p>
            <w:pPr>
              <w:jc w:val="right"/>
              <w:ind w:right="318"/>
              <w:spacing w:after="0"/>
              <w:rPr>
                <w:sz w:val="20"/>
                <w:szCs w:val="20"/>
                <w:color w:val="auto"/>
              </w:rPr>
            </w:pPr>
            <w:r>
              <w:rPr>
                <w:rFonts w:ascii="Arial" w:cs="Arial" w:eastAsia="Arial" w:hAnsi="Arial"/>
                <w:sz w:val="14"/>
                <w:szCs w:val="14"/>
                <w:b w:val="1"/>
                <w:bCs w:val="1"/>
                <w:color w:val="auto"/>
                <w:w w:val="93"/>
              </w:rPr>
              <w:t>Gain/(Loss) Recognized in Income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8"/>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3"/>
              <w:spacing w:after="0" w:line="142" w:lineRule="exact"/>
              <w:rPr>
                <w:sz w:val="20"/>
                <w:szCs w:val="20"/>
                <w:color w:val="auto"/>
              </w:rPr>
            </w:pPr>
            <w:r>
              <w:rPr>
                <w:rFonts w:ascii="Arial" w:cs="Arial" w:eastAsia="Arial" w:hAnsi="Arial"/>
                <w:sz w:val="14"/>
                <w:szCs w:val="14"/>
                <w:b w:val="1"/>
                <w:bCs w:val="1"/>
                <w:color w:val="auto"/>
              </w:rPr>
              <w:t>Six Months</w:t>
            </w: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2010</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fair value hedges:</w:t>
            </w:r>
          </w:p>
        </w:tc>
        <w:tc>
          <w:tcPr>
            <w:tcW w:w="1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38"/>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spacing w:after="0"/>
              <w:rPr>
                <w:sz w:val="20"/>
                <w:szCs w:val="20"/>
                <w:color w:val="auto"/>
              </w:rPr>
            </w:pPr>
            <w:r>
              <w:rPr>
                <w:rFonts w:ascii="Arial" w:cs="Arial" w:eastAsia="Arial" w:hAnsi="Arial"/>
                <w:sz w:val="18"/>
                <w:szCs w:val="18"/>
                <w:i w:val="1"/>
                <w:iCs w:val="1"/>
                <w:color w:val="auto"/>
                <w:w w:val="88"/>
              </w:rPr>
              <w:t>Cost of revenue</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84"/>
              </w:rPr>
              <w:t>Interest expense</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jc w:val="right"/>
              <w:ind w:right="47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(38)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478"/>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1140" w:type="dxa"/>
            <w:vAlign w:val="bottom"/>
            <w:gridSpan w:val="2"/>
          </w:tcPr>
          <w:p>
            <w:pPr>
              <w:spacing w:after="0"/>
              <w:rPr>
                <w:sz w:val="20"/>
                <w:szCs w:val="20"/>
                <w:color w:val="auto"/>
              </w:rPr>
            </w:pPr>
            <w:r>
              <w:rPr>
                <w:rFonts w:ascii="Arial" w:cs="Arial" w:eastAsia="Arial" w:hAnsi="Arial"/>
                <w:sz w:val="18"/>
                <w:szCs w:val="18"/>
                <w:i w:val="1"/>
                <w:iCs w:val="1"/>
                <w:color w:val="auto"/>
                <w:w w:val="88"/>
              </w:rPr>
              <w:t>Cost of revenue</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88"/>
              </w:rPr>
              <w:t>Cost of revenue</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478"/>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(22)</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gridSpan w:val="4"/>
          </w:tcPr>
          <w:p>
            <w:pPr>
              <w:spacing w:after="0"/>
              <w:rPr>
                <w:sz w:val="20"/>
                <w:szCs w:val="20"/>
                <w:color w:val="auto"/>
              </w:rPr>
            </w:pPr>
            <w:r>
              <w:rPr>
                <w:rFonts w:ascii="Arial" w:cs="Arial" w:eastAsia="Arial" w:hAnsi="Arial"/>
                <w:sz w:val="14"/>
                <w:szCs w:val="14"/>
                <w:i w:val="1"/>
                <w:iCs w:val="1"/>
                <w:color w:val="auto"/>
              </w:rPr>
              <w:t>(Stated in millions)</w:t>
            </w: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4"/>
              </w:rPr>
              <w:t>Gain (Loss) Reclassified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from Accumulated OCI</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4"/>
                <w:szCs w:val="14"/>
                <w:b w:val="1"/>
                <w:bCs w:val="1"/>
                <w:color w:val="auto"/>
                <w:w w:val="89"/>
              </w:rPr>
              <w:t>into Income</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Second Quarter</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Six Months</w:t>
            </w:r>
          </w:p>
        </w:tc>
        <w:tc>
          <w:tcPr>
            <w:tcW w:w="2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Classification</w:t>
            </w:r>
          </w:p>
        </w:tc>
        <w:tc>
          <w:tcPr>
            <w:tcW w:w="340" w:type="dxa"/>
            <w:vAlign w:val="bottom"/>
            <w:gridSpan w:val="2"/>
            <w:vMerge w:val="restart"/>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2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1"/>
                <w:szCs w:val="11"/>
                <w:color w:val="auto"/>
              </w:rPr>
            </w:pPr>
          </w:p>
        </w:tc>
        <w:tc>
          <w:tcPr>
            <w:tcW w:w="820" w:type="dxa"/>
            <w:vAlign w:val="bottom"/>
            <w:tcBorders>
              <w:bottom w:val="single" w:sz="8" w:color="auto"/>
            </w:tcBorders>
            <w:gridSpan w:val="2"/>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79"/>
              </w:rPr>
              <w:t>91</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8"/>
              </w:rPr>
              <w:t>$(335)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116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w w:val="89"/>
              </w:rPr>
              <w:t>Cost of revenue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Foreign exchange contracts</w:t>
            </w:r>
          </w:p>
        </w:tc>
        <w:tc>
          <w:tcPr>
            <w:tcW w:w="17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w w:val="99"/>
              </w:rPr>
              <w:t>(7)</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(14)</w:t>
            </w:r>
          </w:p>
        </w:tc>
        <w:tc>
          <w:tcPr>
            <w:tcW w:w="1720" w:type="dxa"/>
            <w:vAlign w:val="bottom"/>
            <w:gridSpan w:val="7"/>
          </w:tcPr>
          <w:p>
            <w:pPr>
              <w:spacing w:after="0"/>
              <w:rPr>
                <w:sz w:val="20"/>
                <w:szCs w:val="20"/>
                <w:color w:val="auto"/>
              </w:rPr>
            </w:pPr>
            <w:r>
              <w:rPr>
                <w:rFonts w:ascii="Arial" w:cs="Arial" w:eastAsia="Arial" w:hAnsi="Arial"/>
                <w:sz w:val="18"/>
                <w:szCs w:val="18"/>
                <w:i w:val="1"/>
                <w:iCs w:val="1"/>
                <w:color w:val="auto"/>
                <w:w w:val="88"/>
              </w:rPr>
              <w:t>Research &amp; engineering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(205)</w:t>
            </w: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79"/>
              </w:rPr>
              <w:t>84</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(Stated in millions)</w:t>
            </w:r>
          </w:p>
        </w:tc>
        <w:tc>
          <w:tcPr>
            <w:tcW w:w="1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6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85"/>
              </w:rPr>
              <w:t>Gain (Loss) Recognized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OCI</w:t>
            </w: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Second Quarter</w:t>
            </w: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Six Months</w:t>
            </w:r>
          </w:p>
        </w:tc>
        <w:tc>
          <w:tcPr>
            <w:tcW w:w="2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(264)</w:t>
            </w:r>
          </w:p>
        </w:tc>
        <w:tc>
          <w:tcPr>
            <w:tcW w:w="1060" w:type="dxa"/>
            <w:vAlign w:val="bottom"/>
            <w:gridSpan w:val="4"/>
            <w:shd w:val="clear" w:color="auto" w:fill="CCEEFF"/>
          </w:tcPr>
          <w:p>
            <w:pPr>
              <w:jc w:val="right"/>
              <w:ind w:right="372"/>
              <w:spacing w:after="0"/>
              <w:rPr>
                <w:sz w:val="20"/>
                <w:szCs w:val="20"/>
                <w:color w:val="auto"/>
              </w:rPr>
            </w:pPr>
            <w:r>
              <w:rPr>
                <w:rFonts w:ascii="Arial" w:cs="Arial" w:eastAsia="Arial" w:hAnsi="Arial"/>
                <w:sz w:val="18"/>
                <w:szCs w:val="18"/>
                <w:color w:val="auto"/>
              </w:rPr>
              <w:t>$ 227</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(422)</w:t>
            </w:r>
          </w:p>
        </w:tc>
        <w:tc>
          <w:tcPr>
            <w:tcW w:w="8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4"/>
              </w:rPr>
              <w:t>$ 168</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12. Long-term Debt</w:t>
            </w:r>
          </w:p>
        </w:tc>
        <w:tc>
          <w:tcPr>
            <w:tcW w:w="1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gridSpan w:val="4"/>
            <w:vMerge w:val="continue"/>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560" w:type="dxa"/>
            <w:vAlign w:val="bottom"/>
            <w:gridSpan w:val="4"/>
          </w:tcPr>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7"/>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Jun. 30,</w:t>
            </w:r>
          </w:p>
        </w:tc>
        <w:tc>
          <w:tcPr>
            <w:tcW w:w="60" w:type="dxa"/>
            <w:vAlign w:val="bottom"/>
          </w:tcPr>
          <w:p>
            <w:pPr>
              <w:spacing w:after="0"/>
              <w:rPr>
                <w:sz w:val="12"/>
                <w:szCs w:val="12"/>
                <w:color w:val="auto"/>
              </w:rPr>
            </w:pPr>
          </w:p>
        </w:tc>
        <w:tc>
          <w:tcPr>
            <w:tcW w:w="5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6"/>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5.25% Guaranteed Notes due 2013</w:t>
            </w:r>
          </w:p>
        </w:tc>
        <w:tc>
          <w:tcPr>
            <w:tcW w:w="1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614</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6.50% Notes due 2012</w:t>
            </w: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649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5.875% Guaranteed Bonds due 2011</w:t>
            </w:r>
          </w:p>
        </w:tc>
        <w:tc>
          <w:tcPr>
            <w:tcW w:w="1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4.50% Guaranteed Bonds due 2014</w:t>
            </w: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1,227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3.00% Guaranteed Notes due 2013</w:t>
            </w:r>
          </w:p>
        </w:tc>
        <w:tc>
          <w:tcPr>
            <w:tcW w:w="1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Commercial paper borrowings</w:t>
            </w:r>
          </w:p>
        </w:tc>
        <w:tc>
          <w:tcPr>
            <w:tcW w:w="1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234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variable rate debt</w:t>
            </w:r>
          </w:p>
        </w:tc>
        <w:tc>
          <w:tcPr>
            <w:tcW w:w="1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3,707</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4,354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adjustment—hedging</w:t>
            </w:r>
          </w:p>
        </w:tc>
        <w:tc>
          <w:tcPr>
            <w:tcW w:w="1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3,729</w:t>
            </w:r>
          </w:p>
        </w:tc>
        <w:tc>
          <w:tcPr>
            <w:tcW w:w="2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June 30, 2010 and December 31, 2009 was $4.0 billion and $4.6 billion, respectively and was estimated based on quoted market prices.</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December 31, 2009 there were $321 million outstanding of 2.125% Series B Convertible Debentures due June 1, 2023. The fair value of these Series B debentures at December 31, 2009 was $527 million. During the six months ended June 30, 2010, $320 million of these debentures were converted by holders into 7,997,300 shares of Schlumberger common stock and the remaining $1 million of outstanding Series B debentures were redeemed for cash.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was subject to US and non-US income taxes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380"/>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1"/>
              </w:rPr>
              <w:t>Second Quarter</w:t>
            </w:r>
          </w:p>
        </w:tc>
        <w:tc>
          <w:tcPr>
            <w:tcW w:w="10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2010</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Outside United States</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911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1,738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1,920</w:t>
            </w:r>
          </w:p>
        </w:tc>
        <w:tc>
          <w:tcPr>
            <w:tcW w:w="20" w:type="dxa"/>
            <w:vAlign w:val="bottom"/>
          </w:tcPr>
          <w:p>
            <w:pPr>
              <w:spacing w:after="0"/>
              <w:rPr>
                <w:sz w:val="19"/>
                <w:szCs w:val="19"/>
                <w:color w:val="auto"/>
              </w:rPr>
            </w:pPr>
          </w:p>
        </w:tc>
      </w:tr>
      <w:tr>
        <w:trPr>
          <w:trHeight w:val="216"/>
        </w:trPr>
        <w:tc>
          <w:tcPr>
            <w:tcW w:w="7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6"/>
              </w:rPr>
              <w:t>994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1,882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1,960</w:t>
            </w:r>
          </w:p>
        </w:tc>
        <w:tc>
          <w:tcPr>
            <w:tcW w:w="2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2010, Schlumberger recorded pretax charges of $35 million outside of the US. During the second quarter of 2009, Schlumberger recorded pretax charges of $73 million in the US and $165 million outside of the US. These charges are included in the table above and are more fully described in Note 3—Charges.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2"/>
              </w:rPr>
              <w:t>(Stated in millions)</w:t>
            </w:r>
          </w:p>
        </w:tc>
      </w:tr>
      <w:tr>
        <w:trPr>
          <w:trHeight w:val="149"/>
        </w:trPr>
        <w:tc>
          <w:tcPr>
            <w:tcW w:w="7960" w:type="dxa"/>
            <w:vAlign w:val="bottom"/>
          </w:tcPr>
          <w:p>
            <w:pPr>
              <w:spacing w:after="0"/>
              <w:rPr>
                <w:sz w:val="12"/>
                <w:szCs w:val="12"/>
                <w:color w:val="auto"/>
              </w:rPr>
            </w:pPr>
          </w:p>
        </w:tc>
        <w:tc>
          <w:tcPr>
            <w:tcW w:w="1080" w:type="dxa"/>
            <w:vAlign w:val="bottom"/>
            <w:gridSpan w:val="2"/>
          </w:tcPr>
          <w:p>
            <w:pPr>
              <w:jc w:val="right"/>
              <w:ind w:right="592"/>
              <w:spacing w:after="0" w:line="149" w:lineRule="exact"/>
              <w:rPr>
                <w:sz w:val="20"/>
                <w:szCs w:val="20"/>
                <w:color w:val="auto"/>
              </w:rPr>
            </w:pPr>
            <w:r>
              <w:rPr>
                <w:rFonts w:ascii="Arial" w:cs="Arial" w:eastAsia="Arial" w:hAnsi="Arial"/>
                <w:sz w:val="14"/>
                <w:szCs w:val="14"/>
                <w:b w:val="1"/>
                <w:bCs w:val="1"/>
                <w:color w:val="auto"/>
                <w:w w:val="82"/>
              </w:rPr>
              <w:t>Jun. 30</w:t>
            </w:r>
          </w:p>
        </w:tc>
        <w:tc>
          <w:tcPr>
            <w:tcW w:w="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 31</w:t>
            </w:r>
          </w:p>
        </w:tc>
      </w:tr>
      <w:tr>
        <w:trPr>
          <w:trHeight w:val="161"/>
        </w:trPr>
        <w:tc>
          <w:tcPr>
            <w:tcW w:w="79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10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w w:val="93"/>
              </w:rPr>
              <w:t>$ 392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108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8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(246)</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(122)</w:t>
            </w: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16"/>
        </w:trPr>
        <w:tc>
          <w:tcPr>
            <w:tcW w:w="79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w w:val="93"/>
              </w:rPr>
              <w:t>$ 347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0"/>
        </w:trPr>
        <w:tc>
          <w:tcPr>
            <w:tcW w:w="7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above deferred tax assets at June 30, 2010 and December 31, 2009 are net of valuation allowances relating to net operating losses in certain countries of $220 million and $251 million, respectively. The deferred tax assets are also net of valuation allowances relating to a capital loss carryforward of $16 million at</w:t>
      </w:r>
    </w:p>
    <w:p>
      <w:pPr>
        <w:ind w:right="240"/>
        <w:spacing w:after="0" w:line="261" w:lineRule="auto"/>
        <w:rPr>
          <w:sz w:val="20"/>
          <w:szCs w:val="20"/>
          <w:color w:val="auto"/>
        </w:rPr>
      </w:pPr>
      <w:r>
        <w:rPr>
          <w:rFonts w:ascii="Arial" w:cs="Arial" w:eastAsia="Arial" w:hAnsi="Arial"/>
          <w:sz w:val="18"/>
          <w:szCs w:val="18"/>
          <w:color w:val="auto"/>
        </w:rPr>
        <w:t>June 30, 2010 ($17 million at December 31, 2009), which expires in 2010 and a foreign tax credit carryforward of $21 million at June 30, 2010 ($30 million at December 31, 2009) which expires in 2012.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5"/>
              </w:rPr>
              <w:t>Second Quarter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 - Federal</w:t>
            </w:r>
          </w:p>
        </w:tc>
        <w:tc>
          <w:tcPr>
            <w:tcW w:w="3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(20)</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State</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3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150</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169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86"/>
              </w:rPr>
              <w:t>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148</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360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323</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Deferred:</w:t>
            </w:r>
          </w:p>
        </w:tc>
        <w:tc>
          <w:tcPr>
            <w:tcW w:w="3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Federal</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 - State</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Consolidated taxes on income</w:t>
            </w:r>
          </w:p>
        </w:tc>
        <w:tc>
          <w:tcPr>
            <w:tcW w:w="3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177</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152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391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0" w:type="dxa"/>
            <w:vAlign w:val="bottom"/>
            <w:vMerge w:val="restart"/>
          </w:tcPr>
          <w:p>
            <w:pPr>
              <w:jc w:val="right"/>
              <w:ind w:right="1812"/>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8"/>
              </w:rPr>
              <w:t>Six Months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7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6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35%</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35%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Non-US income taxed at different rates</w:t>
            </w:r>
          </w:p>
        </w:tc>
        <w:tc>
          <w:tcPr>
            <w:tcW w:w="10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(14)</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w w:val="99"/>
              </w:rPr>
              <w:t>(14)</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of equity method investment</w:t>
            </w: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Charges (See Note 3)</w:t>
            </w:r>
          </w:p>
        </w:tc>
        <w:tc>
          <w:tcPr>
            <w:tcW w:w="10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7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w:t>
            </w:r>
          </w:p>
        </w:tc>
        <w:tc>
          <w:tcPr>
            <w:tcW w:w="1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18%</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21%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currently continuing its own investigation with respect to these services.</w:t>
      </w:r>
    </w:p>
    <w:p>
      <w:pPr>
        <w:spacing w:after="0" w:line="143" w:lineRule="exact"/>
        <w:rPr>
          <w:sz w:val="20"/>
          <w:szCs w:val="20"/>
          <w:color w:val="auto"/>
        </w:rPr>
      </w:pPr>
    </w:p>
    <w:p>
      <w:pPr>
        <w:ind w:right="820"/>
        <w:spacing w:after="0" w:line="259" w:lineRule="auto"/>
        <w:rPr>
          <w:sz w:val="20"/>
          <w:szCs w:val="20"/>
          <w:color w:val="auto"/>
        </w:rPr>
      </w:pPr>
      <w:r>
        <w:rPr>
          <w:rFonts w:ascii="Arial" w:cs="Arial" w:eastAsia="Arial" w:hAnsi="Arial"/>
          <w:sz w:val="18"/>
          <w:szCs w:val="18"/>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Schlumberger is cooperating with the governmental authorities and is currently unable to predict the outcome of these matters.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188"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Second Quarter 2010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Second Quarter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before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before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4"/>
                <w:szCs w:val="14"/>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8"/>
              </w:rPr>
              <w:t>taxes</w:t>
            </w:r>
          </w:p>
        </w:tc>
        <w:tc>
          <w:tcPr>
            <w:tcW w:w="2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Revenue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9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North America</w:t>
            </w:r>
          </w:p>
        </w:tc>
        <w:tc>
          <w:tcPr>
            <w:tcW w:w="3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1,115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819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Latin America</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1,144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Europe/CIS/Africa</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1,740</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Middle East &amp; Asia</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1,371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420"/>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5,436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476</w:t>
            </w: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2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5,937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5,528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940" w:type="dxa"/>
            <w:vAlign w:val="bottom"/>
            <w:vMerge w:val="restart"/>
          </w:tcPr>
          <w:p>
            <w:pPr>
              <w:jc w:val="right"/>
              <w:ind w:right="1012"/>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($4 million in 2010; $4 million in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($5 million in 2010; $11 million in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4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2010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2009</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Income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before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before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Revenue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taxes</w:t>
            </w:r>
          </w:p>
        </w:tc>
        <w:tc>
          <w:tcPr>
            <w:tcW w:w="24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taxes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2,148</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ind w:left="440"/>
              <w:spacing w:after="0"/>
              <w:rPr>
                <w:sz w:val="20"/>
                <w:szCs w:val="20"/>
                <w:color w:val="auto"/>
              </w:rPr>
            </w:pPr>
            <w:r>
              <w:rPr>
                <w:rFonts w:ascii="Arial" w:cs="Arial" w:eastAsia="Arial" w:hAnsi="Arial"/>
                <w:sz w:val="18"/>
                <w:szCs w:val="18"/>
                <w:color w:val="auto"/>
              </w:rPr>
              <w:t>Europe/CIS/Africa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3,365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3,585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10,533</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2,042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948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1,110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96"/>
        </w:trPr>
        <w:tc>
          <w:tcPr>
            <w:tcW w:w="46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Charges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11,534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1,882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11,528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1,960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($7 million in 2010; $9 million in 2009).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($6 million in 2010; $24 million in 2009).</w:t>
      </w:r>
    </w:p>
    <w:p>
      <w:pPr>
        <w:spacing w:after="0" w:line="240"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89"/>
              </w:rPr>
              <w:t>Second Quarter</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51</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103</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(47)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(57)</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9"/>
              </w:rPr>
              <w:t>(95)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5"/>
              </w:rPr>
              <w:t>(115)</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(80)</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20" w:type="dxa"/>
            <w:vAlign w:val="bottom"/>
            <w:vMerge w:val="continue"/>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320" w:type="dxa"/>
            <w:vAlign w:val="bottom"/>
            <w:vMerge w:val="continue"/>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$ 49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149</w:t>
            </w:r>
          </w:p>
        </w:tc>
        <w:tc>
          <w:tcPr>
            <w:tcW w:w="1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$ 72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199</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20" w:right="1940" w:hanging="5617"/>
        <w:spacing w:after="0" w:line="440" w:lineRule="auto"/>
        <w:rPr>
          <w:sz w:val="20"/>
          <w:szCs w:val="20"/>
          <w:color w:val="auto"/>
        </w:rPr>
      </w:pPr>
      <w:r>
        <w:rPr>
          <w:rFonts w:ascii="Arial" w:cs="Arial" w:eastAsia="Arial" w:hAnsi="Arial"/>
          <w:sz w:val="18"/>
          <w:szCs w:val="18"/>
          <w:color w:val="auto"/>
        </w:rPr>
        <w:t>During the first six months of 2010, Schlumberger made contributions to its international defined benefit pension plans of $97 million. 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88"/>
              </w:rPr>
              <w:t>(Stated in millions)</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Second Quarter</w:t>
            </w:r>
          </w:p>
        </w:tc>
        <w:tc>
          <w:tcPr>
            <w:tcW w:w="2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8"/>
              </w:rPr>
              <w:t>Six Months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29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5620" w:right="2160" w:hanging="5617"/>
        <w:spacing w:after="0" w:line="440" w:lineRule="auto"/>
        <w:rPr>
          <w:sz w:val="20"/>
          <w:szCs w:val="20"/>
          <w:color w:val="auto"/>
        </w:rPr>
      </w:pPr>
      <w:r>
        <w:rPr>
          <w:rFonts w:ascii="Arial" w:cs="Arial" w:eastAsia="Arial" w:hAnsi="Arial"/>
          <w:sz w:val="18"/>
          <w:szCs w:val="18"/>
          <w:color w:val="auto"/>
        </w:rPr>
        <w:t>During the first six months of 2010, Schlumberger made a contribution to the US postretirement medical plan of $33 million. 20</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2010 Compared to First Quarter 2010</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Quarter</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First Quarter</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5,436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5,097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1,074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2"/>
        </w:trPr>
        <w:tc>
          <w:tcPr>
            <w:tcW w:w="652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476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described in detail in Note 3 to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interest on postretirement medical benefits and stock-based compensation costs.</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Second-quarter revenue was $5.94 billion compared to $5.60 billion in the first quarter of 2010. Income from continuing operations attributable to Schlumberger for the second quarter of 2010 was $818 million compared to $672 million in the first quarter of 2010. The first quarter 2010 results included charges of $40 million for the reduction in future tax deductions for retiree medical benefits as a results of the passage of the Patient Protection and Affordable Care Act in the United States and $35 million for transaction costs in connection with the proposed Smith International, Inc. merger and the Geoservices acquisition.</w:t>
      </w:r>
    </w:p>
    <w:p>
      <w:pPr>
        <w:spacing w:after="0" w:line="11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Oilfield Services revenue increased 7% sequentially with increases recorded in all Areas, as were sequential margin improvements led by strong performances in North America and Latin America. In North America, high activity and improved pricing in the US Land GeoMarket more than offset the revenue effects of the Canadian spring break-up and the reduced offshore activity late in the quarter following the start of the drilling moratorium in the US Gulf of Mexico. In Latin America, Mexico and Brazil led the revenue improvement. In the other Areas, activity steadily improved. In Europe/CIS/Africa, a strong rebound in Russia and the North Sea was somewhat offset by slow activity in North Africa and lower demand for exploration-related services in West &amp; South Africa.</w:t>
      </w:r>
    </w:p>
    <w:p>
      <w:pPr>
        <w:spacing w:after="0" w:line="1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WesternGeco revenue of $476 million increased 1% sequentially. However, operating income decreased significantly as strong increases in Marine and Data Processing could not offset the lower margin effect of reduced Multiclient activity following the seasonally stronger first-quarter sales.</w:t>
      </w:r>
    </w:p>
    <w:p>
      <w:pPr>
        <w:spacing w:after="0" w:line="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Schlumberger’s outlook for the remainder of the year assumes continued slow build of activity in the second half in most parts of the world. In particular, US Land, Brazil, North Sea and Russia are expected to be GeoMarkets of continued strength. Meanwhile, growth is expected to continue across most of the Middle East &amp; Asia GeoMarkets. This will be partially offset by reductions in Integrated Project Management (IPM) activity in Mexico in both Chicontepec and Burgos.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deepwater US Gulf of Mexico, Schlumberger is not planning for any resumption of drilling activity this year. In deepwater activity elsewhere, there have been no significant delays or program reductions as a result of the US Gulf of Mexico drilling moratorium. Internationally, operators, contractors and regulatory bodies have stepped up maintenance and verification of key well control equipment and procedures, but have not restricted actual drilling activity. The outlook for WesternGeco will be governed by the evolution of the Multiclient market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US Gulf of Mexico, which remains uncertain at this time. The drilling moratorium is currently anticipated to reduce Schlumberger’s earnings per share in the second half of 2010 by approximately $0.08 to $0.12 per share.</w:t>
      </w:r>
    </w:p>
    <w:p>
      <w:pPr>
        <w:spacing w:after="0" w:line="13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Schlumberger began a program three years ago called “Excellence in Execution”. This program was designed to create a step change in the service quality and efficiency Schlumberger provide and, in deepwater, was aimed at enabling our clients to reduce the risk and cost of deepwater operations. The program, in addition to equipment and procedural improvements, provides for competency certification of all personnel involved in deepwater operations. Schlumberger is encouraged by the results as well as by our customer acceptance of this multiyear initiative.</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Schlumberger believes that the contribution of deepwater discoveries has been, and will remain, very significant to future hydrocarbon production. Schlumberger therefore welcomes the current efforts to better understand and control the risks associated with these types of operations. While additional control and oversight will undoubtedly add cost, it is expected that this will be offset in the long run by improvements in operating procedures and technology.</w:t>
      </w:r>
    </w:p>
    <w:p>
      <w:pPr>
        <w:spacing w:after="0" w:line="1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recovery in world demand for oil has been reasonably robust and current forecasts for the coming year remain consistent with slowly increasing levels of exploration and production activity. Natural gas economics remain more challenging, as supply of both LNG and unconventional gas in the US would appear to continue to outstrip the demand recovery. Overall, therefore, Schlumberger sees the current trend of a slow but sure recovery in activity as likely to continue without change until Schlumberger has a clearer view of the sustainability of the recovery in the world economy.</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Second-quarter revenue of $5.44 billion was 7% higher sequentially, with increases in all Areas. In Europe/CIS/Africa, revenue grew primarily due to the seasonal rebound in activity in Russia and improved activity in the North Sea GeoMarket, the effects of which were partially offset by reduced activity in the North Africa and West &amp; South Africa GeoMarkets. Latin America Area revenue increased mostly in the Mexico/Central America GeoMarket on higher activity as well as on a strong performance in IPM service delivery, and in the Brazil GeoMarket on the continued build-up of offshore exploration activity. In North America, revenue grew in US Land from a combination of increased activity and pricing that was partially offset by the impact of the spring break-up in Canada and the early effects of the deepwater drilling moratorium in the US Gulf of Mexico. Middle East &amp; Asia Area revenue was higher mainly due to increased activity and Well Services product sales. The acquisition of Geoservices during the quarter also contributed to the overall sequential increase in revenue.</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Among the Technologies, sequential revenue growth was strongest in Well Services primarily due to stronger US Land activity and pricing, increased product sales in the Middle Eastern GeoMarkets, and the seasonal rebound in Russia. Artificial Lift recorded strong growth on equipment sales in Russia and the Middle Eastern GeoMarkets.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Second-quarter pretax operating income of $1.07 billion increased 11% sequentially. Pretax operating margin improved 75 basis points (bps) sequentially to 19.8% primarily due to the significantly stronger performance in the US Land GeoMarket resulting from the increased activity and pricing combined with the seasonal rebound in Russia and a more favorable revenue mix in the North Sea GeoMarket. These increases were partially offset by the impact of lower activity in the North Africa and West &amp; South Africa GeoMarkets, the effects of the deepwater drilling moratorium in the US Gulf of Mexico and the spring break-up in Canada.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Second-quarter revenue of $1.11 billion was 8% higher sequentially. Pretax operating income of $116 million was 40% higher compared to the first quarter of 2010.</w:t>
      </w:r>
    </w:p>
    <w:p>
      <w:pPr>
        <w:spacing w:after="0" w:line="132"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Sequentially, US Land GeoMarket revenue increased 35% driven by a 13% increase in rig count, high service intensity in unconventional oil and gas reservoirs, and continued pricing improvements for Well Services technologies. This increase was partially offset by lower revenue in the Canada GeoMarket due to the seasonal spring break-up and the decrease in the US Gulf of Mexico GeoMarket revenue as a consequence of the moratorium on deepwater drilling.</w:t>
      </w:r>
    </w:p>
    <w:p>
      <w:pPr>
        <w:spacing w:after="0" w:line="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Pretax operating margin improved 237 bps sequentially to 10.4%. US Land pretax operating margin increased 14.9 percentage points sequentially due to increased Well Services activity and pricing, but this increase was tempered by lower pretax operating margins in the US Gulf of Mexico and Canada as a result of the lower activity.</w:t>
      </w:r>
    </w:p>
    <w:p>
      <w:pPr>
        <w:spacing w:after="0" w:line="140"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As previously disclosed, and prior to the recent events in the US Gulf of Mexico, Schlumberger’s North America Land operations were undergoing a review to provide consistent response, enhanced reliability and greater operational efficiency. This review has been accelerated and will take into consideration the impact of the drilling moratorium in the US Gulf of Mexico. The resulting actions will result in certain restructuring charges being recorded in the third quarter of 2010.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Second-quarter revenue of $1.14 billion was 8% higher sequentially. Pretax operating income of $205 million increased 10%.</w:t>
      </w:r>
    </w:p>
    <w:p>
      <w:pPr>
        <w:spacing w:after="0" w:line="171"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Sequentially, revenue in the Mexico/Central America GeoMarket grew primarily through higher activity and improved IPM drilling performance; increased offshore activity on better weather conditions; and the finalization of Schlumberger Information Solutions (SIS) contracts. Revenue in the Brazil GeoMarket increased as the result of the continued expansion of offshore activity while the Argentina/Bolivia/Chile GeoMarket recorded growth that was driven by drilling activity in unconventional gas projects. These increases, however, were partially offset by lower revenue in the Venezuela/Trinidad &amp; Tobago GeoMarket primarily for SIS services, and in the Peru/Colombia/Ecuador GeoMarket on decreased Testing Services equipment sales and reduced gain share in IPM projects.</w:t>
      </w:r>
    </w:p>
    <w:p>
      <w:pPr>
        <w:spacing w:after="0" w:line="100" w:lineRule="exact"/>
        <w:rPr>
          <w:sz w:val="20"/>
          <w:szCs w:val="20"/>
          <w:color w:val="auto"/>
        </w:rPr>
      </w:pPr>
    </w:p>
    <w:p>
      <w:pPr>
        <w:ind w:right="1620"/>
        <w:spacing w:after="0" w:line="268" w:lineRule="auto"/>
        <w:rPr>
          <w:sz w:val="20"/>
          <w:szCs w:val="20"/>
          <w:color w:val="auto"/>
        </w:rPr>
      </w:pPr>
      <w:r>
        <w:rPr>
          <w:rFonts w:ascii="Arial" w:cs="Arial" w:eastAsia="Arial" w:hAnsi="Arial"/>
          <w:sz w:val="18"/>
          <w:szCs w:val="18"/>
          <w:color w:val="auto"/>
        </w:rPr>
        <w:t>Pretax operating margin was up 35 bps sequentially to 17.9% primarily driven by the increased activity in the Mexico/Central America and Argentina/Bolivia/Chile GeoMarkets.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a result of the previously mentioned anticipated slowdown of activity in Mexico, Schlumberger expects to record restructuring charges during the third quarter of 2010 associated with the lower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Second-quarter revenue of $1.74 billion was 7% higher compared to the first quarter of 2010. Pretax operating income of $319 million was 9% higher sequentially.</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Sequentially, Russia revenue increased on the post-winter seasonal rebound in activity and higher Artificial Lift systems sales while the North Sea GeoMarket recorded growth on higher exploration and appraisal activity in the UK sector as well as increased drilling activity in the Norwegian sector. These increases were partially offset by a decrease in the North Africa GeoMarket due to completion of two IPM projects and to lower Testing Services, Completions and Artificial Lift equipment sales. The West &amp; South Africa GeoMarket also recorded a sequential decrease in revenue from reduced exploration-related services and from lower drilling activity that reduced demand for Drilling &amp; Measurements technologies.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margin improved 29 bps to 18.4% as the positive impact of the increased activity in Russia and the more favorable revenue mix in the North Sea GeoMarket more than offset the effect of the reduced revenue in the West &amp; South Africa and North Africa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Second-quarter revenue of $1.37 billion was 4% higher versus the prior quarter. Pretax operating income of $427 million increased 4% sequentially.</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Sequentially, revenue growth was recorded across most of the Middle Eastern GeoMarkets from increased activity that resulted in strong demand for Wireline services, and from higher sales of Well Services products and Artificial Lift equipment. These increases were partially offset by a decrease in revenue in the Australia/Papua New Guinea GeoMarket as a change in the mix of offshore activities reduced demand for Wireline and Drilling &amp; Measurements services; and by a decrease in the East Asia GeoMarket on lower IPM activity.</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Pretax operating margin remained strong at 31.1% as the positive impact of the increased activity in the Middle Eastern GeoMarkets offset the impact of a less favorable revenue mix in the Australia/Papua New Guinea GeoMarket.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Second-quarter revenue of $476 million was 1% higher sequentially. Pretax operating income of $47 million decreased 31% versus the first quarter of 2010.</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Sequentially, Marine revenue increased primarily due to the addition of two new vessels to the fleet and to greater productivity on a number of projects. Data Processing revenue grew on higher activity in Europe and Africa and in North America. These increases were partially offset by lower Multiclient revenue, mostly in North America following the seasonally stronger first quarter, and by a decrease in Land revenue following the completion of a contract in the Middle East.</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Pretax operating margin decreased 447 bps sequentially to 9.8% primarily due to the decrease in Multiclient revenue and to the lower Land revenue coupled with start-up costs on a Land project in Africa. These decreases were partially offset by the positive impact of the higher productivity in Marine.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Second Quarter 2010 Compared to Second Quarter 2009</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7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Second Quarter</w:t>
            </w:r>
          </w:p>
        </w:tc>
        <w:tc>
          <w:tcPr>
            <w:tcW w:w="500" w:type="dxa"/>
            <w:vAlign w:val="bottom"/>
          </w:tcPr>
          <w:p>
            <w:pPr>
              <w:spacing w:after="0"/>
              <w:rPr>
                <w:sz w:val="14"/>
                <w:szCs w:val="14"/>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 chg</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5,436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4,956</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1,074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1,022</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2"/>
        </w:trPr>
        <w:tc>
          <w:tcPr>
            <w:tcW w:w="780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78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97</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Second-quarter 2010 revenue was $5.94 billion versus $5.53 billion in the second quarter of 2009.</w:t>
      </w:r>
    </w:p>
    <w:p>
      <w:pPr>
        <w:spacing w:after="0" w:line="17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Income from continuing operations attributable to Schlumberger in the second quarter of 2010 was $818 million, compared to $613 million in the second quarter of 2009. The second quarter of 2009 results included charges of $207 million related to workforce reductions and postretirement benefits curtailment.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Second-quarter 2010 revenue of $5.44 billion increased 10% compared to the same period last year. Growth was strongest in the North America Area primarily due to a significant recovery in activity and improved pricing for Well Services technologies in the US Land GeoMarket and higher activity in the Canada GeoMarket. The Latin America Area recorded growth on increased activity across all GeoMarkets while Middle East &amp; Asia Area revenue increased on strong Well Services activity in the Middle Eastern GeoMarkets and increased drilling activity in Asia. The acquisition of Geoservices in the second quarter of 2010 also contributed to the year-on-year revenue increase. These increases were partially offset by a decrease in Europe/CIS/Africa revenue primarily due to reduced activity in the Libya, West &amp; South Africa, Caspian, North Africa and Continental Europe GeoMarkets partially offset by improved activity in Russia.</w:t>
      </w:r>
    </w:p>
    <w:p>
      <w:pPr>
        <w:spacing w:after="0" w:line="12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Second-quarter 2010 pretax operating income of $1.07 billion was 5% higher year-on-year. Pretax operating margin declined 88 bps to 19.8% as the impact of the reduced activity and lower pricing in the Europe/CIS/Africa Area was offset by the activity and pricing improvements in the North America Area.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Second-quarter 2010 revenue of $1.11 billion was 36% higher than the same period last year. The US Land GeoMarket recorded 62% growth due to strong activity in unconventional oil and gas reservoirs and improved pricing that benefited mostly Well Services technologies. Canada GeoMarket revenue also increased significantly from stronger activity in oil basins. These increases were partially offset by a decrease in the US Gulf of Mexico GeoMarket revenue as a result of the moratorium on deepwater drilling.</w:t>
      </w:r>
    </w:p>
    <w:p>
      <w:pPr>
        <w:spacing w:after="0" w:line="14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Year-on-year, pretax operating margin increased 941 bps to 10.4% mostly due to the stronger activity and improved pricing in the US Land GeoMarket, but partially offset by a lower performance in the US Gulf of Mexico GeoMarket as a consequence of the abrupt slowdown in activity.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Second-quarter 2010 revenue of $1.14 billion was 15% higher than the previous year on increases from all GeoMarkets. The Brazil GeoMarket led the Area growth on strong offshore activity that increased demand for Wireline and Drilling &amp; Measurements services. Venezuela/Trinidad &amp; Tobago GeoMarket revenue was higher with no deferral of revenue pending contract finalization as experienced in the prior year. The Mexico/Central America GeoMarket grew primarily on increased IPM activity while the Argentina/Bolivia/Chile GeoMarket increased on drilling activity in unconventional gas projects. The Peru/Ecuador/Colombia GeoMarket revenue grew from higher gain share in IPM projects in addition to increased activity that led to stronger demand for Drilling &amp; Measurements services.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Year-on-year, pretax operating margin was up 24 bps to 17.9% as the positive impact of the higher revenue in the Venezuela/Trinidad &amp; Tobago GeoMarket offset the effect of a less favorable revenue mix in the Mexico/Central America GeoMarket.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Second-quarter 2010 revenue of $1.74 billion was 2% lower year-on-year. This decrease was largely attributable to reduced activity in the Libya, West &amp; South Africa, Caspian, Continental Europe and North Africa GeoMarkets. These decreases were partially offset by improved activity in Russia and in the Nigeria &amp; Gulf of Guinea GeoMarket. Among the Technologies, decreases were highest in Drilling &amp; Measurements and Completions.</w:t>
      </w:r>
    </w:p>
    <w:p>
      <w:pPr>
        <w:spacing w:after="0" w:line="1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Year-on-year, pretax operating margin decreased 585 bps to 18.4% primarily due to lower pricing coupled with a lower mix of high-margin exploration services in the Area.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Second-quarter 2010 revenue of $1.37 billion was 5% above the same period last year primarily on strong demand for Well Services technologies in the Middle Eastern GeoMarkets and increased drilling activity in the Australia/Papua New Guinea, China/Japan/Korea and India GeoMarkets.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Year-on-year, pretax operating margin decreased 92 bps to 31.1% primarily due to a less favorable revenue mix in the East Asia GeoMarket, start-up costs in the Iraq GeoMarket and the impact of the lower pricing across the Area.</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Second-quarter 2010 revenue of $476 million was 15% lower year-on-year. Marine revenue decreased primarily due to lower pricing while Multiclient revenue dropped on lower sales in Europe and Africa and in North America. Land revenue decreased on the completion of a contract in Asia and lower productivity on projects in Africa.</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Year-on-year, pretax operating margin decreased 750 bps to 9.8% primarily as the result of the lower pricing in Marine; the reduced productivity on the Africa projects as well as stand-by costs for the delayed start-up of a contract in Latin America in Land; and start-up costs in Data Processing.</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Six Months 2010 Compared to Six Months 2009</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162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6"/>
        </w:trPr>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3"/>
              </w:rPr>
              <w:t>10,533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83"/>
              </w:rPr>
              <w:t>10,395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2"/>
        </w:trPr>
        <w:tc>
          <w:tcPr>
            <w:tcW w:w="770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77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151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six month period ended June 2010 of $11.53 billion was flat compared to the same period last year.</w:t>
      </w:r>
    </w:p>
    <w:p>
      <w:pPr>
        <w:spacing w:after="0" w:line="17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Income from continuing operations attributable to Schlumberger for the six months ended June 2010 was $1.49 billion versus $1.55 billion for the same period last year. The six months ended June 30, 2010 included $75 million of charges while the six months ended June 30, 2009 included $207 million of charges.</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Six month revenue of $10.53 billion increased 1% compared to the same period last year. Revenue increased in the Latin America Area primarily due to higher activity in the Brazil and Peru/Colombia/Ecuador GeoMarkets and in the North America Area on increased activity and pricing for Well Services technologies in the US Land GeoMarket. The acquisition of Geoservices also increased 2010 revenue. These increases were partially offset by a decrease in Europe/CIS/Africa Area revenue mostly due to lower activity that affected the Caspian, North Sea, West &amp; South Africa, Libya and Continental Europe GeoMarkets. Middle East &amp; Asia Area revenue was flat year-on-year.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Year-to-date pretax operating margin declined 252 bps to 19.4% mostly due to the reduced activity and weaker pricing in the Europe/CIS/Africa Area.</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Six month revenue of $2.15 billion was 7% higher than the same period last year primarily due to strong activity in unconventional oil and gas reservoirs and improved pricing in the US Land GeoMarket and improved activity levels in oil basins in Canada. These increases were partially offset by a decrease in the US Gulf of Mexico GeoMarket revenue as a result of the moratorium on deepwater drilling.</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Year-on-year, pretax operating margin increased 74 bps to 9.2% mostly due to the stronger activity and improved pricing in the US Land GeoMarket, but partially offset by the impact of the slow-down in the US Gulf of Mexico GeoMarket as a consequence of the deepwater drilling moratorium.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Six month revenue of $2.20 billion was 9% higher than the previous year with increases from all GeoMarkets. Growth was strongest in the Brazil GeoMarket where higher offshore activity increased demand for Wireline and Drilling &amp; Measurements services. Revenue also increased significantly in the Peru/Ecuador/Colombia GeoMarket due to strong IPM activity and higher Artificial Lift systems sales and in the Mexico/Central America GeoMarket on increased IPM activity.</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Year-on-year, pretax operating margin decreased 97 bps to 17.7% primarily as a result of a less favorable revenue mix in the Mexico/Central America GeoMarket.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Six month revenue of $3.36 billion was 6% lower year-on-year. This decrease was largely attributable to lower pricing across much of the Area and reduced activity in the Caspian, North Sea, West &amp; South Africa, Libya and Continental Europe GeoMarkets. These decreases were partially offset by increases in Russia due to higher IPM activity; in the North Africa GeoMarket from strong Testing Services equipment sales and higher IPM activity; and in the Nigeria &amp; Gulf of Guinea GeoMarket on strong demand for Well Services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operating margin decreased 685 bps to 18.2% primarily due to reduced pricing across the Area as well as to the lower overall activity levels.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Six month revenue of $2.69 billion was essentially flat with the same period last year, while pretax operating margin decreased 152 bps year-on-year to 31.1% primarily due to a less favorable revenue mix in the East Asia GeoMarket and the impact of the lower pricing across the Area.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Six month revenue of $948 million was 15% lower year-on-year primarily due to reduced activity and pricing in Marine. This decrease was partially offset by an increase in Multiclient as the result of increased acquisition of wide-azimuth surveys in the US Gulf of Mexico.</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Year-on-year, pretax operating margin decreased 161 bps to 12.0% primarily as the result of the lower pricing and activity in Marine; reduced productivity in projects in Africa and stand-by costs incurred as the result of the delayed start-up of a contract in Latin America for Land; and start-up costs for a new project in Data Processing. These decreases were partially offset by an improvement in Multiclient margins on the increased activity.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second quarter and six months ended June 30, 2010 and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7"/>
          </w:tcPr>
          <w:p>
            <w:pPr>
              <w:ind w:left="32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Second Quarter</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85"/>
              </w:rPr>
              <w:t>Six Months</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gridSpan w:val="2"/>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3"/>
              </w:rPr>
              <w:t>2010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76"/>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7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Equity in net earnings of affiliated companies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43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7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20" w:type="dxa"/>
            <w:vAlign w:val="bottom"/>
            <w:gridSpan w:val="3"/>
          </w:tcPr>
          <w:p>
            <w:pPr>
              <w:spacing w:after="0"/>
              <w:rPr>
                <w:sz w:val="20"/>
                <w:szCs w:val="20"/>
                <w:color w:val="auto"/>
              </w:rPr>
            </w:pPr>
            <w:r>
              <w:rPr>
                <w:rFonts w:ascii="Arial" w:cs="Arial" w:eastAsia="Arial" w:hAnsi="Arial"/>
                <w:sz w:val="18"/>
                <w:szCs w:val="18"/>
                <w:color w:val="auto"/>
              </w:rPr>
              <w:t>A summary of gross margin follows:</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920" w:type="dxa"/>
            <w:vAlign w:val="bottom"/>
            <w:gridSpan w:val="7"/>
          </w:tcPr>
          <w:p>
            <w:pPr>
              <w:jc w:val="right"/>
              <w:ind w:right="612"/>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2010</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22.9%</w:t>
            </w:r>
          </w:p>
        </w:tc>
        <w:tc>
          <w:tcPr>
            <w:tcW w:w="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3"/>
              </w:rPr>
              <w:t>19.8%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4"/>
              <w:spacing w:after="0"/>
              <w:rPr>
                <w:sz w:val="20"/>
                <w:szCs w:val="20"/>
                <w:color w:val="auto"/>
              </w:rPr>
            </w:pPr>
            <w:r>
              <w:rPr>
                <w:rFonts w:ascii="Arial" w:cs="Arial" w:eastAsia="Arial" w:hAnsi="Arial"/>
                <w:sz w:val="18"/>
                <w:szCs w:val="18"/>
                <w:b w:val="1"/>
                <w:bCs w:val="1"/>
                <w:color w:val="auto"/>
              </w:rPr>
              <w:t>22.7%</w:t>
            </w:r>
          </w:p>
        </w:tc>
        <w:tc>
          <w:tcPr>
            <w:tcW w:w="38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3"/>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The charges recorded in the second quarter of 2009 (see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negatively impacted gross margins by 4.3 percentage points in the second quarter of 2009 and by 2.1 percentage points during the six months ended June 30, 2009. Excluding the impact of these charges, gross margins have decreased largely due to lower activity and consequent pricing pressure for Oilfield Services particularly in the Europe/CIS/Africa Area partially offset by improved activity levels and pricing in the North America Area.</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i w:val="1"/>
          <w:iCs w:val="1"/>
          <w:color w:val="auto"/>
        </w:rPr>
        <w:t xml:space="preserve">Research &amp; engineering and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second quarter and six months ended June 30,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2009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2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5"/>
              </w:rPr>
              <w:t>Second Quarter</w:t>
            </w:r>
          </w:p>
        </w:tc>
        <w:tc>
          <w:tcPr>
            <w:tcW w:w="3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Six Months</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7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3.6%</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3.7%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r>
      <w:tr>
        <w:trPr>
          <w:trHeight w:val="228"/>
        </w:trPr>
        <w:tc>
          <w:tcPr>
            <w:tcW w:w="634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2.4%</w:t>
            </w:r>
          </w:p>
        </w:tc>
        <w:tc>
          <w:tcPr>
            <w:tcW w:w="6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2.4%</w:t>
            </w:r>
          </w:p>
        </w:tc>
        <w:tc>
          <w:tcPr>
            <w:tcW w:w="122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2.5%</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Research and engineering expenditures, by business segment, for the second quarter and six months ended June 30, 2010 and 2009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$ 187</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$ 168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WesternGeco</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w:t>
            </w:r>
          </w:p>
        </w:tc>
        <w:tc>
          <w:tcPr>
            <w:tcW w:w="4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$ 216</w:t>
            </w:r>
          </w:p>
        </w:tc>
        <w:tc>
          <w:tcPr>
            <w:tcW w:w="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$ 197</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The effective tax rate for the second quarter of 2010 was 17.8% compared to 19.8% for the same period in 2009. The decrease is primarily attributable to the impact of the charges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 xml:space="preserve">The effective tax rate for the six months ended June 30, 2010 was 20.8% compared to 20.6% for the same period of the prior year. Excluding the charges described in Note 3 to the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the effective tax rate decreased 1.5 percentage points mainly due to the geographic mix of earnings.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Schlumberger recorded charges during the first six months of 2010 and 2009. These charges,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first quarter 2010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7"/>
          </w:tcPr>
          <w:p>
            <w:pPr>
              <w:spacing w:after="0"/>
              <w:rPr>
                <w:sz w:val="20"/>
                <w:szCs w:val="20"/>
                <w:color w:val="auto"/>
              </w:rPr>
            </w:pPr>
            <w:r>
              <w:rPr>
                <w:rFonts w:ascii="Arial" w:cs="Arial" w:eastAsia="Arial" w:hAnsi="Arial"/>
                <w:sz w:val="14"/>
                <w:szCs w:val="14"/>
                <w:i w:val="1"/>
                <w:iCs w:val="1"/>
                <w:color w:val="auto"/>
              </w:rPr>
              <w:t>(Stated in millions)</w:t>
            </w:r>
          </w:p>
        </w:tc>
        <w:tc>
          <w:tcPr>
            <w:tcW w:w="120" w:type="dxa"/>
            <w:vAlign w:val="bottom"/>
          </w:tcPr>
          <w:p>
            <w:pPr>
              <w:spacing w:after="0"/>
              <w:rPr>
                <w:sz w:val="14"/>
                <w:szCs w:val="14"/>
                <w:color w:val="auto"/>
              </w:rPr>
            </w:pPr>
          </w:p>
        </w:tc>
        <w:tc>
          <w:tcPr>
            <w:tcW w:w="26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4"/>
              </w:rPr>
              <w:t>Pretax</w:t>
            </w:r>
          </w:p>
        </w:tc>
        <w:tc>
          <w:tcPr>
            <w:tcW w:w="14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Tax</w:t>
            </w:r>
          </w:p>
        </w:tc>
        <w:tc>
          <w:tcPr>
            <w:tcW w:w="580" w:type="dxa"/>
            <w:vAlign w:val="bottom"/>
            <w:gridSpan w:val="4"/>
          </w:tcPr>
          <w:p>
            <w:pPr>
              <w:ind w:left="8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Merger-related transaction costs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Impact of elimination of tax deduction related to Medicare Part D subsidy</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40</w:t>
            </w: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40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The following is a summary of the second quarter 2009 Charges:</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0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7"/>
          </w:tcPr>
          <w:p>
            <w:pPr>
              <w:ind w:left="100"/>
              <w:spacing w:after="0"/>
              <w:rPr>
                <w:sz w:val="20"/>
                <w:szCs w:val="20"/>
                <w:color w:val="auto"/>
              </w:rPr>
            </w:pPr>
            <w:r>
              <w:rPr>
                <w:rFonts w:ascii="Arial" w:cs="Arial" w:eastAsia="Arial" w:hAnsi="Arial"/>
                <w:sz w:val="14"/>
                <w:szCs w:val="14"/>
                <w:i w:val="1"/>
                <w:iCs w:val="1"/>
                <w:color w:val="auto"/>
                <w:w w:val="97"/>
              </w:rPr>
              <w:t>(Stated in millions)</w:t>
            </w:r>
          </w:p>
        </w:tc>
        <w:tc>
          <w:tcPr>
            <w:tcW w:w="120" w:type="dxa"/>
            <w:vAlign w:val="bottom"/>
          </w:tcPr>
          <w:p>
            <w:pPr>
              <w:spacing w:after="0"/>
              <w:rPr>
                <w:sz w:val="24"/>
                <w:szCs w:val="24"/>
                <w:color w:val="auto"/>
              </w:rPr>
            </w:pPr>
          </w:p>
        </w:tc>
        <w:tc>
          <w:tcPr>
            <w:tcW w:w="26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Pretax</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360" w:type="dxa"/>
            <w:vAlign w:val="bottom"/>
          </w:tcPr>
          <w:p>
            <w:pPr>
              <w:ind w:left="60"/>
              <w:spacing w:after="0"/>
              <w:rPr>
                <w:sz w:val="20"/>
                <w:szCs w:val="20"/>
                <w:color w:val="auto"/>
              </w:rPr>
            </w:pPr>
            <w:r>
              <w:rPr>
                <w:rFonts w:ascii="Arial" w:cs="Arial" w:eastAsia="Arial" w:hAnsi="Arial"/>
                <w:sz w:val="18"/>
                <w:szCs w:val="18"/>
                <w:color w:val="auto"/>
              </w:rPr>
              <w:t>Workforce reductions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$ 102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ind w:left="180"/>
              <w:spacing w:after="0"/>
              <w:rPr>
                <w:sz w:val="20"/>
                <w:szCs w:val="20"/>
                <w:color w:val="auto"/>
              </w:rPr>
            </w:pPr>
            <w:r>
              <w:rPr>
                <w:rFonts w:ascii="Arial" w:cs="Arial" w:eastAsia="Arial" w:hAnsi="Arial"/>
                <w:sz w:val="18"/>
                <w:szCs w:val="18"/>
                <w:color w:val="auto"/>
              </w:rPr>
              <w:t>85</w:t>
            </w:r>
          </w:p>
        </w:tc>
        <w:tc>
          <w:tcPr>
            <w:tcW w:w="2800" w:type="dxa"/>
            <w:vAlign w:val="bottom"/>
            <w:gridSpan w:val="2"/>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Postretirement benefits curtailment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122</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80"/>
              <w:spacing w:after="0"/>
              <w:rPr>
                <w:sz w:val="20"/>
                <w:szCs w:val="20"/>
                <w:color w:val="auto"/>
              </w:rPr>
            </w:pPr>
            <w:r>
              <w:rPr>
                <w:rFonts w:ascii="Arial" w:cs="Arial" w:eastAsia="Arial" w:hAnsi="Arial"/>
                <w:sz w:val="18"/>
                <w:szCs w:val="18"/>
                <w:color w:val="auto"/>
              </w:rPr>
              <w:t>$ 238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ind w:left="1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40" w:type="dxa"/>
            <w:vAlign w:val="bottom"/>
            <w:vMerge w:val="restart"/>
          </w:tcPr>
          <w:p>
            <w:pPr>
              <w:jc w:val="right"/>
              <w:ind w:right="55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5"/>
          </w:tcPr>
          <w:p>
            <w:pPr>
              <w:spacing w:after="0"/>
              <w:rPr>
                <w:sz w:val="20"/>
                <w:szCs w:val="20"/>
                <w:color w:val="auto"/>
              </w:rPr>
            </w:pPr>
            <w:r>
              <w:rPr>
                <w:rFonts w:ascii="Arial" w:cs="Arial" w:eastAsia="Arial" w:hAnsi="Arial"/>
                <w:sz w:val="14"/>
                <w:szCs w:val="14"/>
                <w:i w:val="1"/>
                <w:iCs w:val="1"/>
                <w:color w:val="auto"/>
                <w:w w:val="95"/>
              </w:rPr>
              <w:t>(Stated in millions)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right="258"/>
              <w:spacing w:after="0" w:line="149" w:lineRule="exact"/>
              <w:rPr>
                <w:sz w:val="20"/>
                <w:szCs w:val="20"/>
                <w:color w:val="auto"/>
              </w:rPr>
            </w:pPr>
            <w:r>
              <w:rPr>
                <w:rFonts w:ascii="Arial" w:cs="Arial" w:eastAsia="Arial" w:hAnsi="Arial"/>
                <w:sz w:val="14"/>
                <w:szCs w:val="14"/>
                <w:b w:val="1"/>
                <w:bCs w:val="1"/>
                <w:color w:val="auto"/>
                <w:w w:val="86"/>
              </w:rPr>
              <w:t>Jun. 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Jun. 30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820" w:type="dxa"/>
            <w:vAlign w:val="bottom"/>
            <w:gridSpan w:val="3"/>
          </w:tcPr>
          <w:p>
            <w:pPr>
              <w:jc w:val="right"/>
              <w:ind w:right="278"/>
              <w:spacing w:after="0"/>
              <w:rPr>
                <w:sz w:val="20"/>
                <w:szCs w:val="20"/>
                <w:color w:val="auto"/>
              </w:rPr>
            </w:pPr>
            <w:r>
              <w:rPr>
                <w:rFonts w:ascii="Arial" w:cs="Arial" w:eastAsia="Arial" w:hAnsi="Arial"/>
                <w:sz w:val="18"/>
                <w:szCs w:val="18"/>
                <w:b w:val="1"/>
                <w:bCs w:val="1"/>
                <w:color w:val="auto"/>
                <w:w w:val="97"/>
              </w:rPr>
              <w:t>1,491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1,556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78"/>
              <w:spacing w:after="0"/>
              <w:rPr>
                <w:sz w:val="20"/>
                <w:szCs w:val="20"/>
                <w:color w:val="auto"/>
              </w:rPr>
            </w:pPr>
            <w:r>
              <w:rPr>
                <w:rFonts w:ascii="Arial" w:cs="Arial" w:eastAsia="Arial" w:hAnsi="Arial"/>
                <w:sz w:val="18"/>
                <w:szCs w:val="18"/>
                <w:b w:val="1"/>
                <w:bCs w:val="1"/>
                <w:color w:val="auto"/>
                <w:w w:val="97"/>
              </w:rPr>
              <w:t>1,258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Non-cash postretirement benefits curtailment charge</w:t>
            </w:r>
          </w:p>
        </w:tc>
        <w:tc>
          <w:tcPr>
            <w:tcW w:w="100" w:type="dxa"/>
            <w:vAlign w:val="bottom"/>
          </w:tcPr>
          <w:p>
            <w:pPr>
              <w:spacing w:after="0"/>
              <w:rPr>
                <w:sz w:val="18"/>
                <w:szCs w:val="18"/>
                <w:color w:val="auto"/>
              </w:rPr>
            </w:pPr>
          </w:p>
        </w:tc>
        <w:tc>
          <w:tcPr>
            <w:tcW w:w="820" w:type="dxa"/>
            <w:vAlign w:val="bottom"/>
            <w:gridSpan w:val="3"/>
          </w:tcPr>
          <w:p>
            <w:pPr>
              <w:jc w:val="right"/>
              <w:ind w:right="358"/>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other postretirement benefits expense</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149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Pension and other postretirement benefits funding</w:t>
            </w:r>
          </w:p>
        </w:tc>
        <w:tc>
          <w:tcPr>
            <w:tcW w:w="100" w:type="dxa"/>
            <w:vAlign w:val="bottom"/>
          </w:tcPr>
          <w:p>
            <w:pPr>
              <w:spacing w:after="0"/>
              <w:rPr>
                <w:sz w:val="18"/>
                <w:szCs w:val="18"/>
                <w:color w:val="auto"/>
              </w:rPr>
            </w:pPr>
          </w:p>
        </w:tc>
        <w:tc>
          <w:tcPr>
            <w:tcW w:w="82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(130)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Excess of equity income over dividends received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820" w:type="dxa"/>
            <w:vAlign w:val="bottom"/>
            <w:gridSpan w:val="3"/>
          </w:tcPr>
          <w:p>
            <w:pPr>
              <w:jc w:val="right"/>
              <w:ind w:right="278"/>
              <w:spacing w:after="0"/>
              <w:rPr>
                <w:sz w:val="20"/>
                <w:szCs w:val="20"/>
                <w:color w:val="auto"/>
              </w:rPr>
            </w:pPr>
            <w:r>
              <w:rPr>
                <w:rFonts w:ascii="Arial" w:cs="Arial" w:eastAsia="Arial" w:hAnsi="Arial"/>
                <w:sz w:val="18"/>
                <w:szCs w:val="18"/>
                <w:b w:val="1"/>
                <w:bCs w:val="1"/>
                <w:color w:val="auto"/>
              </w:rPr>
              <w:t>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Increase in working capital</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(209)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Capital expenditure</w:t>
            </w:r>
          </w:p>
        </w:tc>
        <w:tc>
          <w:tcPr>
            <w:tcW w:w="100" w:type="dxa"/>
            <w:vAlign w:val="bottom"/>
          </w:tcPr>
          <w:p>
            <w:pPr>
              <w:spacing w:after="0"/>
              <w:rPr>
                <w:sz w:val="18"/>
                <w:szCs w:val="18"/>
                <w:color w:val="auto"/>
              </w:rPr>
            </w:pPr>
          </w:p>
        </w:tc>
        <w:tc>
          <w:tcPr>
            <w:tcW w:w="82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w w:val="87"/>
              </w:rPr>
              <w:t>(1,083)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(1,252)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2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(505)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Stock repurchase program</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rPr>
              <w:t>(872)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tcPr>
          <w:p>
            <w:pPr>
              <w:spacing w:after="0"/>
              <w:rPr>
                <w:sz w:val="18"/>
                <w:szCs w:val="18"/>
                <w:color w:val="auto"/>
              </w:rPr>
            </w:pPr>
          </w:p>
        </w:tc>
        <w:tc>
          <w:tcPr>
            <w:tcW w:w="820" w:type="dxa"/>
            <w:vAlign w:val="bottom"/>
            <w:gridSpan w:val="3"/>
          </w:tcPr>
          <w:p>
            <w:pPr>
              <w:jc w:val="right"/>
              <w:ind w:right="278"/>
              <w:spacing w:after="0"/>
              <w:rPr>
                <w:sz w:val="20"/>
                <w:szCs w:val="20"/>
                <w:color w:val="auto"/>
              </w:rPr>
            </w:pPr>
            <w:r>
              <w:rPr>
                <w:rFonts w:ascii="Arial" w:cs="Arial" w:eastAsia="Arial" w:hAnsi="Arial"/>
                <w:sz w:val="18"/>
                <w:szCs w:val="18"/>
                <w:b w:val="1"/>
                <w:bCs w:val="1"/>
                <w:color w:val="auto"/>
              </w:rPr>
              <w:t>164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Geoservices acquisition, net of debt acquired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b w:val="1"/>
                <w:bCs w:val="1"/>
                <w:color w:val="auto"/>
                <w:w w:val="87"/>
              </w:rPr>
              <w:t>(1,033)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Other business acquisitions and minority interest investments</w:t>
            </w:r>
          </w:p>
        </w:tc>
        <w:tc>
          <w:tcPr>
            <w:tcW w:w="100" w:type="dxa"/>
            <w:vAlign w:val="bottom"/>
          </w:tcPr>
          <w:p>
            <w:pPr>
              <w:spacing w:after="0"/>
              <w:rPr>
                <w:sz w:val="18"/>
                <w:szCs w:val="18"/>
                <w:color w:val="auto"/>
              </w:rPr>
            </w:pPr>
          </w:p>
        </w:tc>
        <w:tc>
          <w:tcPr>
            <w:tcW w:w="820" w:type="dxa"/>
            <w:vAlign w:val="bottom"/>
            <w:gridSpan w:val="3"/>
          </w:tcPr>
          <w:p>
            <w:pPr>
              <w:jc w:val="right"/>
              <w:ind w:right="218"/>
              <w:spacing w:after="0"/>
              <w:rPr>
                <w:sz w:val="20"/>
                <w:szCs w:val="20"/>
                <w:color w:val="auto"/>
              </w:rPr>
            </w:pPr>
            <w:r>
              <w:rPr>
                <w:rFonts w:ascii="Arial" w:cs="Arial" w:eastAsia="Arial" w:hAnsi="Arial"/>
                <w:sz w:val="18"/>
                <w:szCs w:val="18"/>
                <w:b w:val="1"/>
                <w:bCs w:val="1"/>
                <w:color w:val="auto"/>
              </w:rPr>
              <w:t>(145)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Conversion of debentures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320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540" w:type="dxa"/>
            <w:vAlign w:val="bottom"/>
            <w:gridSpan w:val="4"/>
          </w:tcPr>
          <w:p>
            <w:pPr>
              <w:ind w:left="120"/>
              <w:spacing w:after="0"/>
              <w:rPr>
                <w:sz w:val="20"/>
                <w:szCs w:val="20"/>
                <w:color w:val="auto"/>
              </w:rPr>
            </w:pPr>
            <w:r>
              <w:rPr>
                <w:rFonts w:ascii="Arial" w:cs="Arial" w:eastAsia="Arial" w:hAnsi="Arial"/>
                <w:sz w:val="18"/>
                <w:szCs w:val="18"/>
                <w:color w:val="auto"/>
              </w:rPr>
              <w:t>Translation effect on Net Debt</w:t>
            </w:r>
          </w:p>
        </w:tc>
        <w:tc>
          <w:tcPr>
            <w:tcW w:w="100" w:type="dxa"/>
            <w:vAlign w:val="bottom"/>
          </w:tcPr>
          <w:p>
            <w:pPr>
              <w:spacing w:after="0"/>
              <w:rPr>
                <w:sz w:val="18"/>
                <w:szCs w:val="18"/>
                <w:color w:val="auto"/>
              </w:rPr>
            </w:pPr>
          </w:p>
        </w:tc>
        <w:tc>
          <w:tcPr>
            <w:tcW w:w="820" w:type="dxa"/>
            <w:vAlign w:val="bottom"/>
            <w:gridSpan w:val="3"/>
          </w:tcPr>
          <w:p>
            <w:pPr>
              <w:jc w:val="right"/>
              <w:ind w:right="278"/>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60" w:type="dxa"/>
            <w:vAlign w:val="bottom"/>
            <w:gridSpan w:val="5"/>
            <w:vMerge w:val="restart"/>
          </w:tcPr>
          <w:p>
            <w:pPr>
              <w:spacing w:after="0"/>
              <w:rPr>
                <w:sz w:val="20"/>
                <w:szCs w:val="20"/>
                <w:color w:val="auto"/>
              </w:rPr>
            </w:pPr>
            <w:r>
              <w:rPr>
                <w:rFonts w:ascii="Arial" w:cs="Arial" w:eastAsia="Arial" w:hAnsi="Arial"/>
                <w:sz w:val="18"/>
                <w:szCs w:val="18"/>
                <w:color w:val="auto"/>
              </w:rPr>
              <w:t>Net Debt, end of period</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vMerge w:val="restart"/>
          </w:tcPr>
          <w:p>
            <w:pPr>
              <w:jc w:val="right"/>
              <w:ind w:right="218"/>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60" w:type="dxa"/>
            <w:vAlign w:val="bottom"/>
            <w:gridSpan w:val="5"/>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(766</w:t>
            </w:r>
          </w:p>
        </w:tc>
        <w:tc>
          <w:tcPr>
            <w:tcW w:w="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(990)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80" w:type="dxa"/>
            <w:vAlign w:val="bottom"/>
            <w:gridSpan w:val="3"/>
          </w:tcPr>
          <w:p>
            <w:pPr>
              <w:ind w:left="460"/>
              <w:spacing w:after="0"/>
              <w:rPr>
                <w:sz w:val="20"/>
                <w:szCs w:val="20"/>
                <w:color w:val="auto"/>
              </w:rPr>
            </w:pPr>
            <w:r>
              <w:rPr>
                <w:rFonts w:ascii="Arial" w:cs="Arial" w:eastAsia="Arial" w:hAnsi="Arial"/>
                <w:sz w:val="18"/>
                <w:szCs w:val="18"/>
                <w:color w:val="auto"/>
              </w:rPr>
              <w:t>(1)</w:t>
            </w:r>
          </w:p>
        </w:tc>
        <w:tc>
          <w:tcPr>
            <w:tcW w:w="6540" w:type="dxa"/>
            <w:vAlign w:val="bottom"/>
            <w:gridSpan w:val="4"/>
          </w:tcPr>
          <w:p>
            <w:pPr>
              <w:ind w:left="240"/>
              <w:spacing w:after="0"/>
              <w:rPr>
                <w:sz w:val="20"/>
                <w:szCs w:val="20"/>
                <w:color w:val="auto"/>
              </w:rPr>
            </w:pPr>
            <w:r>
              <w:rPr>
                <w:rFonts w:ascii="Arial" w:cs="Arial" w:eastAsia="Arial" w:hAnsi="Arial"/>
                <w:sz w:val="18"/>
                <w:szCs w:val="18"/>
                <w:color w:val="auto"/>
              </w:rPr>
              <w:t>Includes multiclient seismic data costs.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20" w:type="dxa"/>
            <w:vAlign w:val="bottom"/>
            <w:gridSpan w:val="5"/>
          </w:tcPr>
          <w:p>
            <w:pPr>
              <w:jc w:val="right"/>
              <w:ind w:right="458"/>
              <w:spacing w:after="0" w:line="149" w:lineRule="exact"/>
              <w:rPr>
                <w:sz w:val="20"/>
                <w:szCs w:val="20"/>
                <w:color w:val="auto"/>
              </w:rPr>
            </w:pPr>
            <w:r>
              <w:rPr>
                <w:rFonts w:ascii="Arial" w:cs="Arial" w:eastAsia="Arial" w:hAnsi="Arial"/>
                <w:sz w:val="14"/>
                <w:szCs w:val="14"/>
                <w:b w:val="1"/>
                <w:bCs w:val="1"/>
                <w:color w:val="auto"/>
                <w:w w:val="95"/>
              </w:rPr>
              <w:t>Jun. 30</w:t>
            </w:r>
          </w:p>
        </w:tc>
        <w:tc>
          <w:tcPr>
            <w:tcW w:w="280" w:type="dxa"/>
            <w:vAlign w:val="bottom"/>
          </w:tcPr>
          <w:p>
            <w:pPr>
              <w:spacing w:after="0"/>
              <w:rPr>
                <w:sz w:val="12"/>
                <w:szCs w:val="12"/>
                <w:color w:val="auto"/>
              </w:rPr>
            </w:pPr>
          </w:p>
        </w:tc>
        <w:tc>
          <w:tcPr>
            <w:tcW w:w="6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Jun. 30</w:t>
            </w:r>
          </w:p>
        </w:tc>
        <w:tc>
          <w:tcPr>
            <w:tcW w:w="660" w:type="dxa"/>
            <w:vAlign w:val="bottom"/>
          </w:tcPr>
          <w:p>
            <w:pPr>
              <w:spacing w:after="0"/>
              <w:rPr>
                <w:sz w:val="12"/>
                <w:szCs w:val="12"/>
                <w:color w:val="auto"/>
              </w:rPr>
            </w:pPr>
          </w:p>
        </w:tc>
        <w:tc>
          <w:tcPr>
            <w:tcW w:w="66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61"/>
        </w:trPr>
        <w:tc>
          <w:tcPr>
            <w:tcW w:w="7320" w:type="dxa"/>
            <w:vAlign w:val="bottom"/>
            <w:gridSpan w:val="7"/>
          </w:tcPr>
          <w:p>
            <w:pPr>
              <w:spacing w:after="0"/>
              <w:rPr>
                <w:sz w:val="20"/>
                <w:szCs w:val="20"/>
                <w:color w:val="auto"/>
              </w:rPr>
            </w:pPr>
            <w:r>
              <w:rPr>
                <w:rFonts w:ascii="Arial" w:cs="Arial" w:eastAsia="Arial" w:hAnsi="Arial"/>
                <w:sz w:val="14"/>
                <w:szCs w:val="14"/>
                <w:b w:val="1"/>
                <w:bCs w:val="1"/>
                <w:color w:val="auto"/>
              </w:rPr>
              <w:t>Components of Net Debt</w:t>
            </w:r>
          </w:p>
        </w:tc>
        <w:tc>
          <w:tcPr>
            <w:tcW w:w="46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12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570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6"/>
          </w:tcPr>
          <w:p>
            <w:pPr>
              <w:spacing w:after="0"/>
              <w:rPr>
                <w:sz w:val="20"/>
                <w:szCs w:val="20"/>
                <w:color w:val="auto"/>
              </w:rPr>
            </w:pPr>
            <w:r>
              <w:rPr>
                <w:rFonts w:ascii="Arial" w:cs="Arial" w:eastAsia="Arial" w:hAnsi="Arial"/>
                <w:sz w:val="18"/>
                <w:szCs w:val="18"/>
                <w:color w:val="auto"/>
              </w:rPr>
              <w:t>Short-term investments</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2,849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4,195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75"/>
              </w:rPr>
              <w:t>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6"/>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5"/>
              </w:rPr>
              <w:t>(767)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(1,253)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ind w:right="398"/>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5"/>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7"/>
              </w:rPr>
              <w:t>(3,729)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(4,291)</w:t>
            </w: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40" w:type="dxa"/>
            <w:vAlign w:val="bottom"/>
            <w:gridSpan w:val="4"/>
            <w:shd w:val="clear" w:color="auto" w:fill="CCEEFF"/>
          </w:tcPr>
          <w:p>
            <w:pPr>
              <w:ind w:left="6440"/>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(766)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2010 and 2009 included:</w:t>
      </w:r>
    </w:p>
    <w:p>
      <w:pPr>
        <w:spacing w:after="0" w:line="90" w:lineRule="exact"/>
        <w:rPr>
          <w:sz w:val="20"/>
          <w:szCs w:val="20"/>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second quarter of 2010, Schlumberger completed the acquisition of Geoservices for cash of $0.9 billion. Schlumberger acquired net debt of $0.1 billion in connection with this transaction.</w:t>
      </w:r>
    </w:p>
    <w:p>
      <w:pPr>
        <w:spacing w:after="0" w:line="50" w:lineRule="exact"/>
        <w:rPr>
          <w:rFonts w:ascii="Arial" w:cs="Arial" w:eastAsia="Arial" w:hAnsi="Arial"/>
          <w:sz w:val="18"/>
          <w:szCs w:val="18"/>
          <w:color w:val="auto"/>
        </w:rPr>
      </w:pPr>
    </w:p>
    <w:p>
      <w:pPr>
        <w:ind w:left="900" w:right="340" w:hanging="446"/>
        <w:spacing w:after="0" w:line="370"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On April 17, 2008, the Schlumberger Board of Directors approved an $8 billion share repurchase program for shares of Schlumberger common stock, to be acquired in the open market before December 31, 2011, of which $2.31 billion had been repurchased as of June 30, 2010.</w:t>
      </w:r>
    </w:p>
    <w:p>
      <w:pPr>
        <w:spacing w:after="0" w:line="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table summarizes the activity, during the six months ended June 30, 2010, under the April 17, 2008 share repurchase program:</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Arial" w:cs="Arial" w:eastAsia="Arial" w:hAnsi="Arial"/>
                <w:sz w:val="14"/>
                <w:szCs w:val="14"/>
                <w:i w:val="1"/>
                <w:iCs w:val="1"/>
                <w:color w:val="auto"/>
                <w:w w:val="91"/>
              </w:rPr>
              <w:t>(Stated in thousands except per share amounts)</w:t>
            </w:r>
          </w:p>
        </w:tc>
      </w:tr>
      <w:tr>
        <w:trPr>
          <w:trHeight w:val="149"/>
        </w:trPr>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1"/>
              </w:rPr>
              <w:t>Total cost</w:t>
            </w: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3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0"/>
              </w:rPr>
              <w:t>of shares</w:t>
            </w: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of shares</w:t>
            </w:r>
          </w:p>
        </w:tc>
        <w:tc>
          <w:tcPr>
            <w:tcW w:w="220" w:type="dxa"/>
            <w:vAlign w:val="bottom"/>
          </w:tcPr>
          <w:p>
            <w:pPr>
              <w:spacing w:after="0"/>
              <w:rPr>
                <w:sz w:val="12"/>
                <w:szCs w:val="12"/>
                <w:color w:val="auto"/>
              </w:rPr>
            </w:pPr>
          </w:p>
        </w:tc>
        <w:tc>
          <w:tcPr>
            <w:tcW w:w="94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Average</w:t>
            </w:r>
          </w:p>
        </w:tc>
      </w:tr>
      <w:tr>
        <w:trPr>
          <w:trHeight w:val="161"/>
        </w:trPr>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8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80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price paid per share</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2010</w:t>
            </w:r>
          </w:p>
        </w:tc>
        <w:tc>
          <w:tcPr>
            <w:tcW w:w="3000" w:type="dxa"/>
            <w:vAlign w:val="bottom"/>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87"/>
              </w:rPr>
              <w:t>$871,890</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13,734.8</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r>
    </w:tbl>
    <w:p>
      <w:pPr>
        <w:spacing w:after="0" w:line="7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did not repurchase any shares during the six months ended June 30, 2009.</w:t>
      </w:r>
    </w:p>
    <w:p>
      <w:pPr>
        <w:spacing w:after="0" w:line="90" w:lineRule="exact"/>
        <w:rPr>
          <w:sz w:val="20"/>
          <w:szCs w:val="20"/>
          <w:color w:val="auto"/>
        </w:rPr>
      </w:pPr>
    </w:p>
    <w:p>
      <w:pPr>
        <w:ind w:left="900" w:right="4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six months of 2010 Schlumberger made contributions of $130 million to its defined benefit pension plans as compared to $518 million during the same period last year.</w:t>
      </w:r>
    </w:p>
    <w:p>
      <w:pPr>
        <w:spacing w:after="0" w:line="50" w:lineRule="exact"/>
        <w:rPr>
          <w:rFonts w:ascii="Arial" w:cs="Arial" w:eastAsia="Arial" w:hAnsi="Arial"/>
          <w:sz w:val="18"/>
          <w:szCs w:val="18"/>
          <w:color w:val="auto"/>
        </w:rPr>
      </w:pPr>
    </w:p>
    <w:p>
      <w:pPr>
        <w:jc w:val="both"/>
        <w:ind w:left="900" w:right="4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flow provided by operations was $2.3 billion in the first six months of 2010 compared to $2.1 billion in the first six months of 2009. The increase in cash flow from operations in 2010 as compared to 2009 reflected an improvement in working capital requirements combined with a decrease in pension plan contributions which was offset in part by the decrease in net income.</w:t>
      </w:r>
    </w:p>
    <w:p>
      <w:pPr>
        <w:spacing w:after="0" w:line="59" w:lineRule="exact"/>
        <w:rPr>
          <w:rFonts w:ascii="Arial" w:cs="Arial" w:eastAsia="Arial" w:hAnsi="Arial"/>
          <w:sz w:val="18"/>
          <w:szCs w:val="18"/>
          <w:color w:val="auto"/>
        </w:rPr>
      </w:pPr>
    </w:p>
    <w:p>
      <w:pPr>
        <w:ind w:left="900" w:right="420" w:hanging="325"/>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Capital expenditures were $1.1 billion in the first six months of 2010 compared to $1.3 billion during the first quarter of 2009. Oilfield Services capital expenditures are expected to approach $2.8 billion for the full year of 2010 as compared to $1.9 billion in 2009. WesternGeco capital expenditures are expected to approach $0.3 billion for the full year 2010 as compared to $0.5 billion in 2009.</w:t>
      </w:r>
    </w:p>
    <w:p>
      <w:pPr>
        <w:spacing w:after="0" w:line="25" w:lineRule="exact"/>
        <w:rPr>
          <w:rFonts w:ascii="Arial" w:cs="Arial" w:eastAsia="Arial" w:hAnsi="Arial"/>
          <w:sz w:val="16"/>
          <w:szCs w:val="16"/>
          <w:color w:val="auto"/>
        </w:rPr>
      </w:pPr>
    </w:p>
    <w:p>
      <w:pPr>
        <w:ind w:left="900" w:right="2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first six months of 2010, $320 million of the 2.125% Series B Convertible Debentures due June 1, 2023 were converted by holders into 8.0 million shares of Schlumberger common stock and the remaining $1 million of outstanding Series B debentures were redeemed for cash.</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2009, Schlumberger entered into a €3.0 billion Euro Medium Term Note program. This program provides for the issuance of various types of debt instruments such as fixed or floating rate notes in Euro, US dollar or other currencies.</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 The proceeds from these notes were used to refinance existing debt obligations and for general corporate purposes.</w:t>
      </w:r>
    </w:p>
    <w:p>
      <w:pPr>
        <w:spacing w:after="0" w:line="1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June 30, 2010 Schlumberger had $2.9 billion of cash and short-term investments on hand. Schlumberger had separate committed debt facility agreements aggregating $3.4 billion with commercial banks, of which $2.8 billion was available and unused as of June 30, 2010. This included $2.4 billion of unused committed facilities which support commercial paper borrowings in the United States and Europe. Schlumberger believes that these amounts are sufficient to meet future business requirements for at least the next twelve months.</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Schlumberger’s total outstanding debt at June 30, 2010 was $4.4 billion and included $0.2 billion of commercial paper borrowings. The total outstanding debt decreased $1.0 billion compared to December 31, 2009.</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Although the functional currency of Schlumberger’s operations in Venezuela is the US dollar, a portion of the transactions are denominated in local currency. For financial reporting purposes, such transactions are remeasured into US dollars at the official exchange rate, which until January 2010 was fixed at 2.15 Venezuela bolivares fuertes per US dollars, despite significant inflation in recent periods. In January 2010, Venezuela’s currency was devalued and a new dual exchange rate system was announced. During the first quarter of 2010, Schlumberger began to apply an exchange rate of 4.3 Venezuelan bolivares fuertes per US dollar to its local currency denominated transactions in Venezuela. The devaluation did not have an immediate significant impact to Schlumberger. Further, although this devaluation does result in a reduction in the US dollar reported amount of local currency denominated revenues and expenses, the impact is not material to Schlumberger’s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timing of the closing of the Smith merger; the integration of both Smith and Geoservices into our business; the anticipated benefits of those transactions; oil and natural gas demand and production growth; oil and natural gas prices; operating margins; the Schlumberger effective tax rate;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satisfaction of the closing conditions to the Smith merger; the risk that the contemplated Smith merger does not occur, negative effects from the pendency of the contemplated Smith merger, the ability after the closing of the Smith merger to successfully integrate the merged businesses and to realize expected synergies, the inability to retain key employees; expenses for the merger; and other risks and uncertainties detailed in our second-quarter 2010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2009. Schlumberger’s exposure to market risk has not changed materially since December 31, 2009.</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II.</w:t>
      </w:r>
      <w:r>
        <w:rPr>
          <w:sz w:val="20"/>
          <w:szCs w:val="20"/>
          <w:color w:val="auto"/>
        </w:rPr>
        <w:tab/>
      </w:r>
      <w:r>
        <w:rPr>
          <w:rFonts w:ascii="Arial" w:cs="Arial" w:eastAsia="Arial" w:hAnsi="Arial"/>
          <w:sz w:val="18"/>
          <w:szCs w:val="18"/>
          <w:b w:val="1"/>
          <w:bCs w:val="1"/>
          <w:u w:val="single" w:color="auto"/>
          <w:color w:val="auto"/>
        </w:rPr>
        <w:t>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14.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2009, except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ability of Smith and Schlumberger to complete the merger is subject to certain closing conditions, including the approval of Smith stockholders.</w:t>
      </w:r>
    </w:p>
    <w:p>
      <w:pPr>
        <w:spacing w:after="0" w:line="11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merger agreement contains closing conditions, including approval of the merger by Smith stockholders, the absence of injunctions or other legal restrictions and no material adverse effect having occurred with respect to either company. We can provide no assurance that the various closing conditions will be satisfied, or that any required conditions will not materially adversely affect the combined company following the merger. In addition, we can provide no assurance that these conditions will not result in the abandonment or delay of the merger.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complete the merger with Smith could negatively impact Schlumberger’s stock price and our future business and financial results.</w:t>
      </w:r>
    </w:p>
    <w:p>
      <w:pPr>
        <w:spacing w:after="0" w:line="11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If the merger with Smith is not completed, the ongoing businesses and the market price of the common stock of Schlumberger may be adversely affected and Schlumberger will be subject to several risks, including being required, under specified circumstances, to pay Smith a termination fee of $615 million; having to pay certain costs relating to the merger; and diverting the focus of management from pursuing other opportunities that could be beneficial to Schlumberger, in each case, without realizing any of the benefits that might have resulted had the merger been completed.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pendency of the merger could adversely affect Schlumberger.</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connection with the pending merger, some of Schlumberger’s customers may delay or defer purchasing decisions, which could negatively impact revenues, earnings and cash flows regardless of whether the merger is completed. Additionally, Schlumberger has agreed in the merger agreement to refrain from taking certain actions with respect to its business and financial affairs during the pendency of the merger. These restrictions could be in place for an extended period of time if completion of the merger is delayed, and could adversely impact Schlumberger’s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Schlumberger’s stockholders will be diluted by the merger.</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merger will dilute the ownership position of Schlumberger’s current stockholders. We currently estimate that, upon completion of the merger, Schlumberger’s stockholders before the merger will own approximately 87% of the combined company and former Smith stockholders will own approximately 13% of the combined company’s outstanding common stock.</w:t>
      </w:r>
    </w:p>
    <w:p>
      <w:pPr>
        <w:spacing w:after="0" w:line="21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Following the merger, Schlumberger may be unable to successfully integrate Smith’s and Schlumberger’s businesses and realize the anticipated benefits of the merger.</w:t>
      </w:r>
    </w:p>
    <w:p>
      <w:pPr>
        <w:spacing w:after="0" w:line="4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merger involves the combination of two companies that currently operate as independent public companies. Schlumberger will be required to devote management attention and resources to integrating the two companies’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business practices and operations. Potential difficulties that Schlumberger may encounter in the integration process include the following:</w:t>
      </w:r>
    </w:p>
    <w:p>
      <w:pPr>
        <w:spacing w:after="0" w:line="90" w:lineRule="exact"/>
        <w:rPr>
          <w:sz w:val="20"/>
          <w:szCs w:val="20"/>
          <w:color w:val="auto"/>
        </w:rPr>
      </w:pPr>
    </w:p>
    <w:p>
      <w:pPr>
        <w:ind w:left="900" w:right="4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integrate the Smith and Schlumberger businesses in a manner that permits Schlumberger to achieve the cost savings and operating synergies anticipated to result from the merger, which would result in the anticipated benefits of the merger not being realized partly or wholly in the time frame currently anticipated or at all;</w:t>
      </w:r>
    </w:p>
    <w:p>
      <w:pPr>
        <w:spacing w:after="0" w:line="59" w:lineRule="exact"/>
        <w:rPr>
          <w:rFonts w:ascii="Arial" w:cs="Arial" w:eastAsia="Arial" w:hAnsi="Arial"/>
          <w:sz w:val="18"/>
          <w:szCs w:val="18"/>
          <w:color w:val="auto"/>
        </w:rPr>
      </w:pPr>
    </w:p>
    <w:p>
      <w:pPr>
        <w:ind w:left="900" w:right="56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lost sales and customers as a result of certain customers of either or both of the two companies deciding not to do business with the combined company, or deciding to decrease their amount of business in order to reduce their reliance on a single company;</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integrating personnel from the two companies while maintaining focus on providing consistent, high quality products and customer service;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shortfalls at the combined company as a result of the diversion of management’s attention caused by completing the merger and integrating the companies’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issues currently faced by one company may be imputed to the operations of the other company.</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To the extent that either Schlumberger or Smith currently has or is perceived by customers to have operational challenges, such as on-time performance, safety issues or workforce issues, those challenges may raise concerns by existing customers of the other company following the merger, which may limit or impede Schlumberger’s future ability to obtain additional work from those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retain key employees and skilled workers could adversely affect Schlumberger following the merger.</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Schlumberger’s performance following the merger could be adversely affected if the combined company is unable to retain certain key employees and skilled workers of Smith. The loss of the services of one or more of these key employees and skilled workers could adversely affect Schlumberger’s future operating results because of their experience and knowledge of Smith’s business. In addition, current and prospective employees of Schlumberger and Smith may experience uncertainty about their future roles with their company until after the merger is completed. This may adversely affect the ability of both Schlumberger and Smith to attract and retain key personnel.</w:t>
      </w:r>
    </w:p>
    <w:p>
      <w:pPr>
        <w:spacing w:after="0" w:line="218"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A significant portion of the combined company’s revenue will be dependent on the activity level of natural gas exploration and production in North America.</w:t>
      </w:r>
    </w:p>
    <w:p>
      <w:pPr>
        <w:spacing w:after="0" w:line="4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Upon consummation of the merger, a larger portion of our revenues will be derived from our North American operations. Because of the current economic environment and related decrease in demand for energy, natural gas exploration and production in North America have decreased significantly from their peak levels in the summer of 2008. Warmer than normal winters in North America, among other factors, may adversely impact demand for natural gas and, therefore, demand for oilfield services. If the economic conditions deteriorate further or do not improve, the decline in natural gas exploration and production could cause a decline in the demand for the services and products of the combined company. Such decline could result in a significant adverse effect on our operating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Schlumberger common stock could decline if large amounts of its common stock are sold following the merger.</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Following the merger, stockholders of Schlumberger and former stockholders of Smith will own interests in a combined company operating an expanded business with more assets and a different mix of liabilities. Current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stockholders of Schlumberger and Smith may not wish to continue to invest in the combined company, or may wish to reduce their investment in the combined company, in order to comply with institutional investing guidelines, to increase diversification or to track any rebalancing of stock indices in which Schlumberger or Smith common stock is included. If, following the merger, large amounts of Schlumberger common stock are sold, the price of its common stock could decline.</w:t>
      </w:r>
    </w:p>
    <w:p>
      <w:pPr>
        <w:spacing w:after="0" w:line="18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The merger may be dilutive to Schlumberger’s earnings per share in the near term, which may negatively affect the market price of Schlumberger common stock.</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merger may be dilutive to earnings per share in the near term. Future events and conditions could decrease or delay any accretion, result in dilution or cause greater dilution than is currently expected, including:</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changes in energy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Any dilution of, or decrease or delay of any accretion to, Schlumberger’s earnings per share could cause the price of Schlumberger’s common stock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products and services could be reduced or eliminated by governmental regulation or a change in the law.</w:t>
      </w:r>
    </w:p>
    <w:p>
      <w:pPr>
        <w:spacing w:after="0" w:line="9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International, national, and state governments and agencies are currently evaluating and promulgating climate-related legislation and regulations that are focused on restricting greenhouse gas (“GHG”) emissions. In the United States, the Environmental Protection Agency (“EPA”) is taking steps to require monitoring and reporting of GHG emissions and to regulate GHGs as pollutants under the Clean Air Act (“CAA”). The EPA’s “Mandatory Reporting of Greenhouse Gases” rule established a comprehensive scheme of regulations that require monitoring and reporting of GHG emissions that began in 2010. Furthermore, the EPA recently proposed additional GHG reporting rules specifically for the oil and gas industry. The EPA has also published a final rule, the “Endangerment Finding”, finding that GHGs in the atmosphere endanger public health and welfare, and that emissions of GHGs from mobile sources cause or contribute to the GHG pollution. Following issuance of the Endangerment Finding, the EPA promulgated final motor vehicle GHG emission standards on April 1, 2010. The EPA has asserted that the final motor vehicle GHG emission standards will trigger construction and operating permit requirements for stationary sources. In addition, climate change legislation is pending in the United States Congress. These developments may curtail production and demand for fossil fuels such as oil and gas in areas of the world where our customers operate and thus adversely affect future demand for our services and products, which may in turn adversely affect future results of operations. Additionally, legislation to reduce greenhouse gases may have an adverse effect on our operations, including payment of additional costs due to carbon emissions. Higher carbon emission activities include transportation, including marine vessels, cement production (by third party suppliers), and electricity generation (by third party suppliers) as well as other activities. Finally, our business could be negatively affected by climate change related physical changes or changes in weather patterns, which could result in damages to or loss of our physical assets, impacts to our ability to conduct operations and/or disruption of our customers’ operations.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Legislation is pending in the United States Congress that would authorize the EPA to regulate hydraulic fracturing under the Safe Drinking Water Act. The legislation would require the reporting and public disclosure of chemicals that could adversely affect drinking water supplies. In addition a number of states are evaluating the adoption of legislation or regulations governing hydraulic fracturing. Such regulations or legislation could reduce demand for pressure pumping services. If federal and/or state legislation or regulations were enacted, it could adversely affect our financial condition, results of operations and cash flows. We are unable to predict whether the proposed legislation, regulations, or any other proposals will ultimately be enacted.</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During the quarter ended June 30, 2010, Schlumberger issued 7,432,300 shares of its common stock upon conversion by holders of $298.7 million aggregate principal amount of its 2.125% Series B Convertible Debentures due June 1, 2023. Such shares were issued in transactions exempt from registration under Section 3(a)(9) of the Securities Act of 1933, as amended.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June 30, 2010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00" w:type="dxa"/>
            <w:vAlign w:val="bottom"/>
            <w:gridSpan w:val="6"/>
          </w:tcPr>
          <w:p>
            <w:pPr>
              <w:jc w:val="right"/>
              <w:ind w:right="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204"/>
        </w:trPr>
        <w:tc>
          <w:tcPr>
            <w:tcW w:w="5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Total number of</w:t>
            </w:r>
          </w:p>
        </w:tc>
        <w:tc>
          <w:tcPr>
            <w:tcW w:w="40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Maximum value of</w:t>
            </w:r>
          </w:p>
        </w:tc>
      </w:tr>
      <w:tr>
        <w:trPr>
          <w:trHeight w:val="149"/>
        </w:trPr>
        <w:tc>
          <w:tcPr>
            <w:tcW w:w="5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7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Average price</w:t>
            </w:r>
          </w:p>
        </w:tc>
        <w:tc>
          <w:tcPr>
            <w:tcW w:w="7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4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shares that may yet</w:t>
            </w:r>
          </w:p>
        </w:tc>
      </w:tr>
      <w:tr>
        <w:trPr>
          <w:trHeight w:val="149"/>
        </w:trPr>
        <w:tc>
          <w:tcPr>
            <w:tcW w:w="5180" w:type="dxa"/>
            <w:vAlign w:val="bottom"/>
          </w:tcPr>
          <w:p>
            <w:pPr>
              <w:spacing w:after="0"/>
              <w:rPr>
                <w:sz w:val="12"/>
                <w:szCs w:val="12"/>
                <w:color w:val="auto"/>
              </w:rPr>
            </w:pPr>
          </w:p>
        </w:tc>
        <w:tc>
          <w:tcPr>
            <w:tcW w:w="800" w:type="dxa"/>
            <w:vAlign w:val="bottom"/>
          </w:tcPr>
          <w:p>
            <w:pPr>
              <w:jc w:val="right"/>
              <w:ind w:right="61"/>
              <w:spacing w:after="0" w:line="149" w:lineRule="exact"/>
              <w:rPr>
                <w:sz w:val="20"/>
                <w:szCs w:val="20"/>
                <w:color w:val="auto"/>
              </w:rPr>
            </w:pPr>
            <w:r>
              <w:rPr>
                <w:rFonts w:ascii="Arial" w:cs="Arial" w:eastAsia="Arial" w:hAnsi="Arial"/>
                <w:sz w:val="14"/>
                <w:szCs w:val="14"/>
                <w:b w:val="1"/>
                <w:bCs w:val="1"/>
                <w:color w:val="auto"/>
              </w:rPr>
              <w:t>of shares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1"/>
              </w:rPr>
              <w:t>paid per</w:t>
            </w:r>
          </w:p>
        </w:tc>
        <w:tc>
          <w:tcPr>
            <w:tcW w:w="78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as part of publicly</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be purchased</w:t>
            </w:r>
          </w:p>
        </w:tc>
      </w:tr>
      <w:tr>
        <w:trPr>
          <w:trHeight w:val="161"/>
        </w:trPr>
        <w:tc>
          <w:tcPr>
            <w:tcW w:w="5180" w:type="dxa"/>
            <w:vAlign w:val="bottom"/>
          </w:tcPr>
          <w:p>
            <w:pPr>
              <w:spacing w:after="0"/>
              <w:rPr>
                <w:sz w:val="14"/>
                <w:szCs w:val="14"/>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5"/>
              </w:rPr>
              <w:t>purchased</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7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announced program</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under the program</w:t>
            </w:r>
          </w:p>
        </w:tc>
        <w:tc>
          <w:tcPr>
            <w:tcW w:w="20" w:type="dxa"/>
            <w:vAlign w:val="bottom"/>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April 1 through April 30, 2010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2,814.0</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2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2,814.0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6,040,489</w:t>
            </w:r>
          </w:p>
        </w:tc>
        <w:tc>
          <w:tcPr>
            <w:tcW w:w="20" w:type="dxa"/>
            <w:vAlign w:val="bottom"/>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May 1 through May 31, 2010</w:t>
            </w:r>
          </w:p>
        </w:tc>
        <w:tc>
          <w:tcPr>
            <w:tcW w:w="800" w:type="dxa"/>
            <w:vAlign w:val="bottom"/>
          </w:tcPr>
          <w:p>
            <w:pPr>
              <w:jc w:val="right"/>
              <w:spacing w:after="0"/>
              <w:rPr>
                <w:sz w:val="20"/>
                <w:szCs w:val="20"/>
                <w:color w:val="auto"/>
              </w:rPr>
            </w:pPr>
            <w:r>
              <w:rPr>
                <w:rFonts w:ascii="Arial" w:cs="Arial" w:eastAsia="Arial" w:hAnsi="Arial"/>
                <w:sz w:val="18"/>
                <w:szCs w:val="18"/>
                <w:color w:val="auto"/>
              </w:rPr>
              <w:t>2,680.0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65.57</w:t>
            </w:r>
          </w:p>
        </w:tc>
        <w:tc>
          <w:tcPr>
            <w:tcW w:w="2340" w:type="dxa"/>
            <w:vAlign w:val="bottom"/>
            <w:gridSpan w:val="3"/>
          </w:tcPr>
          <w:p>
            <w:pPr>
              <w:jc w:val="right"/>
              <w:ind w:right="380"/>
              <w:spacing w:after="0"/>
              <w:rPr>
                <w:sz w:val="20"/>
                <w:szCs w:val="20"/>
                <w:color w:val="auto"/>
              </w:rPr>
            </w:pPr>
            <w:r>
              <w:rPr>
                <w:rFonts w:ascii="Arial" w:cs="Arial" w:eastAsia="Arial" w:hAnsi="Arial"/>
                <w:sz w:val="18"/>
                <w:szCs w:val="18"/>
                <w:color w:val="auto"/>
              </w:rPr>
              <w:t>2,680.0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5,864,766</w:t>
            </w:r>
          </w:p>
        </w:tc>
        <w:tc>
          <w:tcPr>
            <w:tcW w:w="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June 1 through June 30, 2010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7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2,948.0</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5,693,728</w:t>
            </w:r>
          </w:p>
        </w:tc>
        <w:tc>
          <w:tcPr>
            <w:tcW w:w="20" w:type="dxa"/>
            <w:vAlign w:val="bottom"/>
          </w:tcPr>
          <w:p>
            <w:pPr>
              <w:spacing w:after="0"/>
              <w:rPr>
                <w:sz w:val="18"/>
                <w:szCs w:val="18"/>
                <w:color w:val="auto"/>
              </w:rPr>
            </w:pPr>
          </w:p>
        </w:tc>
      </w:tr>
      <w:tr>
        <w:trPr>
          <w:trHeight w:val="222"/>
        </w:trPr>
        <w:tc>
          <w:tcPr>
            <w:tcW w:w="5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8,442.0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63.33</w:t>
            </w:r>
          </w:p>
        </w:tc>
        <w:tc>
          <w:tcPr>
            <w:tcW w:w="2340" w:type="dxa"/>
            <w:vAlign w:val="bottom"/>
            <w:gridSpan w:val="3"/>
          </w:tcPr>
          <w:p>
            <w:pPr>
              <w:jc w:val="right"/>
              <w:ind w:right="380"/>
              <w:spacing w:after="0"/>
              <w:rPr>
                <w:sz w:val="20"/>
                <w:szCs w:val="20"/>
                <w:color w:val="auto"/>
              </w:rPr>
            </w:pPr>
            <w:r>
              <w:rPr>
                <w:rFonts w:ascii="Arial" w:cs="Arial" w:eastAsia="Arial" w:hAnsi="Arial"/>
                <w:sz w:val="18"/>
                <w:szCs w:val="18"/>
                <w:color w:val="auto"/>
              </w:rPr>
              <w:t>8,442.0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3.1 to Schlumberger’s Quarterly Report on Form 10-Q for the fiscal quarter ended March 31,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5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Exhibit 10.1 - Schlumberger 2010 Stock Incentive Plan (incorporated by reference to Exhibit 10.1 to Schlumberger’s Current Report on Form 8-K filed with the SEC on April 9, 2010).</w:t>
      </w:r>
    </w:p>
    <w:p>
      <w:pPr>
        <w:spacing w:after="0" w:line="51"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Exhibit 10.2 - Schlumberger Discounted Stock Purchase Plan, as amended and restated January 1, 2010 (incorporated by reference to Exhibit 10.2 to Schlumberger’s Current Report on Form 8-K filed with the SEC on April 9, 2010).</w:t>
      </w:r>
    </w:p>
    <w:p>
      <w:pPr>
        <w:spacing w:after="0" w:line="51" w:lineRule="exact"/>
        <w:rPr>
          <w:sz w:val="20"/>
          <w:szCs w:val="20"/>
          <w:color w:val="auto"/>
        </w:rPr>
      </w:pPr>
    </w:p>
    <w:p>
      <w:pPr>
        <w:ind w:left="460" w:right="400" w:firstLine="4"/>
        <w:spacing w:after="0" w:line="268" w:lineRule="auto"/>
        <w:tabs>
          <w:tab w:leader="none" w:pos="5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460" w:firstLine="4"/>
        <w:spacing w:after="0" w:line="268" w:lineRule="auto"/>
        <w:tabs>
          <w:tab w:leader="none" w:pos="5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120" w:firstLine="4"/>
        <w:spacing w:after="0" w:line="268" w:lineRule="auto"/>
        <w:tabs>
          <w:tab w:leader="none" w:pos="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60" w:firstLine="4"/>
        <w:spacing w:after="0" w:line="268" w:lineRule="auto"/>
        <w:tabs>
          <w:tab w:leader="none" w:pos="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jc w:val="both"/>
        <w:ind w:left="460" w:firstLine="4"/>
        <w:spacing w:after="0" w:line="306" w:lineRule="auto"/>
        <w:tabs>
          <w:tab w:leader="none" w:pos="6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Exhibit 101 - The following materials from Schlumberger Limited’s Quarterly Report on Form 10-Q for the quarter ended June 30, 2010, formatted in XBRL (Extensible Business Reporting Language): (i) Consolidated Statement of Income, (ii) Consolidated Balance Sheet, (iii) Consolidated Statement of Cash Flows, (iv) Consolidated Statement of Equity and (v) Notes to Consolidated Financial Statements, tagged as blocks of text.</w:t>
      </w:r>
    </w:p>
    <w:p>
      <w:pPr>
        <w:spacing w:after="0" w:line="9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-292735</wp:posOffset>
            </wp:positionV>
            <wp:extent cx="720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8"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July 29, 2010</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1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240" w:top="459" w:right="7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July 29, 2010</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Gould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July 29,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2010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July 29, 2010</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Gould</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2010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July 29, 2010</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3"/>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4"/>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6"/>
    </w:lvl>
  </w:abstractNum>
  <w:abstractNum w:abstractNumId="8">
    <w:nsid w:val="257130A3"/>
    <w:multiLevelType w:val="hybridMultilevel"/>
    <w:lvl w:ilvl="0">
      <w:lvlJc w:val="left"/>
      <w:lvlText w:val="%1."/>
      <w:numFmt w:val="decimal"/>
      <w:start w:val="7"/>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emdash "/>
      <w:numFmt w:val="bullet"/>
      <w:start w:val="1"/>
    </w:lvl>
    <w:lvl w:ilvl="1">
      <w:lvlJc w:val="left"/>
      <w:lvlText w:val="3"/>
      <w:numFmt w:val="bullet"/>
      <w:start w:val="1"/>
    </w:lvl>
  </w:abstractNum>
  <w:abstractNum w:abstractNumId="15">
    <w:nsid w:val="2D1D5AE9"/>
    <w:multiLevelType w:val="hybridMultilevel"/>
    <w:lvl w:ilvl="0">
      <w:lvlJc w:val="left"/>
      <w:lvlText w:val="%1."/>
      <w:numFmt w:val="decimal"/>
      <w:start w:val="13"/>
    </w:lvl>
  </w:abstractNum>
  <w:abstractNum w:abstractNumId="16">
    <w:nsid w:val="6763845E"/>
    <w:multiLevelType w:val="hybridMultilevel"/>
    <w:lvl w:ilvl="0">
      <w:lvlJc w:val="left"/>
      <w:lvlText w:val="%1."/>
      <w:numFmt w:val="decimal"/>
      <w:start w:val="14"/>
    </w:lvl>
  </w:abstractNum>
  <w:abstractNum w:abstractNumId="17">
    <w:nsid w:val="75A2A8D4"/>
    <w:multiLevelType w:val="hybridMultilevel"/>
    <w:lvl w:ilvl="0">
      <w:lvlJc w:val="left"/>
      <w:lvlText w:val="%1."/>
      <w:numFmt w:val="decimal"/>
      <w:start w:val="15"/>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6"/>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lvl w:ilvl="1">
      <w:lvlJc w:val="left"/>
      <w:lvlText w:val="**"/>
      <w:numFmt w:val="bullet"/>
      <w:start w:val="1"/>
    </w:lvl>
  </w:abstractNum>
  <w:abstractNum w:abstractNumId="27">
    <w:nsid w:val="2901D82"/>
    <w:multiLevelType w:val="hybridMultilevel"/>
    <w:lvl w:ilvl="0">
      <w:lvlJc w:val="left"/>
      <w:lvlText w:val="**"/>
      <w:numFmt w:val="bullet"/>
      <w:start w:val="1"/>
    </w:lvl>
    <w:lvl w:ilvl="1">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2019-12-10T03:08:37Z</dcterms:created>
  <dcterms:modified xsi:type="dcterms:W3CDTF">2019-12-10T03:08:37Z</dcterms:modified>
</cp:coreProperties>
</file>