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239"/>
        <w:spacing w:after="0"/>
        <w:rPr>
          <w:sz w:val="20"/>
          <w:szCs w:val="20"/>
          <w:color w:val="auto"/>
        </w:rPr>
      </w:pPr>
      <w:r>
        <w:rPr>
          <w:rFonts w:ascii="Courier New" w:cs="Courier New" w:eastAsia="Courier New" w:hAnsi="Courier New"/>
          <w:sz w:val="15"/>
          <w:szCs w:val="15"/>
          <w:color w:val="auto"/>
        </w:rPr>
        <w:t>2001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(Mark One)</w:t>
      </w:r>
    </w:p>
    <w:p>
      <w:pPr>
        <w:spacing w:after="0" w:line="166" w:lineRule="exact"/>
        <w:rPr>
          <w:sz w:val="24"/>
          <w:szCs w:val="24"/>
          <w:color w:val="auto"/>
        </w:rPr>
      </w:pPr>
    </w:p>
    <w:p>
      <w:pPr>
        <w:ind w:left="1400" w:hanging="516"/>
        <w:spacing w:after="0"/>
        <w:tabs>
          <w:tab w:leader="none" w:pos="14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0"/>
        <w:spacing w:after="0" w:line="238"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For fiscal year ended December 31, 2001</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OR</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TRANSITION REPORT PURSUANT TO SECTION 13 OR 15(d) OF THE</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For the Transition period from ___________to __________</w:t>
      </w:r>
    </w:p>
    <w:p>
      <w:pPr>
        <w:ind w:left="2280"/>
        <w:spacing w:after="0" w:line="237" w:lineRule="auto"/>
        <w:rPr>
          <w:sz w:val="20"/>
          <w:szCs w:val="20"/>
          <w:color w:val="auto"/>
        </w:rPr>
      </w:pPr>
      <w:r>
        <w:rPr>
          <w:rFonts w:ascii="Courier New" w:cs="Courier New" w:eastAsia="Courier New" w:hAnsi="Courier New"/>
          <w:sz w:val="15"/>
          <w:szCs w:val="15"/>
          <w:color w:val="auto"/>
        </w:rPr>
        <w:t>Commission File Number 1-4601</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Schlumberger N.V. (Schlumberger Limited)</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Netherlands Antilles</w:t>
            </w:r>
          </w:p>
        </w:tc>
        <w:tc>
          <w:tcPr>
            <w:tcW w:w="18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52-0684746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153 East 53 Street, 57th Floor</w:t>
            </w:r>
          </w:p>
        </w:tc>
        <w:tc>
          <w:tcPr>
            <w:tcW w:w="188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New York, U.S.A.</w:t>
            </w: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10022-4624</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42, rue Saint-Dominique</w:t>
            </w:r>
          </w:p>
        </w:tc>
        <w:tc>
          <w:tcPr>
            <w:tcW w:w="188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Paris, France</w:t>
            </w:r>
          </w:p>
        </w:tc>
        <w:tc>
          <w:tcPr>
            <w:tcW w:w="188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75007</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Parkstraat 83,</w:t>
            </w:r>
          </w:p>
        </w:tc>
        <w:tc>
          <w:tcPr>
            <w:tcW w:w="188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Hague,</w:t>
            </w:r>
          </w:p>
        </w:tc>
        <w:tc>
          <w:tcPr>
            <w:tcW w:w="18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Netherlands</w:t>
            </w: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2514 JG</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(Addresses of principal executive offices)</w:t>
            </w:r>
          </w:p>
        </w:tc>
        <w:tc>
          <w:tcPr>
            <w:tcW w:w="1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(Zip Codes)</w:t>
            </w:r>
          </w:p>
        </w:tc>
      </w:tr>
    </w:tbl>
    <w:p>
      <w:pPr>
        <w:spacing w:after="0" w:line="341"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Registrant's telephone number in the United States, including area code, is:</w:t>
      </w:r>
    </w:p>
    <w:p>
      <w:pPr>
        <w:spacing w:after="0" w:line="3" w:lineRule="exact"/>
        <w:rPr>
          <w:sz w:val="24"/>
          <w:szCs w:val="24"/>
          <w:color w:val="auto"/>
        </w:rPr>
      </w:pPr>
    </w:p>
    <w:p>
      <w:pPr>
        <w:ind w:left="3420" w:hanging="524"/>
        <w:spacing w:after="0"/>
        <w:tabs>
          <w:tab w:leader="none" w:pos="34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350-9400</w:t>
      </w:r>
    </w:p>
    <w:p>
      <w:pPr>
        <w:spacing w:after="0" w:line="166" w:lineRule="exact"/>
        <w:rPr>
          <w:rFonts w:ascii="Courier New" w:cs="Courier New" w:eastAsia="Courier New" w:hAnsi="Courier New"/>
          <w:sz w:val="15"/>
          <w:szCs w:val="15"/>
          <w:color w:val="auto"/>
        </w:rPr>
      </w:pPr>
    </w:p>
    <w:p>
      <w:pPr>
        <w:ind w:left="2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(Cover page 1 of 2 pages)</w:t>
      </w:r>
    </w:p>
    <w:p>
      <w:pPr>
        <w:sectPr>
          <w:pgSz w:w="11900" w:h="16838" w:orient="portrait"/>
          <w:cols w:equalWidth="0" w:num="1">
            <w:col w:w="10239"/>
          </w:cols>
          <w:pgMar w:left="220" w:top="561" w:right="1440" w:bottom="1440" w:gutter="0" w:footer="0" w:header="0"/>
        </w:sectPr>
      </w:pPr>
    </w:p>
    <w:bookmarkStart w:id="1" w:name="page2"/>
    <w:bookmarkEnd w:id="1"/>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792"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each exchange on which registered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440" w:space="720"/>
            <w:col w:w="7079"/>
          </w:cols>
          <w:pgMar w:left="220" w:top="79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Par Value $0.01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237" w:lineRule="auto"/>
        <w:rPr>
          <w:sz w:val="20"/>
          <w:szCs w:val="20"/>
          <w:color w:val="auto"/>
        </w:rPr>
      </w:pPr>
      <w:r>
        <w:rPr>
          <w:rFonts w:ascii="Courier New" w:cs="Courier New" w:eastAsia="Courier New" w:hAnsi="Courier New"/>
          <w:sz w:val="15"/>
          <w:szCs w:val="15"/>
          <w:color w:val="auto"/>
        </w:rPr>
        <w:t>Euronext Paris</w:t>
      </w:r>
    </w:p>
    <w:p>
      <w:pPr>
        <w:spacing w:after="0" w:line="238" w:lineRule="auto"/>
        <w:rPr>
          <w:sz w:val="20"/>
          <w:szCs w:val="20"/>
          <w:color w:val="auto"/>
        </w:rPr>
      </w:pPr>
      <w:r>
        <w:rPr>
          <w:rFonts w:ascii="Courier New" w:cs="Courier New" w:eastAsia="Courier New" w:hAnsi="Courier New"/>
          <w:sz w:val="15"/>
          <w:szCs w:val="15"/>
          <w:color w:val="auto"/>
        </w:rPr>
        <w:t>Euronext Amsterdam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London Stock Exchange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SWX Swiss Exchange</w:t>
      </w:r>
    </w:p>
    <w:p>
      <w:pPr>
        <w:spacing w:after="0" w:line="200" w:lineRule="exact"/>
        <w:rPr>
          <w:sz w:val="20"/>
          <w:szCs w:val="20"/>
          <w:color w:val="auto"/>
        </w:rPr>
      </w:pPr>
    </w:p>
    <w:p>
      <w:pPr>
        <w:sectPr>
          <w:pgSz w:w="11900" w:h="16838" w:orient="portrait"/>
          <w:cols w:equalWidth="0" w:num="2">
            <w:col w:w="2620" w:space="720"/>
            <w:col w:w="6899"/>
          </w:cols>
          <w:pgMar w:left="220" w:top="792" w:right="1440" w:bottom="1440" w:gutter="0" w:footer="0" w:header="0"/>
          <w:type w:val="continuous"/>
        </w:sectPr>
      </w:pPr>
    </w:p>
    <w:p>
      <w:pPr>
        <w:spacing w:after="0" w:line="1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792" w:right="1440" w:bottom="1440" w:gutter="0" w:footer="0" w:header="0"/>
          <w:type w:val="continuous"/>
        </w:sectPr>
      </w:pP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w:t>
      </w:r>
    </w:p>
    <w:p>
      <w:pPr>
        <w:spacing w:after="0" w:line="368" w:lineRule="exact"/>
        <w:rPr>
          <w:sz w:val="20"/>
          <w:szCs w:val="20"/>
          <w:color w:val="auto"/>
        </w:rPr>
      </w:pPr>
    </w:p>
    <w:p>
      <w:pPr>
        <w:sectPr>
          <w:pgSz w:w="11900" w:h="16838" w:orient="portrait"/>
          <w:cols w:equalWidth="0" w:num="3">
            <w:col w:w="1060" w:space="180"/>
            <w:col w:w="1720" w:space="720"/>
            <w:col w:w="6559"/>
          </w:cols>
          <w:pgMar w:left="220" w:top="792" w:right="1440" w:bottom="1440" w:gutter="0" w:footer="0" w:header="0"/>
          <w:type w:val="continuous"/>
        </w:sectPr>
      </w:pPr>
    </w:p>
    <w:p>
      <w:pPr>
        <w:spacing w:after="0" w:line="14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[X]</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 of February 21, 2002, the aggregate market value of the voting stock held by non-affiliates, calculated on the basis of the closing price on the NYSE Composite Tape, was $30,563,780,774.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February 21, 2002, Number of Shares of Common Stock Outstanding:</w:t>
      </w:r>
    </w:p>
    <w:p>
      <w:pPr>
        <w:spacing w:after="0" w:line="237" w:lineRule="auto"/>
        <w:rPr>
          <w:sz w:val="20"/>
          <w:szCs w:val="20"/>
          <w:color w:val="auto"/>
        </w:rPr>
      </w:pPr>
      <w:r>
        <w:rPr>
          <w:rFonts w:ascii="Courier New" w:cs="Courier New" w:eastAsia="Courier New" w:hAnsi="Courier New"/>
          <w:sz w:val="15"/>
          <w:szCs w:val="15"/>
          <w:color w:val="auto"/>
        </w:rPr>
        <w:t>576,234,851.</w:t>
      </w: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Portions of the following documents have been incorporated herein by reference into the Parts indicated:</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Definitive Proxy Statement for the Annual</w:t>
      </w:r>
    </w:p>
    <w:p>
      <w:pPr>
        <w:ind w:left="1680"/>
        <w:spacing w:after="0" w:line="237" w:lineRule="auto"/>
        <w:rPr>
          <w:sz w:val="20"/>
          <w:szCs w:val="20"/>
          <w:color w:val="auto"/>
        </w:rPr>
      </w:pPr>
      <w:r>
        <w:rPr>
          <w:rFonts w:ascii="Courier New" w:cs="Courier New" w:eastAsia="Courier New" w:hAnsi="Courier New"/>
          <w:sz w:val="15"/>
          <w:szCs w:val="15"/>
          <w:color w:val="auto"/>
        </w:rPr>
        <w:t>General Meeting of Stockholders to be held</w:t>
      </w:r>
    </w:p>
    <w:p>
      <w:pPr>
        <w:ind w:left="1580"/>
        <w:spacing w:after="0" w:line="238" w:lineRule="auto"/>
        <w:rPr>
          <w:sz w:val="20"/>
          <w:szCs w:val="20"/>
          <w:color w:val="auto"/>
        </w:rPr>
      </w:pPr>
      <w:r>
        <w:rPr>
          <w:rFonts w:ascii="Courier New" w:cs="Courier New" w:eastAsia="Courier New" w:hAnsi="Courier New"/>
          <w:sz w:val="15"/>
          <w:szCs w:val="15"/>
          <w:color w:val="auto"/>
        </w:rPr>
        <w:t>April 10, 2002 ("Proxy Statement"), Part III.</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(Cover page 2 of 2 pages)</w:t>
      </w:r>
    </w:p>
    <w:p>
      <w:pPr>
        <w:sectPr>
          <w:pgSz w:w="11900" w:h="16838" w:orient="portrait"/>
          <w:cols w:equalWidth="0" w:num="1">
            <w:col w:w="10239"/>
          </w:cols>
          <w:pgMar w:left="220" w:top="792"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953"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700" w:space="540"/>
            <w:col w:w="8999"/>
          </w:cols>
          <w:pgMar w:left="220" w:top="953" w:right="1440" w:bottom="1440" w:gutter="0" w:footer="0" w:header="0"/>
          <w:type w:val="continuous"/>
        </w:sectPr>
      </w:pPr>
    </w:p>
    <w:p>
      <w:pPr>
        <w:ind w:right="3399"/>
        <w:spacing w:after="0" w:line="254" w:lineRule="auto"/>
        <w:rPr>
          <w:sz w:val="20"/>
          <w:szCs w:val="20"/>
          <w:color w:val="auto"/>
        </w:rPr>
      </w:pPr>
      <w:r>
        <w:rPr>
          <w:rFonts w:ascii="Courier New" w:cs="Courier New" w:eastAsia="Courier New" w:hAnsi="Courier New"/>
          <w:sz w:val="14"/>
          <w:szCs w:val="14"/>
          <w:color w:val="auto"/>
        </w:rPr>
        <w:t>All references herein to "Registrant" and "Company" refer to Schlumberger Limited and its consolidated subsidiaries. Registrant operates two businesses:</w:t>
      </w:r>
    </w:p>
    <w:p>
      <w:pPr>
        <w:spacing w:after="0" w:line="1" w:lineRule="exact"/>
        <w:rPr>
          <w:sz w:val="20"/>
          <w:szCs w:val="20"/>
          <w:color w:val="auto"/>
        </w:rPr>
      </w:pPr>
    </w:p>
    <w:p>
      <w:pPr>
        <w:ind w:right="3579" w:firstLine="10"/>
        <w:spacing w:after="0" w:line="235"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Oilfield Services and (2) SchlumbergerSema. The following discussion and analysis of results should be read in conjunction with the Consolidated Financial Statements.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Oilfield Services is the leading provider of exploration and production (E&amp;P) services, solutions and technology to the international petroleum industry. Schlumberger Oilfield Services manages its business through 28 GeoMarket* regions grouped into three geographic areas: North and South America, Europe/CIS/Africa, and the Middle East and Asia. The GeoMarket units bring together geographically focused teams to meet local needs and provide customized solutions.</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To manage new technology development, a variety of service segments capitalize on technical synergies and introduce innovative solutions within the GeoMarket regions. Supporting the service segments are 13 technology centers and two research centers. The service segments reflect key areas of Schlumberger expertise and are organized into two product groups: Reservoir Evaluation and Development and Schlumberger Information Solutions.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Reservoir Evaluation and Development group combines wireline, seismic and all services relevant to well construction, completions and productivity. These services include directional and MWD/LWD drilling, drilling bits, pressure pumping, artificial lift, testing, completions and Integrated Project Management (IPM).</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Information Solutions (SIS) draws on the expertise and services of Data &amp; Consulting Services, GeoQuest and Schlumberger Network Solutions (SNS) to provide information management capabilities, advanced software systems, IT infrastructure and a complete range of expert services to customers. These include secure IT infrastructure solutions, software applications, information management and expert products and services. In addition, SNS provides global connectivity and integrated information security solutions to a variety of other industries.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Registrant's oilfield services are marketed by its own personnel. The customer base, business risks and opportunities for growth are essentially uniform across all services. There is a sharing of manufacturing and engineering facilities as well as research centers; labor force is interchangeable. Technological innovation, quality of service, and price are the principal methods of competition. Competition varies geographically with respect to the different services offered. While there are numerous competitors, both large and small, Registrant believes that it is an industry leader in providing seismic services, measurements-while-drilling and logging-while-drilling services, and fully computerized wireline logging and geoscience software and computing services. Land and marine seismic operations and technologies are managed and developed by WesternGeco, a Joint Venture between Schlumberger and Baker Hughes.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SchlumbergerSema is a leading information technology services company providing a unique combination of domain expertise and global capabilities delivered on a local basis. The company's proven capabilities include consulting, systems integration, managed services and products serving the telecommunications, energy &amp; utilities, finance, transport and public sector markets. The business segment also works closely with Schlumberger Network Solutions and Schlumberger Information Solutions to provide information technology (IT) solutions to the oil and gas industry.</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SchlumbergerSema delivers a wide range of mission-critical solutions based on three core practices: Consulting, Systems Integration and Managed Services. The Consulting practice includes strategic consulting, business process design, change management, technical consulting and program management. Systems Integration offers design and build of critical business systems integrating legacy systems with leading-edge technology from initial specifications to final</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type w:val="continuous"/>
        </w:sectPr>
      </w:pPr>
    </w:p>
    <w:bookmarkStart w:id="3" w:name="page4"/>
    <w:bookmarkEnd w:id="3"/>
    <w:p>
      <w:pPr>
        <w:ind w:right="3579"/>
        <w:spacing w:after="0" w:line="235" w:lineRule="auto"/>
        <w:rPr>
          <w:sz w:val="20"/>
          <w:szCs w:val="20"/>
          <w:color w:val="auto"/>
        </w:rPr>
      </w:pPr>
      <w:r>
        <w:rPr>
          <w:rFonts w:ascii="Courier New" w:cs="Courier New" w:eastAsia="Courier New" w:hAnsi="Courier New"/>
          <w:sz w:val="15"/>
          <w:szCs w:val="15"/>
          <w:color w:val="auto"/>
        </w:rPr>
        <w:t>deployment. Managed Services provides complete management of the customers' business processes and infrastructure, including operation of help desks and data centers through to outsourced network infrastructure management and business continuity support.</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addition, SchlumbergerSema offers a broad portfolio of products, services and technology solutions including: enterprise software systems, such as billing, customer relationship management and trading systems; smart cards; Web payphones and point-of-sale, parking and mass transit terminals.</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SchlumbergerSema was formed in April 2001, when wholly-owned subsidiaries of Schlumberger Limited acquired Sema plc and combined it with certain businesses of Schlumberger Test &amp; Transactions and Resource Management Services including Bull CP8, CellNet and Convergent Group. SchlumbergerSema manages its business through twelve GeoMarket regions with offices strategically located to ensure that the company's staff of experts is always readily available to provide customers with the highest level of support and service.</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IT services market is highly competitive and fragmented. It is not dominated by a single player and a substantial number of companies provide similar services to ourselves. Our competitors include the major IT consulting companies, IT services and product suppliers and major IT outsourcing companies.</w:t>
      </w:r>
    </w:p>
    <w:p>
      <w:pPr>
        <w:spacing w:after="0" w:line="16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continuing ability of SchlumbergerSema to compete effectively depends primarily on the skills and capability of our people to offer innovative and price effective solutions and services to meet our clients' rapidly changing needs.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Information on acquisitions made by the Registrant or its subsidiaries appears under the heading "Acquisitions" on page 39 of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Development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Research to support the engineering and development efforts of Registrant's activities is conducted at Schlumberger Austin Product Center, Austin, Texas; Schlumberger Doll Research, Ridgefield, Connecticut; Schlumberger Cambridge Research, Cambridge, England, and at Montrouge, France; Stavanger, Norway; Moscow, Russia and Dhahran, Saudi Arabia.</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While Registrant seeks and holds numerous patents, no particular patent or group of patents is considered material to Registrant's business.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predominantly in the Northern Hemisphere, severe winter weather can temporarily affect the delivery of such services and products in the winter months.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and Backlog of Orders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No single customer exceeded 10% of consolidated revenue. Oilfield Services has no backlog since it is primarily service rather than product related. SchlumbergerSema backlog at December 31, 2001 was $4.3 billion of which $1.5 billion is the next twelve month backlog. At December 31, 2000, the aggregate backlog of the former Resource Management Services and Test &amp; Transactions segments, including businesses sold in 2001, was $2.3 billion of which $890 million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4" w:name="page5"/>
    <w:bookmarkEnd w:id="4"/>
    <w:p>
      <w:pPr>
        <w:ind w:right="3319"/>
        <w:spacing w:after="0" w:line="261" w:lineRule="auto"/>
        <w:rPr>
          <w:sz w:val="20"/>
          <w:szCs w:val="20"/>
          <w:color w:val="auto"/>
        </w:rPr>
      </w:pPr>
      <w:r>
        <w:rPr>
          <w:rFonts w:ascii="Courier New" w:cs="Courier New" w:eastAsia="Courier New" w:hAnsi="Courier New"/>
          <w:sz w:val="14"/>
          <w:szCs w:val="14"/>
          <w:color w:val="auto"/>
        </w:rPr>
        <w:t>was the next twelve month backlog. The orders are believed to be firm but there is no assurance that any of the current backlog will actually result in sales.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No material portion of Registrant's business is subject to renegotiation of profits or termination of contracts by the US Government.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2001, Registrant had approximately 81,000 employees.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Registrant's non-US operations are subject to the usual risks which may affect such operations. Such risks include unsettled political conditions in certain areas, exposure to possible expropriation or other governmental actions, exchange controls, and currency fluctuations. Although it is impossible to predict such occurrences or their effect on the Registrant, management believes these risks to be acceptable.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Protection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Compliance with governmental provisions relating to the protection of the environment does not materially affect Registrant's capital expenditures, earnings or competitive position.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Financial information by segment for the years ended December 31, 2001, 2000 and 1999 is given on pages 47, 48 and 49 of this report, within the "Notes to Consolidated Financial Statements".</w:t>
      </w:r>
    </w:p>
    <w:p>
      <w:pPr>
        <w:sectPr>
          <w:pgSz w:w="11900" w:h="16838" w:orient="portrait"/>
          <w:cols w:equalWidth="0" w:num="1">
            <w:col w:w="10239"/>
          </w:cols>
          <w:pgMar w:left="220" w:top="624"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700" w:space="540"/>
            <w:col w:w="8999"/>
          </w:cols>
          <w:pgMar w:left="220" w:top="624" w:right="1440" w:bottom="1440" w:gutter="0" w:footer="0" w:header="0"/>
          <w:type w:val="continuous"/>
        </w:sectPr>
      </w:pPr>
    </w:p>
    <w:p>
      <w:pPr>
        <w:ind w:right="3319"/>
        <w:spacing w:after="0" w:line="236" w:lineRule="auto"/>
        <w:rPr>
          <w:sz w:val="20"/>
          <w:szCs w:val="20"/>
          <w:color w:val="auto"/>
        </w:rPr>
      </w:pPr>
      <w:r>
        <w:rPr>
          <w:rFonts w:ascii="Courier New" w:cs="Courier New" w:eastAsia="Courier New" w:hAnsi="Courier New"/>
          <w:sz w:val="15"/>
          <w:szCs w:val="15"/>
          <w:color w:val="auto"/>
        </w:rPr>
        <w:t>Registrant owns or leases manufacturing facilities, administrative offices, service centers, research centers, sales offices and warehouses in North and South America, Europe, Africa, Asia and Australia. Some facilities are owned in fee and some are held through long-term leases. No significant lease is scheduled to terminate in the near future, and Registrant believes comparable space is readily obtainable should any lease expire without renewal. Registrant believes all of its properties are generally well maintained and adequate for the intended use.</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principal manufacturing facilities related to Oilfield Services are owned in fee or leased. Outside of the United States, they are located at Stonehouse, England; Clamart, France; Fuchinobe, Japan; Belfast, Northern Ireland; Bergen, Norway; Inverurie, Scotland; Southampton, England; Calgary and Edmonton, Canada and in Singapore.</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Within the United States, the principal manufacturing facilities of Oilfield Services are located in Lawrence, Kansas; Bartlesville, Oklahoma; Houston, La Marque, Rosharon, and Sugar Land, Texas.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Within the United States, the principal owned or leased facilities of SchlumbergerSema are located in San Carlos, California; Denver, Colorado; Wilmington, Delaware; Miami, Florida; Atlanta, Georgia; Owings Mills, Maryland; Boston, Massachussetts; Jersey City and Moorestown, New Jersey; Oconee, South Carolina; Austin and Houston, Texas; Salt Late City, Utah.</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Outside the United States, the principal owned or leased facilities of SchlumbergerSema are located in Buenos Aires, Argentina; Sydney, Australia; Brussels, Belgium; Curitiba and Sao Paulo, Brazil; Toronto and Quebec, Canada; Santiago, Chile; Beijing, Changsha, Guangzho, Hong Kong and Shanghai, China; Bogota, Colombia; San Jose, Costa Rica; Copenhagen, Denmark; Besancon, Chambray-les-Tours, Louveciennes, Montrouge, Orleans, Pont Audemer, Sophia</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type w:val="continuous"/>
        </w:sectPr>
      </w:pPr>
    </w:p>
    <w:bookmarkStart w:id="5" w:name="page6"/>
    <w:bookmarkEnd w:id="5"/>
    <w:p>
      <w:pPr>
        <w:ind w:right="3499"/>
        <w:spacing w:after="0" w:line="255" w:lineRule="auto"/>
        <w:rPr>
          <w:sz w:val="20"/>
          <w:szCs w:val="20"/>
          <w:color w:val="auto"/>
        </w:rPr>
      </w:pPr>
      <w:r>
        <w:rPr>
          <w:rFonts w:ascii="Courier New" w:cs="Courier New" w:eastAsia="Courier New" w:hAnsi="Courier New"/>
          <w:sz w:val="14"/>
          <w:szCs w:val="14"/>
          <w:color w:val="auto"/>
        </w:rPr>
        <w:t>Antopolis and St. Etienne, France; Dreiech, Dusseldorf, Hamburg and Munich, Germany; Calcutta, Mumbai and New Delhi, India; Jakarta, Indonesia; Dublin, Ireland; Milan, Pont St. Martin, Naples, Rome and Turin, Italy; Tokyo, Japan; Seoul, Korea; Kuala Lumpur, Malaysia; Mexico City, Mexico; Asker and Oslo, Norway; Singapore; Cape Town and Johannesburg, South Africa; Barcelona and Madrid, Spain; Kiruna and Stockholm, Sweden; Geneva and Zurich, Switzerland; Taipei, Taiwan; Bangkok, Thailand; Birmingham, London, Reading and Wilmslow, United Kingdom.</w:t>
      </w:r>
    </w:p>
    <w:p>
      <w:pPr>
        <w:spacing w:after="0" w:line="15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tabs>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information with respect to Item 3 is set forth under the heading "Contingencies" (page 47 of this Report) within the "Notes to Consolidated Financial Statements" as part of Item 8, "Financial Statements and Supplementary Data".</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tabs>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 matters were submitted to a vote of Registrant's security holders during the fourth quarter of the fiscal year covered by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Information with respect to the executive officers of the Registrant and their ages as of February 28, 2002 is set forth below. The positions have been held for at least five years, except where stated.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Age</w:t>
            </w:r>
          </w:p>
        </w:tc>
        <w:tc>
          <w:tcPr>
            <w:tcW w:w="4760" w:type="dxa"/>
            <w:vAlign w:val="bottom"/>
          </w:tcPr>
          <w:p>
            <w:pPr>
              <w:ind w:left="140"/>
              <w:spacing w:after="0"/>
              <w:rPr>
                <w:sz w:val="20"/>
                <w:szCs w:val="20"/>
                <w:color w:val="auto"/>
              </w:rPr>
            </w:pPr>
            <w:r>
              <w:rPr>
                <w:rFonts w:ascii="Courier New" w:cs="Courier New" w:eastAsia="Courier New" w:hAnsi="Courier New"/>
                <w:sz w:val="15"/>
                <w:szCs w:val="15"/>
                <w:color w:val="auto"/>
              </w:rPr>
              <w:t>Present Position and Five-Year Business Experience</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210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64</w:t>
            </w:r>
          </w:p>
        </w:tc>
        <w:tc>
          <w:tcPr>
            <w:tcW w:w="4760" w:type="dxa"/>
            <w:vAlign w:val="bottom"/>
          </w:tcPr>
          <w:p>
            <w:pPr>
              <w:ind w:left="140"/>
              <w:spacing w:after="0"/>
              <w:rPr>
                <w:sz w:val="20"/>
                <w:szCs w:val="20"/>
                <w:color w:val="auto"/>
              </w:rPr>
            </w:pPr>
            <w:r>
              <w:rPr>
                <w:rFonts w:ascii="Courier New" w:cs="Courier New" w:eastAsia="Courier New" w:hAnsi="Courier New"/>
                <w:sz w:val="15"/>
                <w:szCs w:val="15"/>
                <w:color w:val="auto"/>
              </w:rPr>
              <w:t>Chairman, President and Chief Executive Officer.</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Jack Liu</w:t>
            </w: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52</w:t>
            </w:r>
          </w:p>
        </w:tc>
        <w:tc>
          <w:tcPr>
            <w:tcW w:w="4760" w:type="dxa"/>
            <w:vAlign w:val="bottom"/>
          </w:tcPr>
          <w:p>
            <w:pPr>
              <w:ind w:left="140"/>
              <w:spacing w:after="0"/>
              <w:rPr>
                <w:sz w:val="20"/>
                <w:szCs w:val="20"/>
                <w:color w:val="auto"/>
              </w:rPr>
            </w:pPr>
            <w:r>
              <w:rPr>
                <w:rFonts w:ascii="Courier New" w:cs="Courier New" w:eastAsia="Courier New" w:hAnsi="Courier New"/>
                <w:sz w:val="15"/>
                <w:szCs w:val="15"/>
                <w:color w:val="auto"/>
                <w:w w:val="96"/>
              </w:rPr>
              <w:t>Executive Vice President and Chief Financial Officer,</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since January 1999;</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Controller, July 1998 to December 31,1998;</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President - Measurement &amp; Systems Asia,</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October 1993 to June 1998.</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Andrew Gould</w:t>
            </w: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55</w:t>
            </w:r>
          </w:p>
        </w:tc>
        <w:tc>
          <w:tcPr>
            <w:tcW w:w="476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 Oilfield Services,</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since January 1999;</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Executive Vice President - OFS Products,</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February 1998 to January 1999;</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President - Wireline &amp; Testing,</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October 1993 to February 1998.</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Irwin Pfister</w:t>
            </w: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57</w:t>
            </w:r>
          </w:p>
        </w:tc>
        <w:tc>
          <w:tcPr>
            <w:tcW w:w="476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SchlumbergerSema,</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since April 2001;</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Executive Vice President - Test &amp; Transactions,</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June 1997 to April 2001;</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General Manager - Automated Test Equipment,</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June 1997 and prior.</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James L. Gunderson</w:t>
            </w: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46</w:t>
            </w:r>
          </w:p>
        </w:tc>
        <w:tc>
          <w:tcPr>
            <w:tcW w:w="4760" w:type="dxa"/>
            <w:vAlign w:val="bottom"/>
          </w:tcPr>
          <w:p>
            <w:pPr>
              <w:ind w:left="140"/>
              <w:spacing w:after="0"/>
              <w:rPr>
                <w:sz w:val="20"/>
                <w:szCs w:val="20"/>
                <w:color w:val="auto"/>
              </w:rPr>
            </w:pPr>
            <w:r>
              <w:rPr>
                <w:rFonts w:ascii="Courier New" w:cs="Courier New" w:eastAsia="Courier New" w:hAnsi="Courier New"/>
                <w:sz w:val="15"/>
                <w:szCs w:val="15"/>
                <w:color w:val="auto"/>
              </w:rPr>
              <w:t>Secretary and General Counsel,</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since January 1999;</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Deputy General Counsel,</w:t>
            </w:r>
          </w:p>
        </w:tc>
      </w:tr>
      <w:tr>
        <w:trPr>
          <w:trHeight w:val="168"/>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October 1994 to January 1999.</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Ashok Belani</w:t>
            </w: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43</w:t>
            </w:r>
          </w:p>
        </w:tc>
        <w:tc>
          <w:tcPr>
            <w:tcW w:w="4760" w:type="dxa"/>
            <w:vAlign w:val="bottom"/>
          </w:tcPr>
          <w:p>
            <w:pPr>
              <w:ind w:left="140"/>
              <w:spacing w:after="0"/>
              <w:rPr>
                <w:sz w:val="20"/>
                <w:szCs w:val="20"/>
                <w:color w:val="auto"/>
              </w:rPr>
            </w:pPr>
            <w:r>
              <w:rPr>
                <w:rFonts w:ascii="Courier New" w:cs="Courier New" w:eastAsia="Courier New" w:hAnsi="Courier New"/>
                <w:sz w:val="15"/>
                <w:szCs w:val="15"/>
                <w:color w:val="auto"/>
              </w:rPr>
              <w:t>Chief Information Officer since September 2001 and</w:t>
            </w:r>
          </w:p>
        </w:tc>
      </w:tr>
    </w:tbl>
    <w:p>
      <w:pPr>
        <w:jc w:val="right"/>
        <w:ind w:right="1659"/>
        <w:spacing w:after="0" w:line="237" w:lineRule="auto"/>
        <w:rPr>
          <w:sz w:val="20"/>
          <w:szCs w:val="20"/>
          <w:color w:val="auto"/>
        </w:rPr>
      </w:pPr>
      <w:r>
        <w:rPr>
          <w:rFonts w:ascii="Courier New" w:cs="Courier New" w:eastAsia="Courier New" w:hAnsi="Courier New"/>
          <w:sz w:val="15"/>
          <w:szCs w:val="15"/>
          <w:color w:val="auto"/>
        </w:rPr>
        <w:t>President Semiconductor Solutions since March 2000;</w:t>
      </w:r>
    </w:p>
    <w:p>
      <w:pPr>
        <w:ind w:left="3340"/>
        <w:spacing w:after="0" w:line="238" w:lineRule="auto"/>
        <w:rPr>
          <w:sz w:val="20"/>
          <w:szCs w:val="20"/>
          <w:color w:val="auto"/>
        </w:rPr>
      </w:pPr>
      <w:r>
        <w:rPr>
          <w:rFonts w:ascii="Courier New" w:cs="Courier New" w:eastAsia="Courier New" w:hAnsi="Courier New"/>
          <w:sz w:val="15"/>
          <w:szCs w:val="15"/>
          <w:color w:val="auto"/>
        </w:rPr>
        <w:t>Vice President Business Development, Test &amp; Transactions,</w:t>
      </w:r>
    </w:p>
    <w:p>
      <w:pPr>
        <w:ind w:left="4120"/>
        <w:spacing w:after="0" w:line="237" w:lineRule="auto"/>
        <w:rPr>
          <w:sz w:val="20"/>
          <w:szCs w:val="20"/>
          <w:color w:val="auto"/>
        </w:rPr>
      </w:pPr>
      <w:r>
        <w:rPr>
          <w:rFonts w:ascii="Courier New" w:cs="Courier New" w:eastAsia="Courier New" w:hAnsi="Courier New"/>
          <w:sz w:val="15"/>
          <w:szCs w:val="15"/>
          <w:color w:val="auto"/>
        </w:rPr>
        <w:t>September 1999 to March 2000;</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40" w:type="dxa"/>
            <w:vAlign w:val="bottom"/>
          </w:tcPr>
          <w:p>
            <w:pPr>
              <w:spacing w:after="0"/>
              <w:rPr>
                <w:sz w:val="14"/>
                <w:szCs w:val="14"/>
                <w:color w:val="auto"/>
              </w:rPr>
            </w:pPr>
          </w:p>
        </w:tc>
        <w:tc>
          <w:tcPr>
            <w:tcW w:w="960" w:type="dxa"/>
            <w:vAlign w:val="bottom"/>
          </w:tcPr>
          <w:p>
            <w:pPr>
              <w:ind w:left="400"/>
              <w:spacing w:after="0"/>
              <w:rPr>
                <w:sz w:val="20"/>
                <w:szCs w:val="20"/>
                <w:color w:val="auto"/>
              </w:rPr>
            </w:pPr>
            <w:r>
              <w:rPr>
                <w:rFonts w:ascii="Courier New" w:cs="Courier New" w:eastAsia="Courier New" w:hAnsi="Courier New"/>
                <w:sz w:val="15"/>
                <w:szCs w:val="15"/>
                <w:color w:val="auto"/>
              </w:rPr>
              <w:t>Age</w:t>
            </w:r>
          </w:p>
        </w:tc>
        <w:tc>
          <w:tcPr>
            <w:tcW w:w="5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Present Position and Five-Year Business Experience</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40" w:type="dxa"/>
            <w:vAlign w:val="bottom"/>
          </w:tcPr>
          <w:p>
            <w:pPr>
              <w:spacing w:after="0"/>
              <w:rPr>
                <w:sz w:val="14"/>
                <w:szCs w:val="14"/>
                <w:color w:val="auto"/>
              </w:rPr>
            </w:pPr>
          </w:p>
        </w:tc>
        <w:tc>
          <w:tcPr>
            <w:tcW w:w="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53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Vice President Marketing and Product Development,</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Oilfield Services, January 1999 to September 1999;</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Vice President Product Development, Oilfield Services,</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February 1998 to January 1999;</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w:t>
            </w: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Marketing and Product</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Development, Wireline and</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Testing, June 1995 to February</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r>
      <w:tr>
        <w:trPr>
          <w:trHeight w:val="336"/>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Pierre E. Bismuth</w:t>
            </w:r>
          </w:p>
        </w:tc>
        <w:tc>
          <w:tcPr>
            <w:tcW w:w="960" w:type="dxa"/>
            <w:vAlign w:val="bottom"/>
          </w:tcPr>
          <w:p>
            <w:pPr>
              <w:ind w:left="400"/>
              <w:spacing w:after="0"/>
              <w:rPr>
                <w:sz w:val="20"/>
                <w:szCs w:val="20"/>
                <w:color w:val="auto"/>
              </w:rPr>
            </w:pPr>
            <w:r>
              <w:rPr>
                <w:rFonts w:ascii="Courier New" w:cs="Courier New" w:eastAsia="Courier New" w:hAnsi="Courier New"/>
                <w:sz w:val="15"/>
                <w:szCs w:val="15"/>
                <w:color w:val="auto"/>
              </w:rPr>
              <w:t>57</w:t>
            </w:r>
          </w:p>
        </w:tc>
        <w:tc>
          <w:tcPr>
            <w:tcW w:w="5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Vice President - Personnel.</w:t>
            </w:r>
          </w:p>
        </w:tc>
      </w:tr>
      <w:tr>
        <w:trPr>
          <w:trHeight w:val="336"/>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Mark Danton</w:t>
            </w:r>
          </w:p>
        </w:tc>
        <w:tc>
          <w:tcPr>
            <w:tcW w:w="960" w:type="dxa"/>
            <w:vAlign w:val="bottom"/>
          </w:tcPr>
          <w:p>
            <w:pPr>
              <w:ind w:left="400"/>
              <w:spacing w:after="0"/>
              <w:rPr>
                <w:sz w:val="20"/>
                <w:szCs w:val="20"/>
                <w:color w:val="auto"/>
              </w:rPr>
            </w:pPr>
            <w:r>
              <w:rPr>
                <w:rFonts w:ascii="Courier New" w:cs="Courier New" w:eastAsia="Courier New" w:hAnsi="Courier New"/>
                <w:sz w:val="15"/>
                <w:szCs w:val="15"/>
                <w:color w:val="auto"/>
              </w:rPr>
              <w:t>45</w:t>
            </w:r>
          </w:p>
        </w:tc>
        <w:tc>
          <w:tcPr>
            <w:tcW w:w="5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Vice President - Director of Taxes,</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since January 1, 1999;</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Deputy Director of Taxes,</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January 1995 to January 1999.</w:t>
            </w:r>
          </w:p>
        </w:tc>
      </w:tr>
      <w:tr>
        <w:trPr>
          <w:trHeight w:val="336"/>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Philippe Lacour-Gayet</w:t>
            </w:r>
          </w:p>
        </w:tc>
        <w:tc>
          <w:tcPr>
            <w:tcW w:w="960" w:type="dxa"/>
            <w:vAlign w:val="bottom"/>
          </w:tcPr>
          <w:p>
            <w:pPr>
              <w:ind w:left="400"/>
              <w:spacing w:after="0"/>
              <w:rPr>
                <w:sz w:val="20"/>
                <w:szCs w:val="20"/>
                <w:color w:val="auto"/>
              </w:rPr>
            </w:pPr>
            <w:r>
              <w:rPr>
                <w:rFonts w:ascii="Courier New" w:cs="Courier New" w:eastAsia="Courier New" w:hAnsi="Courier New"/>
                <w:sz w:val="15"/>
                <w:szCs w:val="15"/>
                <w:color w:val="auto"/>
              </w:rPr>
              <w:t>54</w:t>
            </w:r>
          </w:p>
        </w:tc>
        <w:tc>
          <w:tcPr>
            <w:tcW w:w="5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Vice President and Chief Scientist, since</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January 2001; Chief Scientist, July 1997</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to January 2001; Vice President and</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General Manager Schlumberger Riboud</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Product Center, December 1995 to July 1997.</w:t>
            </w:r>
          </w:p>
        </w:tc>
      </w:tr>
      <w:tr>
        <w:trPr>
          <w:trHeight w:val="336"/>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J-D. Percevault</w:t>
            </w:r>
          </w:p>
        </w:tc>
        <w:tc>
          <w:tcPr>
            <w:tcW w:w="960" w:type="dxa"/>
            <w:vAlign w:val="bottom"/>
          </w:tcPr>
          <w:p>
            <w:pPr>
              <w:ind w:left="400"/>
              <w:spacing w:after="0"/>
              <w:rPr>
                <w:sz w:val="20"/>
                <w:szCs w:val="20"/>
                <w:color w:val="auto"/>
              </w:rPr>
            </w:pPr>
            <w:r>
              <w:rPr>
                <w:rFonts w:ascii="Courier New" w:cs="Courier New" w:eastAsia="Courier New" w:hAnsi="Courier New"/>
                <w:sz w:val="15"/>
                <w:szCs w:val="15"/>
                <w:color w:val="auto"/>
              </w:rPr>
              <w:t>56</w:t>
            </w:r>
          </w:p>
        </w:tc>
        <w:tc>
          <w:tcPr>
            <w:tcW w:w="5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Vice President - European Affairs.</w:t>
            </w:r>
          </w:p>
        </w:tc>
      </w:tr>
      <w:tr>
        <w:trPr>
          <w:trHeight w:val="336"/>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Jean-Marc Perraud</w:t>
            </w:r>
          </w:p>
        </w:tc>
        <w:tc>
          <w:tcPr>
            <w:tcW w:w="960" w:type="dxa"/>
            <w:vAlign w:val="bottom"/>
          </w:tcPr>
          <w:p>
            <w:pPr>
              <w:ind w:left="400"/>
              <w:spacing w:after="0"/>
              <w:rPr>
                <w:sz w:val="20"/>
                <w:szCs w:val="20"/>
                <w:color w:val="auto"/>
              </w:rPr>
            </w:pPr>
            <w:r>
              <w:rPr>
                <w:rFonts w:ascii="Courier New" w:cs="Courier New" w:eastAsia="Courier New" w:hAnsi="Courier New"/>
                <w:sz w:val="15"/>
                <w:szCs w:val="15"/>
                <w:color w:val="auto"/>
              </w:rPr>
              <w:t>54</w:t>
            </w:r>
          </w:p>
        </w:tc>
        <w:tc>
          <w:tcPr>
            <w:tcW w:w="5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Controller and Chief Accounting Officer,</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since April 2001;</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Treasurer, January 1999 to May 2001;</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Vice President - Director of Taxes,</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1993 through December 1998.</w:t>
            </w:r>
          </w:p>
        </w:tc>
      </w:tr>
      <w:tr>
        <w:trPr>
          <w:trHeight w:val="336"/>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Michel Soublin</w:t>
            </w:r>
          </w:p>
        </w:tc>
        <w:tc>
          <w:tcPr>
            <w:tcW w:w="960" w:type="dxa"/>
            <w:vAlign w:val="bottom"/>
          </w:tcPr>
          <w:p>
            <w:pPr>
              <w:ind w:left="400"/>
              <w:spacing w:after="0"/>
              <w:rPr>
                <w:sz w:val="20"/>
                <w:szCs w:val="20"/>
                <w:color w:val="auto"/>
              </w:rPr>
            </w:pPr>
            <w:r>
              <w:rPr>
                <w:rFonts w:ascii="Courier New" w:cs="Courier New" w:eastAsia="Courier New" w:hAnsi="Courier New"/>
                <w:sz w:val="15"/>
                <w:szCs w:val="15"/>
                <w:color w:val="auto"/>
              </w:rPr>
              <w:t>57</w:t>
            </w:r>
          </w:p>
        </w:tc>
        <w:tc>
          <w:tcPr>
            <w:tcW w:w="5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Treasurer, since May 2001</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Seconded as Chief Financial Officer to Yukos,</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January 1999 to May 2001;</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Director Business Information Systems</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September 1998 to January 1999;</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Vice President and Controller, Oilfield Services</w:t>
            </w:r>
          </w:p>
        </w:tc>
      </w:tr>
      <w:tr>
        <w:trPr>
          <w:trHeight w:val="168"/>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January 1996 to September 1998.</w:t>
            </w:r>
          </w:p>
        </w:tc>
      </w:tr>
      <w:tr>
        <w:trPr>
          <w:trHeight w:val="673"/>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68"/>
        </w:trPr>
        <w:tc>
          <w:tcPr>
            <w:tcW w:w="2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7800" w:type="dxa"/>
            <w:vAlign w:val="bottom"/>
            <w:gridSpan w:val="4"/>
          </w:tcPr>
          <w:p>
            <w:pPr>
              <w:jc w:val="right"/>
              <w:ind w:right="1427"/>
              <w:spacing w:after="0"/>
              <w:rPr>
                <w:sz w:val="20"/>
                <w:szCs w:val="20"/>
                <w:color w:val="auto"/>
              </w:rPr>
            </w:pPr>
            <w:r>
              <w:rPr>
                <w:rFonts w:ascii="Courier New" w:cs="Courier New" w:eastAsia="Courier New" w:hAnsi="Courier New"/>
                <w:sz w:val="15"/>
                <w:szCs w:val="15"/>
                <w:color w:val="auto"/>
                <w:w w:val="96"/>
              </w:rPr>
              <w:t>Market for the Registrant's Common Stock and Related Stockholder Matters</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w:t>
            </w:r>
          </w:p>
        </w:tc>
        <w:tc>
          <w:tcPr>
            <w:tcW w:w="7800" w:type="dxa"/>
            <w:vAlign w:val="bottom"/>
            <w:gridSpan w:val="4"/>
          </w:tcPr>
          <w:p>
            <w:pPr>
              <w:jc w:val="right"/>
              <w:ind w:right="124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of December 31, 2001, there were 575,890,398 shares of the Common Stock of the Registrant outstanding, exclusive of 91,203,780 shares held in Treasury, and held by approximately 23,300 stockholders of record. The principal United States market for Registrant's Common Stock is the New York Stock Exchange.</w:t>
      </w:r>
    </w:p>
    <w:p>
      <w:pPr>
        <w:spacing w:after="0" w:line="17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Registrant's Common Stock is also traded on the Euronext Paris, Euronext Amsterdam, London and SWX Swiss stock exchanges.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Market Prices and Dividends Declared per Share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information with respect to this portion of Item 5 is set forth under the heading "Common Stock, Market Prices and Dividends Declared per Share" on page 25 of this Report.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95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5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5"/>
              </w:rPr>
              <w:t>Selected Financial Data</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FIVE-YEAR SUMMARY</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6"/>
        </w:trPr>
        <w:tc>
          <w:tcPr>
            <w:tcW w:w="1240" w:type="dxa"/>
            <w:vAlign w:val="bottom"/>
          </w:tcPr>
          <w:p>
            <w:pPr>
              <w:spacing w:after="0"/>
              <w:rPr>
                <w:sz w:val="24"/>
                <w:szCs w:val="24"/>
                <w:color w:val="auto"/>
              </w:rPr>
            </w:pPr>
          </w:p>
        </w:tc>
        <w:tc>
          <w:tcPr>
            <w:tcW w:w="5980" w:type="dxa"/>
            <w:vAlign w:val="bottom"/>
            <w:gridSpan w:val="5"/>
          </w:tcPr>
          <w:p>
            <w:pPr>
              <w:jc w:val="right"/>
              <w:ind w:right="147"/>
              <w:spacing w:after="0"/>
              <w:rPr>
                <w:sz w:val="20"/>
                <w:szCs w:val="20"/>
                <w:color w:val="auto"/>
              </w:rPr>
            </w:pPr>
            <w:r>
              <w:rPr>
                <w:rFonts w:ascii="Courier New" w:cs="Courier New" w:eastAsia="Courier New" w:hAnsi="Courier New"/>
                <w:sz w:val="15"/>
                <w:szCs w:val="15"/>
                <w:color w:val="auto"/>
              </w:rPr>
              <w:t>(Stated in millions except per share amounts)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05"/>
        </w:trPr>
        <w:tc>
          <w:tcPr>
            <w:tcW w:w="1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gridSpan w:val="3"/>
          </w:tcPr>
          <w:p>
            <w:pPr>
              <w:jc w:val="right"/>
              <w:ind w:right="747"/>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5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2001</w:t>
            </w:r>
          </w:p>
        </w:tc>
        <w:tc>
          <w:tcPr>
            <w:tcW w:w="6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SUMMARY OF OPERATIONS</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Oilfield Services/1/</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$ 9,773</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$ 7,146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$ 5,936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$ 7,796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$ 7,654</w:t>
            </w:r>
          </w:p>
        </w:tc>
      </w:tr>
      <w:tr>
        <w:trPr>
          <w:trHeight w:val="168"/>
        </w:trPr>
        <w:tc>
          <w:tcPr>
            <w:tcW w:w="3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SchlumbergerSema</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3,045</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Other/2/</w:t>
            </w:r>
          </w:p>
        </w:tc>
        <w:tc>
          <w:tcPr>
            <w:tcW w:w="25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997</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2,321</w:t>
            </w:r>
          </w:p>
        </w:tc>
      </w:tr>
      <w:tr>
        <w:trPr>
          <w:trHeight w:val="168"/>
        </w:trPr>
        <w:tc>
          <w:tcPr>
            <w:tcW w:w="3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Eliminations and other</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operating revenue</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$ 13,746</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$ 9,611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$ 8,395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$ 10,725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$ 10,652</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 increase (decrease) over prior year</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w:t>
            </w:r>
          </w:p>
        </w:tc>
        <w:tc>
          <w:tcPr>
            <w:tcW w:w="60" w:type="dxa"/>
            <w:vAlign w:val="bottom"/>
          </w:tcPr>
          <w:p>
            <w:pPr>
              <w:spacing w:after="0"/>
              <w:rPr>
                <w:sz w:val="24"/>
                <w:szCs w:val="24"/>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Pretax Segment income:</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Oilfield Services/1/</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$ 1,859</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$ 1,062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$ 616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$ 1,339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$ 1,448</w:t>
            </w:r>
          </w:p>
        </w:tc>
      </w:tr>
      <w:tr>
        <w:trPr>
          <w:trHeight w:val="168"/>
        </w:trPr>
        <w:tc>
          <w:tcPr>
            <w:tcW w:w="3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SchlumbergerSema</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Other/2/</w:t>
            </w:r>
          </w:p>
        </w:tc>
        <w:tc>
          <w:tcPr>
            <w:tcW w:w="25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3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Eliminations/3/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Pretax Segment income before Minority</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25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1,495</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1,456</w:t>
            </w:r>
          </w:p>
        </w:tc>
      </w:tr>
      <w:tr>
        <w:trPr>
          <w:trHeight w:val="168"/>
        </w:trPr>
        <w:tc>
          <w:tcPr>
            <w:tcW w:w="38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Total Pretax Segment income, before charges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$ 1,457</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$ 933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$ 546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$ 1,289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$ 1,452</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 increase (decrease) over prior year</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w:t>
            </w:r>
          </w:p>
        </w:tc>
        <w:tc>
          <w:tcPr>
            <w:tcW w:w="60" w:type="dxa"/>
            <w:vAlign w:val="bottom"/>
          </w:tcPr>
          <w:p>
            <w:pPr>
              <w:spacing w:after="0"/>
              <w:rPr>
                <w:sz w:val="24"/>
                <w:szCs w:val="24"/>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w:t>
            </w:r>
          </w:p>
        </w:tc>
      </w:tr>
      <w:tr>
        <w:trPr>
          <w:trHeight w:val="33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Interest income</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w:t>
            </w:r>
          </w:p>
        </w:tc>
        <w:tc>
          <w:tcPr>
            <w:tcW w:w="60" w:type="dxa"/>
            <w:vAlign w:val="bottom"/>
          </w:tcPr>
          <w:p>
            <w:pPr>
              <w:spacing w:after="0"/>
              <w:rPr>
                <w:sz w:val="24"/>
                <w:szCs w:val="24"/>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380</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Charges (net of minority interest)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Taxes on income/4/</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575</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continuing operations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$ 522</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$ 735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$ 329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$ 618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$ 1,088</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increase (decrease) over prior year</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discontinued operations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$ 396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$ 297</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5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$ 522</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$ 735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$ 367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$ 1,014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$ 1,385</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 increase (decrease) over prior year</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w:t>
            </w: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w:t>
            </w:r>
          </w:p>
        </w:tc>
      </w:tr>
      <w:tr>
        <w:trPr>
          <w:trHeight w:val="33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$ 0.91</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$ 0.60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$ 2.02</w:t>
            </w:r>
          </w:p>
        </w:tc>
      </w:tr>
      <w:tr>
        <w:trPr>
          <w:trHeight w:val="168"/>
        </w:trPr>
        <w:tc>
          <w:tcPr>
            <w:tcW w:w="3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0.55</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Net income</w:t>
            </w:r>
          </w:p>
        </w:tc>
        <w:tc>
          <w:tcPr>
            <w:tcW w:w="25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$ 0.91</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$ 0.67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$ 2.57</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4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r>
      <w:tr>
        <w:trPr>
          <w:trHeight w:val="33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$ 0.91</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$ 0.58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$ 1.94</w:t>
            </w:r>
          </w:p>
        </w:tc>
      </w:tr>
      <w:tr>
        <w:trPr>
          <w:trHeight w:val="168"/>
        </w:trPr>
        <w:tc>
          <w:tcPr>
            <w:tcW w:w="3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0.53</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Net income</w:t>
            </w:r>
          </w:p>
        </w:tc>
        <w:tc>
          <w:tcPr>
            <w:tcW w:w="25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$ 0.91</w:t>
            </w:r>
          </w:p>
        </w:tc>
        <w:tc>
          <w:tcPr>
            <w:tcW w:w="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$ 0.65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$ 2.47</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4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r>
      <w:tr>
        <w:trPr>
          <w:trHeight w:val="33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$ 0.75</w:t>
            </w:r>
          </w:p>
        </w:tc>
        <w:tc>
          <w:tcPr>
            <w:tcW w:w="60" w:type="dxa"/>
            <w:vAlign w:val="bottom"/>
          </w:tcPr>
          <w:p>
            <w:pPr>
              <w:spacing w:after="0"/>
              <w:rPr>
                <w:sz w:val="24"/>
                <w:szCs w:val="24"/>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$ 0.75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$ 0.75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$ 0.75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$ 0.75</w:t>
            </w:r>
          </w:p>
        </w:tc>
      </w:tr>
      <w:tr>
        <w:trPr>
          <w:trHeight w:val="168"/>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7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(Stated in millions except per share amounts)</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3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20" w:type="dxa"/>
            <w:vAlign w:val="bottom"/>
            <w:gridSpan w:val="3"/>
          </w:tcPr>
          <w:p>
            <w:pPr>
              <w:jc w:val="right"/>
              <w:ind w:right="1007"/>
              <w:spacing w:after="0"/>
              <w:rPr>
                <w:sz w:val="20"/>
                <w:szCs w:val="20"/>
                <w:color w:val="auto"/>
              </w:rPr>
            </w:pPr>
            <w:r>
              <w:rPr>
                <w:rFonts w:ascii="Courier New" w:cs="Courier New" w:eastAsia="Courier New" w:hAnsi="Courier New"/>
                <w:sz w:val="15"/>
                <w:szCs w:val="15"/>
                <w:color w:val="auto"/>
              </w:rPr>
              <w:t>Year Ended December 31,</w:t>
            </w:r>
          </w:p>
        </w:tc>
        <w:tc>
          <w:tcPr>
            <w:tcW w:w="128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71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SUMMARY OF FINANCIAL DATA</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as % of operating revenue,</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operations/5/</w:t>
            </w:r>
          </w:p>
        </w:tc>
        <w:tc>
          <w:tcPr>
            <w:tcW w:w="11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stockholders</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continuing operations/5/</w:t>
            </w:r>
          </w:p>
        </w:tc>
        <w:tc>
          <w:tcPr>
            <w:tcW w:w="11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Fixed asset additions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2,053</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$ 1,323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$ 792</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$ 1,463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$ 1,404</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1,186</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$ 943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$ 929</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$ 935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$ 848</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Avg. number of shares outstanding:</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11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549</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539</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Assuming dilution</w:t>
            </w:r>
          </w:p>
        </w:tc>
        <w:tc>
          <w:tcPr>
            <w:tcW w:w="114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564</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560</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ON DECEMBER 31</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Liquidity</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(5,037)</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$ 422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$ 1,231</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$ 731</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$ 527</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1,487</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$ 3,502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$ 4,787</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$ 4,681</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$ 2,506</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22,326</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$ 17,173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$ 15,081</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$ 16,078</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$ 13,186</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6,216</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$ 3,573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$ 3,183</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$ 3,285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$ 1,179</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8,378</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$ 8,295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$ 7,721</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$ 8,119</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$ 7,381</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Number of employees</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1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81,000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55,000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59,000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64,000</w:t>
            </w:r>
          </w:p>
        </w:tc>
      </w:tr>
      <w:tr>
        <w:trPr>
          <w:trHeight w:val="168"/>
        </w:trPr>
        <w:tc>
          <w:tcPr>
            <w:tcW w:w="36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for comparative purposes.</w:t>
      </w:r>
    </w:p>
    <w:p>
      <w:pPr>
        <w:spacing w:after="0" w:line="4" w:lineRule="exact"/>
        <w:rPr>
          <w:rFonts w:ascii="Courier New" w:cs="Courier New" w:eastAsia="Courier New" w:hAnsi="Courier New"/>
          <w:sz w:val="15"/>
          <w:szCs w:val="15"/>
          <w:color w:val="auto"/>
        </w:rPr>
      </w:pPr>
    </w:p>
    <w:p>
      <w:pPr>
        <w:ind w:left="360" w:right="4120" w:hanging="350"/>
        <w:spacing w:after="0" w:line="235"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Semiconductor Solutions and the divested Resource Management Systems (sold in 2001) and Retail Petroleum Services (sold in 1998) businesses.</w:t>
      </w:r>
    </w:p>
    <w:p>
      <w:pPr>
        <w:spacing w:after="0" w:line="5" w:lineRule="exact"/>
        <w:rPr>
          <w:rFonts w:ascii="Courier New" w:cs="Courier New" w:eastAsia="Courier New" w:hAnsi="Courier New"/>
          <w:sz w:val="15"/>
          <w:szCs w:val="15"/>
          <w:color w:val="auto"/>
        </w:rPr>
      </w:pPr>
    </w:p>
    <w:p>
      <w:pPr>
        <w:ind w:left="360" w:right="4300" w:hanging="350"/>
        <w:spacing w:after="0" w:line="235"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amortization of goodwill and other acquisition related intangibles which were previously included in the Segments' income. All prior periods have been restated for comparative purposes.</w:t>
      </w:r>
    </w:p>
    <w:p>
      <w:pPr>
        <w:spacing w:after="0" w:line="5" w:lineRule="exact"/>
        <w:rPr>
          <w:rFonts w:ascii="Courier New" w:cs="Courier New" w:eastAsia="Courier New" w:hAnsi="Courier New"/>
          <w:sz w:val="15"/>
          <w:szCs w:val="15"/>
          <w:color w:val="auto"/>
        </w:rPr>
      </w:pPr>
    </w:p>
    <w:p>
      <w:pPr>
        <w:ind w:left="360" w:right="4380" w:hanging="350"/>
        <w:spacing w:after="0" w:line="254"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2001, the provision for income taxes, before the tax expense on the charges was $412 million. In 2000, the provision for income taxes, before the tax benefit on the charges was $218 million. In 1999, the provision for income taxes, before the tax benefit on the charge and the tax expense on the gain on the sale of RPS financial instruments, was $133 million. In 1998, the provision for income taxes, before the tax benefit on the third quarter charge, was $340 million.</w:t>
      </w:r>
    </w:p>
    <w:p>
      <w:pPr>
        <w:ind w:left="360" w:hanging="350"/>
        <w:spacing w:after="0" w:line="237"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2001, 2000, 1999 and 1998, excluding the charges.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860"/>
          </w:cols>
          <w:pgMar w:left="220" w:top="785" w:right="819" w:bottom="1440" w:gutter="0" w:footer="0" w:header="0"/>
        </w:sectPr>
      </w:pPr>
    </w:p>
    <w:bookmarkStart w:id="9" w:name="page10"/>
    <w:bookmarkEnd w:id="9"/>
    <w:p>
      <w:pPr>
        <w:spacing w:after="0"/>
        <w:tabs>
          <w:tab w:leader="none" w:pos="122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w:t>
      </w:r>
    </w:p>
    <w:p>
      <w:pPr>
        <w:spacing w:after="0"/>
        <w:tabs>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1240"/>
        <w:spacing w:after="0" w:line="238" w:lineRule="auto"/>
        <w:rPr>
          <w:sz w:val="20"/>
          <w:szCs w:val="20"/>
          <w:color w:val="auto"/>
        </w:rPr>
      </w:pPr>
      <w:r>
        <w:rPr>
          <w:rFonts w:ascii="Courier New" w:cs="Courier New" w:eastAsia="Courier New" w:hAnsi="Courier New"/>
          <w:sz w:val="15"/>
          <w:szCs w:val="15"/>
          <w:color w:val="auto"/>
        </w:rPr>
        <w:t>and Results of Operations</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Schlumberger operates two business segments: Oilfield Services and SchlumbergerSema. The following discussion and analysis of results of operations should be read in conjunction with the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700" w:type="dxa"/>
            <w:vAlign w:val="bottom"/>
          </w:tcPr>
          <w:p>
            <w:pPr>
              <w:spacing w:after="0"/>
              <w:rPr>
                <w:sz w:val="14"/>
                <w:szCs w:val="14"/>
                <w:color w:val="auto"/>
              </w:rPr>
            </w:pPr>
          </w:p>
        </w:tc>
      </w:tr>
      <w:tr>
        <w:trPr>
          <w:trHeight w:val="673"/>
        </w:trPr>
        <w:tc>
          <w:tcPr>
            <w:tcW w:w="2680" w:type="dxa"/>
            <w:vAlign w:val="bottom"/>
          </w:tcPr>
          <w:p>
            <w:pPr>
              <w:spacing w:after="0"/>
              <w:rPr>
                <w:sz w:val="20"/>
                <w:szCs w:val="20"/>
                <w:color w:val="auto"/>
              </w:rPr>
            </w:pPr>
            <w:r>
              <w:rPr>
                <w:rFonts w:ascii="Courier New" w:cs="Courier New" w:eastAsia="Courier New" w:hAnsi="Courier New"/>
                <w:sz w:val="15"/>
                <w:szCs w:val="15"/>
                <w:color w:val="auto"/>
              </w:rPr>
              <w:t>OILFIELD SERVICES</w:t>
            </w:r>
          </w:p>
        </w:tc>
        <w:tc>
          <w:tcPr>
            <w:tcW w:w="2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2001/3/</w:t>
            </w: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2000/4/</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 Change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920" w:type="dxa"/>
            <w:vAlign w:val="bottom"/>
          </w:tcPr>
          <w:p>
            <w:pPr>
              <w:ind w:left="880"/>
              <w:spacing w:after="0"/>
              <w:rPr>
                <w:sz w:val="20"/>
                <w:szCs w:val="20"/>
                <w:color w:val="auto"/>
              </w:rPr>
            </w:pPr>
            <w:r>
              <w:rPr>
                <w:rFonts w:ascii="Courier New" w:cs="Courier New" w:eastAsia="Courier New" w:hAnsi="Courier New"/>
                <w:sz w:val="15"/>
                <w:szCs w:val="15"/>
                <w:color w:val="auto"/>
              </w:rPr>
              <w:t>$9,773</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$7,146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Segment Income/1/</w:t>
            </w:r>
          </w:p>
        </w:tc>
        <w:tc>
          <w:tcPr>
            <w:tcW w:w="1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$1,859</w:t>
            </w:r>
          </w:p>
        </w:tc>
        <w:tc>
          <w:tcPr>
            <w:tcW w:w="15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$1,062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SCHLUMBERGERSEMA</w:t>
            </w:r>
          </w:p>
        </w:tc>
        <w:tc>
          <w:tcPr>
            <w:tcW w:w="1920" w:type="dxa"/>
            <w:vAlign w:val="bottom"/>
          </w:tcPr>
          <w:p>
            <w:pPr>
              <w:ind w:left="880"/>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Change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960" w:type="dxa"/>
            <w:vAlign w:val="bottom"/>
          </w:tcPr>
          <w:p>
            <w:pPr>
              <w:ind w:left="8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3,045</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1,049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Segment Income/1/</w:t>
            </w:r>
          </w:p>
        </w:tc>
        <w:tc>
          <w:tcPr>
            <w:tcW w:w="960" w:type="dxa"/>
            <w:vAlign w:val="bottom"/>
          </w:tcPr>
          <w:p>
            <w:pPr>
              <w:ind w:left="8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OTHER/2/</w:t>
            </w:r>
          </w:p>
        </w:tc>
        <w:tc>
          <w:tcPr>
            <w:tcW w:w="19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2001</w:t>
            </w:r>
          </w:p>
        </w:tc>
        <w:tc>
          <w:tcPr>
            <w:tcW w:w="15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Change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1,475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Segment Income/1/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bl>
    <w:p>
      <w:pPr>
        <w:spacing w:after="0" w:line="341" w:lineRule="exact"/>
        <w:rPr>
          <w:sz w:val="20"/>
          <w:szCs w:val="20"/>
          <w:color w:val="auto"/>
        </w:rPr>
      </w:pPr>
    </w:p>
    <w:p>
      <w:pPr>
        <w:ind w:left="180" w:right="3679" w:hanging="174"/>
        <w:spacing w:after="0" w:line="235" w:lineRule="auto"/>
        <w:rPr>
          <w:sz w:val="20"/>
          <w:szCs w:val="20"/>
          <w:color w:val="auto"/>
        </w:rPr>
      </w:pPr>
      <w:r>
        <w:rPr>
          <w:rFonts w:ascii="Courier New" w:cs="Courier New" w:eastAsia="Courier New" w:hAnsi="Courier New"/>
          <w:sz w:val="15"/>
          <w:szCs w:val="15"/>
          <w:color w:val="auto"/>
        </w:rPr>
        <w:t>1 Pretax segment income represents income before taxes and minority interest, excluding interest expense, interest income and amortization of goodwill and identifiable intangibles.</w:t>
      </w:r>
    </w:p>
    <w:p>
      <w:pPr>
        <w:spacing w:after="0" w:line="5" w:lineRule="exact"/>
        <w:rPr>
          <w:sz w:val="20"/>
          <w:szCs w:val="20"/>
          <w:color w:val="auto"/>
        </w:rPr>
      </w:pPr>
    </w:p>
    <w:p>
      <w:pPr>
        <w:ind w:left="180" w:right="3239" w:hanging="174"/>
        <w:spacing w:after="0" w:line="234" w:lineRule="auto"/>
        <w:rPr>
          <w:sz w:val="20"/>
          <w:szCs w:val="20"/>
          <w:color w:val="auto"/>
        </w:rPr>
      </w:pPr>
      <w:r>
        <w:rPr>
          <w:rFonts w:ascii="Courier New" w:cs="Courier New" w:eastAsia="Courier New" w:hAnsi="Courier New"/>
          <w:sz w:val="15"/>
          <w:szCs w:val="15"/>
          <w:color w:val="auto"/>
        </w:rPr>
        <w:t>2 Includes Semiconductor Solutions and the divested Resource Management Services businesses through to the date of divestiture.</w:t>
      </w:r>
    </w:p>
    <w:p>
      <w:pPr>
        <w:spacing w:after="0" w:line="237" w:lineRule="auto"/>
        <w:rPr>
          <w:sz w:val="20"/>
          <w:szCs w:val="20"/>
          <w:color w:val="auto"/>
        </w:rPr>
      </w:pPr>
      <w:r>
        <w:rPr>
          <w:rFonts w:ascii="Courier New" w:cs="Courier New" w:eastAsia="Courier New" w:hAnsi="Courier New"/>
          <w:sz w:val="15"/>
          <w:szCs w:val="15"/>
          <w:color w:val="auto"/>
        </w:rPr>
        <w:t>3 Includes the acquisition of Sema plc from April 2001.</w:t>
      </w:r>
    </w:p>
    <w:p>
      <w:pPr>
        <w:spacing w:after="0" w:line="238" w:lineRule="auto"/>
        <w:rPr>
          <w:sz w:val="20"/>
          <w:szCs w:val="20"/>
          <w:color w:val="auto"/>
        </w:rPr>
      </w:pPr>
      <w:r>
        <w:rPr>
          <w:rFonts w:ascii="Courier New" w:cs="Courier New" w:eastAsia="Courier New" w:hAnsi="Courier New"/>
          <w:sz w:val="15"/>
          <w:szCs w:val="15"/>
          <w:color w:val="auto"/>
        </w:rPr>
        <w:t>4 Reclassified for comparative purposes.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Results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Record Oilfield Services operating revenue of $9.8 billion increased 37% over 2000 in sharp contrast with the worldwide M-I rig count, which grew only 15%. Pretax operating income margins were at levels comparable to 1997, which is considered the benchmark year for Oilfield Services. Increased non-rig related activity, partly attributable to the WesternGeco Joint Venture, and higher pricing levels contributed to growth.</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Operating revenue started to grow in the first quarter, due to continued high activity in North America and increased demand internationally. The latter continued throughout 2001 and was reflected in the Europe/CIS/West Africa and Middle East &amp; Asia Area results. However, softening North American activity in the third quarter, as a result of slower economic growth and declining natural gas drilling activity, offset international growth.</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WesternGeco Joint Venture was the largest contributor to double-digit growth in all Areas with the Malaysia, Alaska, Gulf Coast and West &amp; South Africa GeoMarkets recording the strongest results versus 2000. Market share gains, improved pricing levels and the introduction of new technology contributed to strong growth in the Drilling &amp; Measurements technology business. In addition, improved Reda submersible pump sales and the continued expansion of the PowerSTIM* well production optimization solution contributed to significant growth in the Well Completions &amp; Productivity technology business.</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2001 was the first full financial reporting year for the WesternGeco Joint Venture, which recorded an operating revenue increase of 12% for 2001 on a pro forma comparative basis. Cost rationalization targets were exceeded and the integration process neared completion.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85" w:right="1440" w:bottom="1440" w:gutter="0" w:footer="0" w:header="0"/>
        </w:sectPr>
      </w:pPr>
    </w:p>
    <w:bookmarkStart w:id="10" w:name="page11"/>
    <w:bookmarkEnd w:id="10"/>
    <w:p>
      <w:pPr>
        <w:ind w:right="3239"/>
        <w:spacing w:after="0" w:line="235" w:lineRule="auto"/>
        <w:rPr>
          <w:sz w:val="20"/>
          <w:szCs w:val="20"/>
          <w:color w:val="auto"/>
        </w:rPr>
      </w:pPr>
      <w:r>
        <w:rPr>
          <w:rFonts w:ascii="Courier New" w:cs="Courier New" w:eastAsia="Courier New" w:hAnsi="Courier New"/>
          <w:sz w:val="15"/>
          <w:szCs w:val="15"/>
          <w:color w:val="auto"/>
        </w:rPr>
        <w:t>Schlumberger Network Solutions experienced 91% operating revenue growth for 2001 versus 2000 mostly due to exploration and production (E&amp;P) sector contracts demonstrating that the industry is recognizing the importance of IT connectivity and security.</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2001 was a significant year as Oilfield Services acquired several key technologies as part of its continuing focus to build a complete suite of real-time reservoir optimization services. In April 2001, Schlumberger acquired Baker Jardine, a leading provider of software tools, IT consulting and integrated solutions that help operators increase oil and gas production. Secondly, a unique Distributing Temperature Sensing technique was added to the Schlumberger real-time offering through the acquisition of Sensa. The recognized leader in fiber optic sensing technologies, Sensa provides operators with a continuous measurement for the monitoring of producing wells. Thirdly, Schlumberger acquired Phoenix, a leading provider of technologies and techniques for optimizing production from artificially lifted wells, in October 2001.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North American operating revenue increased 51% versus 2000 outpacing the M-I rig count which grew 17%. The strong operating revenue growth that continued in the first quarter of 2001 plateaued in the middle of the year. This was due to slower economic conditions and declining natural gas prices which resulted in reduced activity towards the end of the year. The Alaska and Gulf Coast GeoMarkets recorded the strongest revenue growth due to increased demand for drilling and measurement services, well services, wireline technologies and high seismic activity.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Pretax operating income increased 132%.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revenue increased 28% exceeding the M-I rig count growth of 13%. Increased activity across all services contributed to double-digit growth in the GeoMarkets. Growth was led by the Peru, Colombia and Ecuador and Latin America South GeoMarkets as a result of increased drilling and measurements, well services and well completions services during the year, and high land seismic activity in Bolivia during the fourth quarter.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Pretax operating income increased 137%.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Operating revenue increased 33% in the Europe/CIS/West Africa Area, more than double the M-I rig count growth, which rose 15%. Overall moderate growth was recorded for the year led by high demand for well completions services in Nigeria and strong growth in drilling and measurements and wireline services in the Russia GeoMarket. In particular, strong growth was seen in the West and South Africa GeoMarket partly due to an Early Production Facility Project for IPM during the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Pretax operating income increased 67%.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 EAST &amp; ASIA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28% increase in operating revenue surpassed the M-I rig count four-fold in 2001. Almost all GeoMarkets in the region recorded strong double-digit growth led by seismic, drilling and measurements and well service activities in the Malaysia, Brunei and Philippines GeoMarket, and as a result of new contract wins in the Gulf GeoMarket. Moderate sequential growth was recorded throughout the year reflecting the pick up in international activity.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Pretax operating income increased 49%.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2000 Results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Moderate growth was recorded during the first half of the year with sharp sequential growth in the second half of the year led by increased activity in North America and higher demand for Reservoir Development services. The seismic down cycle, which started at the beginning of 1999, continued through the first half of the year. The second half of 2000 saw significant improvement leading to higher Schlumberger activity due to the introduction of new generation seismic Q* Marine technology and increased multiclient data sales.</w:t>
      </w:r>
    </w:p>
    <w:p>
      <w:pPr>
        <w:spacing w:after="0" w:line="33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Oilfield Services operating revenue increased 21% compared with 1999 as the worldwide M-I rig count grew 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North America operating revenue increased 46% versus 1999, in line with the M-I rig count which grew 47%. Increased activity, which started in the third quarter of 1999, continued into the beginning of 2000 with a significant increase in drilling activity due to the continued shift to natural gas exploration and development. Reservoir Evaluation Wireline and Reservoir Development recorded the year's strongest growth. Pretax segment income increased 206%.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Latin America operating revenue increased 22% for the year, consistent with a 23% increase in the M-I rig count. There was strong growth in the second half of 2000 led by Reservoir Development activity. Pretax segment income increased 333% due to improved profitability in Reservoir Evaluation Wireline and Reservoir Development.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Operating revenue increased 6% in the Europe/CIS/West Africa Area during 2000, consistent with a 10% increase in the M-I rig count. Results in the first quarter were lower year over year due to continued flat activity and a sharp decline in seismic activity in this region for the same period. The increase in activity in the second half of the year was moderate compared with the other Areas. Pretax segment income increased 66%.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 EAST &amp; ASIA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revenue in the Middle East &amp; Asia Area increased 5%, in line with a 5% increase in the M-I rig count. Lower first quarter results resulted from the continued industry down cycle, and growth was moderate for the remainder of the year due to a slow increase in activity. Stronger sequential growth in the second half of the year resulted from increased activity in the Middle East and improved demand for Reservoir Development services. Pretax segment income increased 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Results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December 30, Schlumberger completed the spin-off to its stockholders of its offshore contract drilling business, Sedco Forex. Following the spin-off, on December 31, Sedco Forex merged with Transocean Offshore Inc., which changed its name to Transocean Sedco Forex Inc. The transaction created the world's largest offshore drilling company and the third largest oilfield services company by market capitalization. Upon completion of the merger, Schlumberger stockholders owned approximately 52% of the shares of Transocean Sedco Forex, and Transocean Offshore shareholders owned the remaining 48%. Schlumberger retained no ownership in the combined company. Sedco Forex is treated as a discontinued operation.</w:t>
      </w:r>
    </w:p>
    <w:p>
      <w:pPr>
        <w:spacing w:after="0" w:line="348"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After continued slow activity across all regions in the first half of 1999, Oilfield Services activity in North America started to improve in the third quarter as oil and gas companies continued to gradually increase their spending. The seismic services industry experienced a severe downturn throughout 1999. This negative impact was felt across all regions within Schlumberger, most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85" w:right="1440" w:bottom="1440" w:gutter="0" w:footer="0" w:header="0"/>
        </w:sectPr>
      </w:pPr>
    </w:p>
    <w:bookmarkStart w:id="12" w:name="page13"/>
    <w:bookmarkEnd w:id="12"/>
    <w:p>
      <w:pPr>
        <w:ind w:right="3939"/>
        <w:spacing w:after="0" w:line="234" w:lineRule="auto"/>
        <w:rPr>
          <w:sz w:val="20"/>
          <w:szCs w:val="20"/>
          <w:color w:val="auto"/>
        </w:rPr>
      </w:pPr>
      <w:r>
        <w:rPr>
          <w:rFonts w:ascii="Courier New" w:cs="Courier New" w:eastAsia="Courier New" w:hAnsi="Courier New"/>
          <w:sz w:val="15"/>
          <w:szCs w:val="15"/>
          <w:color w:val="auto"/>
        </w:rPr>
        <w:t>notably in North America, Europe and Asia, and resulted in a significant decrease in seismic revenue.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Oilfield Services operating revenue declined 24% compared with 1998, in line with the estimated 23% reduction in E&amp;P expenditures, and consistent with the 22% fall in the average rig count.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North American operating revenue fell 30%, with a 22% decline in the average rig count. The slowdown was particularly dramatic in the first half of the year, with the average rig count down 40%. All product groups ended the year with lower revenue than in 1998. Pretax segment income dropped 64%.</w:t>
      </w:r>
    </w:p>
    <w:p>
      <w:pPr>
        <w:spacing w:after="0" w:line="344"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4"/>
          <w:szCs w:val="14"/>
          <w:color w:val="auto"/>
        </w:rPr>
        <w:t>Increased activity during the fourth quarter was mainly focused on gas development projects, primarily in the lower 48 states and Canada.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Latin American operating revenue fell 26%, in line with the 23% decrease in the average rig count. The reduced activity resulted from a slowdown in all product groups with the exception of drilling services, which saw a 41% increase due to the commencement of MPSV* multipurpose service vessel operations on Lake Maracaibo in Venezuela. Pretax segment income was down 88%, mainly due to lower prices and reduced activity across the region.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revenue declined 28% in the Europe/CIS/West Africa Area, in line with the decline in the average rig count. Revenue from all product groups and geographical areas fell, with the exception of the CIS, where growth in pressure pumping activity fueled a notable increase in revenue over 1998. Pretax segment income for the region decreased 60%.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 EAST &amp; ASIA</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Operating revenue in the Middle East &amp; Asia Area declined 22%, led by significantly lower activity in the Eastern Mediterranean and the Australia GeoMarket areas. Compared with 1998, the average rig count fell 16% in the Middle East and 20% in Asia. Revenue from all services fell, with the exception of Reservoir Management as the MPSV Bima continued to provide value-added services to customers in Indonesia. Pretax segment income fell 45%.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SchlumbergerSema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April 6, 2001, Schlumberger completed the acquisition of Sema plc for $5.15 billion. Sema is a leading IT and technical services company with a strong European presence. Its core businesses include systems integration, consulting, software products for the telecommunications, energy, transport and finance sectors, and outsourcing. The acquisition was financed through existing cash resources of Schlumberger and from borrowings under a $3 billion credit facility.</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a result of the acquisition, the SchlumbergerSema business segment was created combining Sema plc, Bull CP8 (acquired in the first quarter) and certain businesses of Schlumberger Test &amp; Transactions and Resource Management Services including CellNet and Convergent. SchlumbergerSema provides consulting, systems integration, managed services and products with focus on six global market sectors: Telecommunications, Utility, Finance, Transport, Oil and Gas and the Public Sector and is the Worldwide Information Technology Partner for the 2002-2008 Olympic Games, which is one of the largest system integration contracts awarded in the world.</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part of the integration process, a cost synergies program of $140 million was identified with a target date of mid 2002. The integration of Sema plc into Schlumberger progressed rapidly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3" w:name="page14"/>
    <w:bookmarkEnd w:id="13"/>
    <w:p>
      <w:pPr>
        <w:ind w:right="3759"/>
        <w:spacing w:after="0" w:line="235" w:lineRule="auto"/>
        <w:rPr>
          <w:sz w:val="20"/>
          <w:szCs w:val="20"/>
          <w:color w:val="auto"/>
        </w:rPr>
      </w:pPr>
      <w:r>
        <w:rPr>
          <w:rFonts w:ascii="Courier New" w:cs="Courier New" w:eastAsia="Courier New" w:hAnsi="Courier New"/>
          <w:sz w:val="15"/>
          <w:szCs w:val="15"/>
          <w:color w:val="auto"/>
        </w:rPr>
        <w:t>smoothly thanks to cultural similarities and synergies between the two companies. Moreover, the attrition rate of Sema employees post acquisition decreased significantly.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Results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SchlumbergerSema operating revenue increased 190% compared with 2000 mainly due to the acquisition of Sema plc whose results were consolidated with effect from April 1, 2001. On a proforma basis, assuming the acquisition took place on January 1, 2000, the operating revenue increase was 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&amp; CENTRAL AMERICA</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North &amp; Central America operating revenue increased 91% versus 2000 mainly due to increased utilities activity as a result of strong demand for Real Time Energy Management Systems (RTEMS) services and the further deployment of the wireless fixed network supporting those services. The wireless fixed network business represents the fastest growing network meter reading system in the utility industry with more than six million connected customers. In addition, SchlumbergerSema secured the extension of key existing utility business contracts in North America for utility data management services, and was awarded a significant contract for consulting and personal energy management advanced data services. Due to economic conditions and ongoing uncertainty related to deregulation in the US market, the utilities-related systems integration business remained weak during the year.</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the Telecommunications sector, Schlumberger recorded strong bookings in mobile messaging systems, with the first SemaPortal* short message server implementation and customer care and billing products system integration for mobile operators. Additionally, the increasing adoption of the GSM standard generated significant opportunities for both product and service applications. As a result, Schlumberger signed a memorandum of understanding with AT&amp;T Wireless to provide SIM (subscriber identity module) smart cards and related over-the-air technology to support AT&amp;T Wireless' new GSM network platform.</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 MIDDLE EAST, AFRICA, SOUTH AMERICA</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Operating revenue increased substantially due to the acquisition of Sema plc as its customer base is predominantly European. Despite a slowdown in the telecommunications environment, strong activity was recorded in this sector as a result of strong sales and bookings in mobile messaging systems, customer care and billing products, consultancy and system integration for mobile operators with a major contract awarded to Telecom Italia Mobile (TIM) which covers their operations in Europe and Brazil. This is the direct result of an expanded customer base and realization of the synergies within SchlumbergerSema.</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addition, SchlumbergerSema was awarded multi-million dollar contracts in France and the UK in the Public sector. The work scope ranges from system integration project design, build and roll-out of a pilot accounting and expenditure control package to a two-year contract extension for Health Service to provide managed IT services, community preventive care services and associated systems and a computerized patient information system.</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Improved demand in Europe for banking smart card solutions, and the award of major contracts for consulting and systems integration to deploy standard smart card transaction systems in the UK, contributed to the operating revenue growth in the Finance sector.</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the Transportation sector, due to the transition to the euro, major customers began accepting previously postponed deliveries of new euro-compatible Pay &amp; Display on-street parking meters.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 for the Finance sector continued to be strong with increased outsourcing activities in Japan and Hong Kong including automation stock trade and internet banking. New inroads were made in China where major new orders for payment systems were completed. Despite an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4" w:name="page15"/>
    <w:bookmarkEnd w:id="14"/>
    <w:p>
      <w:pPr>
        <w:ind w:right="3759"/>
        <w:spacing w:after="0" w:line="235" w:lineRule="auto"/>
        <w:rPr>
          <w:sz w:val="20"/>
          <w:szCs w:val="20"/>
          <w:color w:val="auto"/>
        </w:rPr>
      </w:pPr>
      <w:r>
        <w:rPr>
          <w:rFonts w:ascii="Courier New" w:cs="Courier New" w:eastAsia="Courier New" w:hAnsi="Courier New"/>
          <w:sz w:val="15"/>
          <w:szCs w:val="15"/>
          <w:color w:val="auto"/>
        </w:rPr>
        <w:t>unfavorable environment, the telecommunications sector experienced strong bookings. Demand for business continuity and outsourcing services remained strong in the region.</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However, SIM cards volume was weak due to excessive inventories carried by customers, mainly in China though the orders started to pick up in the fourth quarter. South East Asia experienced significant growth with major wins to supply high-end 32/64 memory cards. Schlumberger was also selected as the only supplier for the first phase R-UIM cards for China Unicom CDMA launch.</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VOLUME PRODUCTS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Volume Products operating revenue grew by 13% despite a slowdown in the telecommunications industry. Smart Cards operating revenue increased 9% compared with 2000, with positive bottom line contributions throughout the year, despite tough competition, pricing pressures and reduced demand for cellular handsets in Europe.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Operating revenue from mobile communications cards (SIM) was weak reflecting reduced demand in Europe, and in Asia where uncertainty continues in the telecommunications market. Orders for SIM cards showed strong improvement at the end of the year indicating that an inflection point may have been reached. The lower revenues in SIM cards were partially offset by strong demand for high-end JavaTM-based products for mobile communications, banking and IT applications.</w:t>
      </w:r>
    </w:p>
    <w:p>
      <w:pPr>
        <w:spacing w:after="0" w:line="166"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e-Transactions Solutions operating revenue increased driven by increased worldwide deliveries of MagIC* e-payment point of sale terminals and a record activity in the Parking and Mass Transit Terminal &amp; Systems products and services business, linked in particular to the new euro currency deployment.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Results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Including the acquisitions of the Convergent Group and CellNet Data Systems, operating revenue grew 23% compared with 1999. Pretax operating income dropped 81% over the same period.</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year, Schlumberger took strategic steps in the Utilities sector to build its solutions offerings through the acquisition of the assets of CellNet, a leading provider of telemetry technology for the development and deployment of large-scale automatic meter reading (AMR) systems, for $209 million in May 2000. The combination of utility measurement systems and services, with CellNet AMR technology and integrated networks, significantly strengthened Schlumberger's position in delivering advanced value-added services to utilities and energy resource providers. In November, Schlumberger acquired a majority stake in Convergent, a leading builder of digital enterprises that will complement the Schlumberger value-added solution approach to business in the utility sector.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&amp; CENTRAL AMERICA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North &amp; Central America operating revenue increased 74% for the year compared with 1999. Revenue contributions were due to market expansion and the receipt of several major orders in Real Time Energy Management Systems.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VOLUME PRODUCTS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Operating revenue increased 30% due to significantly higher activity levels in the Smart Cards business. The healthy rise in orders for smart card-based solutions was driven by continued outstanding growth of the mobile communications market and the beginning of the rollout of smart card applications in North America. In the US, Schlumberger won the largest-ever smart card IT security order. The Cyberflex* JavaTM-programmable cards will be used to provide secure access to customers' data networks and facilities.</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addition, e-Transactions activity improved based on high terminals and systems bookings for the e-City and e-Payment businesses. Manufacturing delays resulted from semiconductor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5" w:name="page16"/>
    <w:bookmarkEnd w:id="15"/>
    <w:p>
      <w:pPr>
        <w:jc w:val="both"/>
        <w:ind w:right="3239"/>
        <w:spacing w:after="0" w:line="235" w:lineRule="auto"/>
        <w:rPr>
          <w:sz w:val="20"/>
          <w:szCs w:val="20"/>
          <w:color w:val="auto"/>
        </w:rPr>
      </w:pPr>
      <w:r>
        <w:rPr>
          <w:rFonts w:ascii="Courier New" w:cs="Courier New" w:eastAsia="Courier New" w:hAnsi="Courier New"/>
          <w:sz w:val="15"/>
          <w:szCs w:val="15"/>
          <w:color w:val="auto"/>
        </w:rPr>
        <w:t>shortages in the first half of the year, as well as a slowdown in Pay &amp; Display* parking meter shipments as European customers postponed deliveries to await new euro-compatible products.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Results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Operating revenue was up 5% compared with 1998 while pretax operating income grew 12% mainly due to strong activity in North &amp; Central America.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&amp; CENTRAL AMERICA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North American operating revenue increased 13% compared to 1998. Throughout the year, uncertainty created by deregulation, privatization and globalization in the utility industry continued to delay investment by many utilities in new products and services. In the US, where deregulation has advanced the furthest, major contract awards demonstrated increased interest in the Schlumberger solutions approach.</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VOLUME PRODUCTS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revenue declined 8% compared with 1998. The year was characterized by volatility due to changing business environments. During the year, Schlumberger successfully launched the Cyberflex Simera* Java-programmable subscriber identity module (SIM) card and Cryptoflex* e-gate* card into the booming GSM and PC markets. The rapid growth of the mobile communications market, which was accompanied by increasing demand for multi-application and open-platform cards, provided a strong impetus for the accelerated adoption and continued use of the Simera cards. However, despite a strong increase in orders for SIM cards over 1998, global price pressure significantly reduced the revenue generated. Card sales grew in both Asia and Europe, the two most prominent consumer markets for smart cards.</w:t>
      </w:r>
    </w:p>
    <w:p>
      <w:pPr>
        <w:spacing w:after="0" w:line="180"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During 1999, in the e-Transactions business, SchlumbergerSema introduced new MagIC* 6000 payment terminals into the strong retail market with great success. In addition, e-City solutions sales showed a significant increase over 1998, with key contributions from Parking and Mass Transit applications.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Included in this segment are Semiconductor Solutions and the divested businesses of the former Resource Management Services segment.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Results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Operating revenue decreased 32% in 2001, reflecting the divestiture of the Resource Management Services businesses, which were sold in October 2001, and a 46% decline in Semiconductor Solutions activity, which followed the down cycle in the worldwide semiconductor industry.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Results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 operating revenue decline of 10% in 2000 was mainly due to Resource Management Services (down 16%) where pressure on utility prices and the negative impact of currency movements in Europe resulted in a continued downturn for the utility industry. Growth in the UK, driven by strong residential meter demand, was offset by declines in most other European countries. Semiconductor Solutions revenue increased 4% year over year but stalled during the second half of the year as ongoing industry cutbacks in capital expenditures adversely affected delivery of new mixed-signal testers.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1999 Results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a comparable basis, excluding the Retail Petroleum Services business sold in 1998, operating revenue declined 13% in 1999. Resource Management Services operating revenue was down 8% as the uncertainty and pressure on prices created by deregulation, privatization and globalization in the utility industry continued to delay investment by many utilities in new products and services. Semiconductor Solutions operating revenue decreased 28% and was affected by the slow pace of the emerging RDRAM market.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Schlumberger's discussion and analysis of its financial condition and results of operations are based upon Schlumberger's consolidated financial statements, which have been prepared in accordance with accounting principles generally accepted in the United States. The preparation of these financial statements requires Schlumberger to make estimates and judgments that affect the reported amounts of assets, liabilities, revenues and expenses, and related disclosure of contingent assets and liabilities.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an on-going basis, Schlumberger evaluates its estimates, including those related to bad debts, inventories, investments, intangible assets, income taxes, long-term percentage-of-completion contracts, contingencies and litigation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Schlumberger believes the critical accounting policies described below affect its more significant judgments and estimates used in the preparation of its consolidated financial statements.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SchlumbergerSema segment recognizes revenue and profit as work progresses on long-term, fixed price contracts using the percentage-of-completion method, which relies on estimates of total expected contract revenue and costs. Schlumberger follows this method since reasonably dependable estimates of the revenue and costs applicable to various stages of a contract can be made. Recognized revenue and profit are subject to revisions as the contract progresses to completion. Revisions in profit estimates are charged or credited to income in the period in which the facts that give rise to the revision become known. Losses on long-term contracts are provided for when such losses are known and reasonably estimated.</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SchlumbergerSema segment recognizes revenue from the sale of software licenses when persuasive evidence of an arrangement exists, the product has been delivered, the fee is fixed and determinable and collection of the resulting receivable is reasonably assured. Whether the fee is fixed and determinable is assessed based on the payment terms associated with the transaction. Collection is assessed based on a number of factors, including past transaction history with the customer and the credit-worthiness of the customer.</w:t>
      </w:r>
    </w:p>
    <w:p>
      <w:pPr>
        <w:spacing w:after="0" w:line="166"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For sales, either a binding purchase order, signed license agreement or a written contract is used as evidence of an arrangement.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Revenue for maintenance services is recognized ratably over the contract term. The training and consulting services (time and materials) are billed based on hourly rates, and revenue is generally recognized as these services are performed.</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Oilfield Services segment capitalizes the cost associated with obtaining multiclient seismic data. Such costs are charged to Cost of Goods Sold and Services based on a percentage of estimated total revenue that Schlumberger estimates that it will receive from the sales of such data. The carrying value of individual surveys is periodically reviewed and adjustments to the value are made based upon the revised estimated revenues for the surveys.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ind w:right="3239"/>
        <w:spacing w:after="0" w:line="236" w:lineRule="auto"/>
        <w:rPr>
          <w:sz w:val="20"/>
          <w:szCs w:val="20"/>
          <w:color w:val="auto"/>
        </w:rPr>
      </w:pPr>
      <w:r>
        <w:rPr>
          <w:rFonts w:ascii="Courier New" w:cs="Courier New" w:eastAsia="Courier New" w:hAnsi="Courier New"/>
          <w:sz w:val="15"/>
          <w:szCs w:val="15"/>
          <w:color w:val="auto"/>
        </w:rPr>
        <w:t>Schlumberger maintains allowances for doubtful accounts for estimated losses resulting from the inability of its customers to make required payments. If the financial condition of Schlumberger's customers were to deteriorate, resulting in an impairment of their ability to make payments, additional allowances may be required.</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writes down its inventory for estimated obsolescence or unmarketable inventory equal to the difference between the cost of inventory and the estimated market value based upon assumptions about future demand and market conditions. If actual market conditions are less favorable than those projected by management, additional inventory write-downs may be required.</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Schlumberger assesses the impairment of identifiable intangibles, long-lived assets and related goodwill whenever events or changes in circumstances indicate that the carrying value may not be recoverable. Factors considered important, which could trigger an impairment review, include the following:</w:t>
      </w:r>
    </w:p>
    <w:p>
      <w:pPr>
        <w:spacing w:after="0" w:line="175" w:lineRule="exact"/>
        <w:rPr>
          <w:sz w:val="20"/>
          <w:szCs w:val="20"/>
          <w:color w:val="auto"/>
        </w:rPr>
      </w:pPr>
    </w:p>
    <w:p>
      <w:pPr>
        <w:ind w:left="880" w:right="383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underperformance relative to expected historical or projected future operating results;</w:t>
      </w:r>
    </w:p>
    <w:p>
      <w:pPr>
        <w:spacing w:after="0" w:line="173" w:lineRule="exact"/>
        <w:rPr>
          <w:sz w:val="20"/>
          <w:szCs w:val="20"/>
          <w:color w:val="auto"/>
        </w:rPr>
      </w:pPr>
    </w:p>
    <w:p>
      <w:pPr>
        <w:ind w:left="880" w:right="323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changes in the manner of our use of the acquired assets or the strategy for our overall business;</w:t>
      </w:r>
    </w:p>
    <w:p>
      <w:pPr>
        <w:spacing w:after="0" w:line="167" w:lineRule="exact"/>
        <w:rPr>
          <w:sz w:val="20"/>
          <w:szCs w:val="20"/>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negative industry or economic trends;</w:t>
      </w:r>
    </w:p>
    <w:p>
      <w:pPr>
        <w:spacing w:after="0" w:line="173" w:lineRule="exact"/>
        <w:rPr>
          <w:sz w:val="20"/>
          <w:szCs w:val="20"/>
          <w:color w:val="auto"/>
        </w:rPr>
      </w:pPr>
    </w:p>
    <w:p>
      <w:pPr>
        <w:jc w:val="both"/>
        <w:ind w:left="880" w:right="3679" w:hanging="433"/>
        <w:spacing w:after="0" w:line="261"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decline in Schlumberger's stock price for a sustained period; and our market capitalization relative to net book value.</w:t>
      </w:r>
    </w:p>
    <w:p>
      <w:pPr>
        <w:spacing w:after="0" w:line="16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When Schlumberger determines that the carrying value of intangibles, long-lived assets and related goodwill may not be recoverable based upon the existence of one or more of the above indicators of impairment, any impairment is measured based on a projected net cash flows expected to result from that asset, including eventual disposition.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2002, Statement of Financial Accounting Standards ("SFAS") No. 142, "Goodwill and Other Intangible Assets" became effective and as a result, Schlumberger will cease to amortize approximately $6.2 billion of goodwill. In lieu of amortization, Schlumberger is required to perform an initial impairment review of our goodwill in 2002 and an annual impairment review thereafter. Schlumberger expect to complete the initial review during the first half of 2002. The preliminary findings of an independent valuation indicated there will be no impairment writedown in 2002.</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has net deferred tax assets of $448 million at December 31, 2001. Schlumberger has considered future taxable income and tax planning strategies in assessing the need for the valuation allowance. Should Schlumberger determine that it would not be able to realize all or part of its net deferred tax assets in the future, an adjustment to the deferred tax assets would be charged to income in the period such determination was made.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Schlumberger evaluates the appropriateness of assumptions used by an independent actuary, in particular assumptions as to discount rate, return on plan assets and medical cost trend rates. The assumptions are revised at least annually as circumstances require.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9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Income - Continuing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(Stated in millions except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2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Income</w:t>
            </w:r>
          </w:p>
        </w:tc>
        <w:tc>
          <w:tcPr>
            <w:tcW w:w="29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Earnings per share</w:t>
            </w:r>
          </w:p>
        </w:tc>
      </w:tr>
      <w:tr>
        <w:trPr>
          <w:trHeight w:val="168"/>
        </w:trPr>
        <w:tc>
          <w:tcPr>
            <w:tcW w:w="1240" w:type="dxa"/>
            <w:vAlign w:val="bottom"/>
          </w:tcPr>
          <w:p>
            <w:pPr>
              <w:spacing w:after="0"/>
              <w:rPr>
                <w:sz w:val="14"/>
                <w:szCs w:val="14"/>
                <w:color w:val="auto"/>
              </w:rPr>
            </w:pPr>
          </w:p>
        </w:tc>
        <w:tc>
          <w:tcPr>
            <w:tcW w:w="2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from Continuing</w:t>
            </w:r>
          </w:p>
        </w:tc>
        <w:tc>
          <w:tcPr>
            <w:tcW w:w="2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2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Operations</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Basic</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Diluted</w:t>
            </w:r>
          </w:p>
        </w:tc>
      </w:tr>
      <w:tr>
        <w:trPr>
          <w:trHeight w:val="168"/>
        </w:trPr>
        <w:tc>
          <w:tcPr>
            <w:tcW w:w="1240" w:type="dxa"/>
            <w:vAlign w:val="bottom"/>
          </w:tcPr>
          <w:p>
            <w:pPr>
              <w:spacing w:after="0"/>
              <w:rPr>
                <w:sz w:val="14"/>
                <w:szCs w:val="14"/>
                <w:color w:val="auto"/>
              </w:rPr>
            </w:pP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2001/1/</w:t>
            </w:r>
          </w:p>
        </w:tc>
        <w:tc>
          <w:tcPr>
            <w:tcW w:w="2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$ 522</w:t>
            </w:r>
          </w:p>
        </w:tc>
        <w:tc>
          <w:tcPr>
            <w:tcW w:w="1800" w:type="dxa"/>
            <w:vAlign w:val="bottom"/>
          </w:tcPr>
          <w:p>
            <w:pPr>
              <w:ind w:left="840"/>
              <w:spacing w:after="0"/>
              <w:rPr>
                <w:sz w:val="20"/>
                <w:szCs w:val="20"/>
                <w:color w:val="auto"/>
              </w:rPr>
            </w:pPr>
            <w:r>
              <w:rPr>
                <w:rFonts w:ascii="Courier New" w:cs="Courier New" w:eastAsia="Courier New" w:hAnsi="Courier New"/>
                <w:sz w:val="15"/>
                <w:szCs w:val="15"/>
                <w:color w:val="auto"/>
              </w:rPr>
              <w:t>$ 0.91</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$ 0.91</w:t>
            </w:r>
          </w:p>
        </w:tc>
      </w:tr>
      <w:tr>
        <w:trPr>
          <w:trHeight w:val="168"/>
        </w:trPr>
        <w:tc>
          <w:tcPr>
            <w:tcW w:w="1240" w:type="dxa"/>
            <w:vAlign w:val="bottom"/>
          </w:tcPr>
          <w:p>
            <w:pPr>
              <w:spacing w:after="0"/>
              <w:rPr>
                <w:sz w:val="14"/>
                <w:szCs w:val="14"/>
                <w:color w:val="auto"/>
              </w:rPr>
            </w:pP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2000/2/</w:t>
            </w:r>
          </w:p>
        </w:tc>
        <w:tc>
          <w:tcPr>
            <w:tcW w:w="2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$ 735</w:t>
            </w:r>
          </w:p>
        </w:tc>
        <w:tc>
          <w:tcPr>
            <w:tcW w:w="1800" w:type="dxa"/>
            <w:vAlign w:val="bottom"/>
          </w:tcPr>
          <w:p>
            <w:pPr>
              <w:ind w:left="840"/>
              <w:spacing w:after="0"/>
              <w:rPr>
                <w:sz w:val="20"/>
                <w:szCs w:val="20"/>
                <w:color w:val="auto"/>
              </w:rPr>
            </w:pPr>
            <w:r>
              <w:rPr>
                <w:rFonts w:ascii="Courier New" w:cs="Courier New" w:eastAsia="Courier New" w:hAnsi="Courier New"/>
                <w:sz w:val="15"/>
                <w:szCs w:val="15"/>
                <w:color w:val="auto"/>
              </w:rPr>
              <w:t>$ 1.29</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$ 1.27</w:t>
            </w:r>
          </w:p>
        </w:tc>
      </w:tr>
      <w:tr>
        <w:trPr>
          <w:trHeight w:val="168"/>
        </w:trPr>
        <w:tc>
          <w:tcPr>
            <w:tcW w:w="1240" w:type="dxa"/>
            <w:vAlign w:val="bottom"/>
          </w:tcPr>
          <w:p>
            <w:pPr>
              <w:spacing w:after="0"/>
              <w:rPr>
                <w:sz w:val="14"/>
                <w:szCs w:val="14"/>
                <w:color w:val="auto"/>
              </w:rPr>
            </w:pP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1999/3/</w:t>
            </w:r>
          </w:p>
        </w:tc>
        <w:tc>
          <w:tcPr>
            <w:tcW w:w="2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$ 329</w:t>
            </w:r>
          </w:p>
        </w:tc>
        <w:tc>
          <w:tcPr>
            <w:tcW w:w="1800" w:type="dxa"/>
            <w:vAlign w:val="bottom"/>
          </w:tcPr>
          <w:p>
            <w:pPr>
              <w:ind w:left="840"/>
              <w:spacing w:after="0"/>
              <w:rPr>
                <w:sz w:val="20"/>
                <w:szCs w:val="20"/>
                <w:color w:val="auto"/>
              </w:rPr>
            </w:pPr>
            <w:r>
              <w:rPr>
                <w:rFonts w:ascii="Courier New" w:cs="Courier New" w:eastAsia="Courier New" w:hAnsi="Courier New"/>
                <w:sz w:val="15"/>
                <w:szCs w:val="15"/>
                <w:color w:val="auto"/>
              </w:rPr>
              <w:t>$ 0.60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$ 0.58</w:t>
            </w:r>
          </w:p>
        </w:tc>
      </w:tr>
      <w:tr>
        <w:trPr>
          <w:trHeight w:val="168"/>
        </w:trPr>
        <w:tc>
          <w:tcPr>
            <w:tcW w:w="1240" w:type="dxa"/>
            <w:vAlign w:val="bottom"/>
          </w:tcPr>
          <w:p>
            <w:pPr>
              <w:spacing w:after="0"/>
              <w:rPr>
                <w:sz w:val="14"/>
                <w:szCs w:val="14"/>
                <w:color w:val="auto"/>
              </w:rPr>
            </w:pP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41" w:lineRule="exact"/>
        <w:rPr>
          <w:sz w:val="20"/>
          <w:szCs w:val="20"/>
          <w:color w:val="auto"/>
        </w:rPr>
      </w:pPr>
    </w:p>
    <w:p>
      <w:pPr>
        <w:ind w:left="440" w:right="3679" w:hanging="430"/>
        <w:spacing w:after="0" w:line="261"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net, after-tax and minority interest charge of $297 million ($0.51 per share - diluted). For details, see Charges - Continuing</w:t>
      </w:r>
    </w:p>
    <w:p>
      <w:pPr>
        <w:spacing w:after="0" w:line="160" w:lineRule="exact"/>
        <w:rPr>
          <w:sz w:val="20"/>
          <w:szCs w:val="20"/>
          <w:color w:val="auto"/>
        </w:rPr>
      </w:pPr>
    </w:p>
    <w:p>
      <w:pPr>
        <w:ind w:left="440" w:right="3239" w:hanging="430"/>
        <w:spacing w:after="0" w:line="254"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net, after-tax and minority interest charge of $3 million ($0.00 per share - diluted). For details, see Charges - Continuing Operations on</w:t>
      </w:r>
    </w:p>
    <w:p>
      <w:pPr>
        <w:ind w:left="440"/>
        <w:spacing w:after="0" w:line="231" w:lineRule="auto"/>
        <w:rPr>
          <w:sz w:val="20"/>
          <w:szCs w:val="20"/>
          <w:color w:val="auto"/>
        </w:rPr>
      </w:pPr>
      <w:r>
        <w:rPr>
          <w:rFonts w:ascii="Courier New" w:cs="Courier New" w:eastAsia="Courier New" w:hAnsi="Courier New"/>
          <w:sz w:val="15"/>
          <w:szCs w:val="15"/>
          <w:color w:val="auto"/>
        </w:rPr>
        <w:t>page 36.</w:t>
      </w:r>
    </w:p>
    <w:p>
      <w:pPr>
        <w:spacing w:after="0" w:line="5" w:lineRule="exact"/>
        <w:rPr>
          <w:sz w:val="20"/>
          <w:szCs w:val="20"/>
          <w:color w:val="auto"/>
        </w:rPr>
      </w:pPr>
    </w:p>
    <w:p>
      <w:pPr>
        <w:ind w:left="440" w:right="3399" w:hanging="430"/>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after-tax charge of $129 million ($0.23 per share - diluted). For details, see Charges - Continuing Operations on page 36.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2001, Oilfield Services segment net income increased $519 million, or 68%, to $1,288 million reflecting the 37% growth in revenue, which outpaced the 15% increase in the worldwide M-I rig count. Higher pricing levels and increased non-rig related activity were the major factors attributable to the record Oilfield Services revenues. SchlumbergerSema segment net income of $30 million was up $2 million as the lower profitability in the Cards and e-Transactions activities were offset by the incremental income from the newly acquired Sema plc.</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2000, Oilfield Services segment net income increased $327 million, or 74%, to $769 million. Increases in E&amp;P expenditures and in oil and gas prices, resulting from increased oil demand and the lowest level of excess oil production capacity in decades, were the underlying factors of the strong increases in most areas, and notably in North America. Average worldwide rig count increased 30% compared to 1999. SchlumbergerSema segment net income of $28 million was down $13 million, or 32%, as record achievements in the Cards business were offset by weaknesses in the e-Transactions and North America electric utility markets.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1999, Oilfield Services segment net income decreased $545 million, or 56%, to $442 million. All areas reported substantial declines as a result of the worldwide reduction in E&amp;P expenditures due to reduced oil prices, which led to a 22% fall in average rig count. SchlumbergerSema segment net income of $41 million was up $2 million, or 6%, as stronger results from the Cards activities were mostly offset by the North American electric utility business.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Risks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Refer to page 33, Translation of Non-US Currencies in the Notes to Consolidated Financial Statements, for a description of the Schlumberger policy on currency hedging. There are no material unhedged assets, liabilities or commitments which are denominated in other than a business's functional currency.</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While changes in exchange rates affect revenue, especially in the SchlumbergerSema segment, they also affect costs. Generally speaking, Schlumberger is currency neutral. For example, a 5% change in average exchange rates of OECD currencies would have had no material effect on consolidated revenue and net income.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19" w:name="page20"/>
    <w:bookmarkEnd w:id="19"/>
    <w:p>
      <w:pPr>
        <w:ind w:right="3579"/>
        <w:spacing w:after="0" w:line="234" w:lineRule="auto"/>
        <w:rPr>
          <w:sz w:val="20"/>
          <w:szCs w:val="20"/>
          <w:color w:val="auto"/>
        </w:rPr>
      </w:pPr>
      <w:r>
        <w:rPr>
          <w:rFonts w:ascii="Courier New" w:cs="Courier New" w:eastAsia="Courier New" w:hAnsi="Courier New"/>
          <w:sz w:val="15"/>
          <w:szCs w:val="15"/>
          <w:color w:val="auto"/>
        </w:rPr>
        <w:t>Schlumberger businesses operate principally in US dollars, the euro and most other European currencies and most South American currencies.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general, when the US dollar weakens against other currencies, consolidated revenue increases, usually with no material effect on net income. This is principally because the fall-through incremental margin in the SchlumbergerSema segment offsets the higher Oilfield Services segment non-US dollar denominated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by business segment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(Stated in millions)</w:t>
            </w:r>
          </w:p>
        </w:tc>
      </w:tr>
      <w:tr>
        <w:trPr>
          <w:trHeight w:val="673"/>
        </w:trPr>
        <w:tc>
          <w:tcPr>
            <w:tcW w:w="2980" w:type="dxa"/>
            <w:vAlign w:val="bottom"/>
          </w:tcPr>
          <w:p>
            <w:pPr>
              <w:spacing w:after="0"/>
              <w:rPr>
                <w:sz w:val="24"/>
                <w:szCs w:val="24"/>
                <w:color w:val="auto"/>
              </w:rPr>
            </w:pPr>
          </w:p>
        </w:tc>
        <w:tc>
          <w:tcPr>
            <w:tcW w:w="2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98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80" w:type="dxa"/>
            <w:vAlign w:val="bottom"/>
          </w:tcPr>
          <w:p>
            <w:pPr>
              <w:spacing w:after="0"/>
              <w:rPr>
                <w:sz w:val="20"/>
                <w:szCs w:val="20"/>
                <w:color w:val="auto"/>
              </w:rPr>
            </w:pPr>
            <w:r>
              <w:rPr>
                <w:rFonts w:ascii="Courier New" w:cs="Courier New" w:eastAsia="Courier New" w:hAnsi="Courier New"/>
                <w:sz w:val="15"/>
                <w:szCs w:val="15"/>
                <w:color w:val="auto"/>
              </w:rPr>
              <w:t>Oilfield Services</w:t>
            </w: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$ 434</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$ 366</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$ 356</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SchlumbergerSema</w:t>
            </w: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In-process R&amp;D charge/1/</w:t>
            </w: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$ 704</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$ 541</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$ 522</w:t>
            </w:r>
          </w:p>
        </w:tc>
      </w:tr>
      <w:tr>
        <w:trPr>
          <w:trHeight w:val="168"/>
        </w:trPr>
        <w:tc>
          <w:tcPr>
            <w:tcW w:w="298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6559" w:firstLine="10"/>
        <w:spacing w:after="0" w:line="465" w:lineRule="auto"/>
        <w:tabs>
          <w:tab w:leader="none" w:pos="43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the Bull CP8 acquisition. Interest Expense</w:t>
      </w:r>
    </w:p>
    <w:p>
      <w:pPr>
        <w:spacing w:after="0" w:line="1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Interest expense increased $109 million, to $385 million, in 2001 principally due to the higher debt balances incurred relating to the acquisition of Sema plc. The increase in 2000 of $83 million, to $276 million, was mainly due to higher average borrowing rates. The increase in 1999 of $56 million, to $193 million, reflected the significantly higher debt balances incurred in 1998 by Schlumberger's principal US subsidiary relating to the acquisition of Camco.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 Continuing Operations</w:t>
      </w:r>
    </w:p>
    <w:p>
      <w:pPr>
        <w:spacing w:after="0" w:line="173" w:lineRule="exact"/>
        <w:rPr>
          <w:sz w:val="20"/>
          <w:szCs w:val="20"/>
          <w:color w:val="auto"/>
        </w:rPr>
      </w:pPr>
    </w:p>
    <w:p>
      <w:pPr>
        <w:ind w:right="4379"/>
        <w:spacing w:after="0" w:line="261" w:lineRule="auto"/>
        <w:rPr>
          <w:sz w:val="20"/>
          <w:szCs w:val="20"/>
          <w:color w:val="auto"/>
        </w:rPr>
      </w:pPr>
      <w:r>
        <w:rPr>
          <w:rFonts w:ascii="Courier New" w:cs="Courier New" w:eastAsia="Courier New" w:hAnsi="Courier New"/>
          <w:sz w:val="14"/>
          <w:szCs w:val="14"/>
          <w:color w:val="auto"/>
        </w:rPr>
        <w:t>Schlumberger recorded the following after-tax and minority interest charges/credits for continuing operations in 2001, 2000 and 1999:</w:t>
      </w:r>
    </w:p>
    <w:p>
      <w:pPr>
        <w:spacing w:after="0" w:line="160" w:lineRule="exact"/>
        <w:rPr>
          <w:sz w:val="20"/>
          <w:szCs w:val="20"/>
          <w:color w:val="auto"/>
        </w:rPr>
      </w:pPr>
    </w:p>
    <w:p>
      <w:pPr>
        <w:ind w:left="880" w:right="3399" w:hanging="433"/>
        <w:spacing w:after="0" w:line="234"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2001, a charge of $25 million for in-process R&amp;D related to the Bull CP8 acquisition.</w:t>
      </w:r>
    </w:p>
    <w:p>
      <w:pPr>
        <w:spacing w:after="0" w:line="173" w:lineRule="exact"/>
        <w:rPr>
          <w:sz w:val="20"/>
          <w:szCs w:val="20"/>
          <w:color w:val="auto"/>
        </w:rPr>
      </w:pPr>
    </w:p>
    <w:p>
      <w:pPr>
        <w:jc w:val="both"/>
        <w:ind w:left="880" w:right="3499" w:hanging="433"/>
        <w:spacing w:after="0" w:line="235"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2001, a charge of $280 million for the estimated impairment charge from the disposition of certain Resource Management Services businesses.</w:t>
      </w:r>
    </w:p>
    <w:p>
      <w:pPr>
        <w:spacing w:after="0" w:line="174" w:lineRule="exact"/>
        <w:rPr>
          <w:sz w:val="20"/>
          <w:szCs w:val="20"/>
          <w:color w:val="auto"/>
        </w:rPr>
      </w:pPr>
    </w:p>
    <w:p>
      <w:pPr>
        <w:ind w:left="880" w:right="3239" w:hanging="433"/>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2001, a net credit of $3 million representing the gain on the sale of the worldwide gas compression business, partially offset by an impairment charge relating to the expected disposition of certain activities.</w:t>
      </w:r>
    </w:p>
    <w:p>
      <w:pPr>
        <w:spacing w:after="0" w:line="175" w:lineRule="exact"/>
        <w:rPr>
          <w:sz w:val="20"/>
          <w:szCs w:val="20"/>
          <w:color w:val="auto"/>
        </w:rPr>
      </w:pPr>
    </w:p>
    <w:p>
      <w:pPr>
        <w:ind w:left="880" w:right="3239" w:hanging="433"/>
        <w:spacing w:after="0" w:line="237"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2001, a net credit of $5 million, including an after tax gain on the sale of the former Resource Management Services North American Water division ($117 million). This gain was partially offset by certain charges: (1) a provision of $37 million for employee termination costs, principally in Europe and the US, related to Oilfield Services and SchlumbergerSema in response to current business conditions; (2) tax reorganization costs of $29 million; (3) a further $20 million charge related to the second quarter estimated loss on the divestiture of certain Resource Management Services businesses following the actual closing in the fourth quarter; (4) asset writedown of $23 million following a recent determination of technological impairment related to certain Land seismic assets in the newly formed WesternGeco Joint Venture.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92" w:right="1440" w:bottom="1440" w:gutter="0" w:footer="0" w:header="0"/>
        </w:sectPr>
      </w:pPr>
    </w:p>
    <w:bookmarkStart w:id="20" w:name="page21"/>
    <w:bookmarkEnd w:id="20"/>
    <w:p>
      <w:pPr>
        <w:ind w:left="800" w:right="3319" w:hanging="528"/>
        <w:spacing w:after="0" w:line="236"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2000, $25 million charge primarily relating to the write down of certain inventory and severance costs in the Semiconductor Solutions business resulting from reduced activity levels in the semiconductor test market, $39 million related to the creation of the WesternGeco joint venture (including asset impairment and severance costs for Schlumberger's existing Geco-Prakla business), and a credit of $61 million from the gain on sale of two Gas Services businesses in Europe.</w:t>
      </w:r>
    </w:p>
    <w:p>
      <w:pPr>
        <w:spacing w:after="0" w:line="177" w:lineRule="exact"/>
        <w:rPr>
          <w:sz w:val="20"/>
          <w:szCs w:val="20"/>
          <w:color w:val="auto"/>
        </w:rPr>
      </w:pPr>
    </w:p>
    <w:p>
      <w:pPr>
        <w:ind w:left="800" w:right="3239" w:hanging="528"/>
        <w:spacing w:after="0" w:line="236" w:lineRule="auto"/>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1999, $138 million charge primarily relating to the downsizing of its global Oilfield Services activities to meet prevailing market conditions, and a credit of $80 million from the gain on sale of financial instruments in connection with the 1998 sale of the Retail Petroleum Systems business.</w:t>
      </w:r>
    </w:p>
    <w:p>
      <w:pPr>
        <w:spacing w:after="0" w:line="174" w:lineRule="exact"/>
        <w:rPr>
          <w:sz w:val="20"/>
          <w:szCs w:val="20"/>
          <w:color w:val="auto"/>
        </w:rPr>
      </w:pPr>
    </w:p>
    <w:p>
      <w:pPr>
        <w:ind w:left="800" w:right="4019" w:hanging="528"/>
        <w:spacing w:after="0" w:line="236" w:lineRule="auto"/>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$71 million charge primarily relating to the reduction of its marine seismic fleet due to depressed market conditions and the restructuring of its land drilling activity following the spin-off of its offshore drilling business to stockholders.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December 2001 charge included severance costs of $41 million (775 people) of which $9 million (318 people) had been paid at December 31, 2001. The remaining severance costs are expected to be paid before June 30, 2002. The December 2000 charges included severance costs of $9 million (380 people) which have been paid.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9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Liquidity</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measure of financial position is liquidity, which Schlumberger defines as cash plus short-term and fixed income investments, less debt. The following table summarizes the change in consolidated liquidity for each of the past three years:</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3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(Stated in millions)</w:t>
            </w:r>
          </w:p>
        </w:tc>
        <w:tc>
          <w:tcPr>
            <w:tcW w:w="1400" w:type="dxa"/>
            <w:vAlign w:val="bottom"/>
          </w:tcPr>
          <w:p>
            <w:pPr>
              <w:spacing w:after="0"/>
              <w:rPr>
                <w:sz w:val="14"/>
                <w:szCs w:val="14"/>
                <w:color w:val="auto"/>
              </w:rPr>
            </w:pPr>
          </w:p>
        </w:tc>
      </w:tr>
      <w:tr>
        <w:trPr>
          <w:trHeight w:val="673"/>
        </w:trPr>
        <w:tc>
          <w:tcPr>
            <w:tcW w:w="3540" w:type="dxa"/>
            <w:vAlign w:val="bottom"/>
          </w:tcPr>
          <w:p>
            <w:pPr>
              <w:spacing w:after="0"/>
              <w:rPr>
                <w:sz w:val="24"/>
                <w:szCs w:val="24"/>
                <w:color w:val="auto"/>
              </w:rPr>
            </w:pP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2000/1/</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1999/1/</w:t>
            </w:r>
          </w:p>
        </w:tc>
      </w:tr>
      <w:tr>
        <w:trPr>
          <w:trHeight w:val="168"/>
        </w:trPr>
        <w:tc>
          <w:tcPr>
            <w:tcW w:w="3540" w:type="dxa"/>
            <w:vAlign w:val="bottom"/>
          </w:tcPr>
          <w:p>
            <w:pPr>
              <w:spacing w:after="0"/>
              <w:rPr>
                <w:sz w:val="14"/>
                <w:szCs w:val="14"/>
                <w:color w:val="auto"/>
              </w:rPr>
            </w:pP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$ 522</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$ 735</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$ 329</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Loss/(gain) on sale of businesses</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charges</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64</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&amp; amortization/2/</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1,896</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1,271</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working</w:t>
            </w: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requirements</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(839)</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business divestitures</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896</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additions/2/</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(2,469)</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(1,019)</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w:t>
            </w: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plans</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229</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Sema plc</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(4,853)</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business acquisitions</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(453)</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warrants/3/</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financial instruments</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Drilling fluids joint venture</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operations/4/</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3540" w:type="dxa"/>
            <w:vAlign w:val="bottom"/>
          </w:tcPr>
          <w:p>
            <w:pPr>
              <w:spacing w:after="0"/>
              <w:rPr>
                <w:sz w:val="14"/>
                <w:szCs w:val="14"/>
                <w:color w:val="auto"/>
              </w:rPr>
            </w:pP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increase in liquidity</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(5,459)</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(809)</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Liquidity - beginning of period</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1,231</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3540" w:type="dxa"/>
            <w:vAlign w:val="bottom"/>
          </w:tcPr>
          <w:p>
            <w:pPr>
              <w:spacing w:after="0"/>
              <w:rPr>
                <w:sz w:val="14"/>
                <w:szCs w:val="14"/>
                <w:color w:val="auto"/>
              </w:rPr>
            </w:pP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Liquidity - end of period</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(5,037)</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$ 422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$ 1,231</w:t>
            </w:r>
          </w:p>
        </w:tc>
      </w:tr>
      <w:tr>
        <w:trPr>
          <w:trHeight w:val="168"/>
        </w:trPr>
        <w:tc>
          <w:tcPr>
            <w:tcW w:w="3540" w:type="dxa"/>
            <w:vAlign w:val="bottom"/>
          </w:tcPr>
          <w:p>
            <w:pPr>
              <w:spacing w:after="0"/>
              <w:rPr>
                <w:sz w:val="14"/>
                <w:szCs w:val="14"/>
                <w:color w:val="auto"/>
              </w:rPr>
            </w:pP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hanging="530"/>
        <w:spacing w:after="0"/>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Reclassified, in part, for comparative purposes.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w:t>
      </w:r>
      <w:r>
        <w:rPr>
          <w:rFonts w:ascii="Courier New" w:cs="Courier New" w:eastAsia="Courier New" w:hAnsi="Courier New"/>
          <w:sz w:val="14"/>
          <w:szCs w:val="14"/>
          <w:color w:val="auto"/>
        </w:rPr>
        <w:t>Including multiclient seismic data costs.</w:t>
      </w:r>
    </w:p>
    <w:p>
      <w:pPr>
        <w:spacing w:after="0" w:line="5" w:lineRule="exact"/>
        <w:rPr>
          <w:rFonts w:ascii="Courier New" w:cs="Courier New" w:eastAsia="Courier New" w:hAnsi="Courier New"/>
          <w:sz w:val="15"/>
          <w:szCs w:val="15"/>
          <w:color w:val="auto"/>
        </w:rPr>
      </w:pPr>
    </w:p>
    <w:p>
      <w:pPr>
        <w:ind w:left="540" w:right="3399" w:hanging="52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3On December 16, 1999, Dow Chemical exercised a warrant to purchase 15,153,018 shares of Schlumberger common stock. The warrant was received by Dow Chemical as part of the 1993 transaction under which Schlumberger acquired Dow Chemical's 50% share of the Dowell Schlumberger joint venture.</w:t>
      </w:r>
    </w:p>
    <w:p>
      <w:pPr>
        <w:spacing w:after="0" w:line="5" w:lineRule="exact"/>
        <w:rPr>
          <w:rFonts w:ascii="Courier New" w:cs="Courier New" w:eastAsia="Courier New" w:hAnsi="Courier New"/>
          <w:sz w:val="15"/>
          <w:szCs w:val="15"/>
          <w:color w:val="auto"/>
        </w:rPr>
      </w:pPr>
    </w:p>
    <w:p>
      <w:pPr>
        <w:ind w:left="540" w:right="4019" w:hanging="52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41999 includes $304 million received in settlement of intercompany balances between Schlumberger and Sedco Forex.</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At December 31, 2001, Schlumberger's liquidity was negative (debt exceeded cash plus investments). At December 31, 2001, Schlumberger had cash/short-term investments of $1.6 billion and remaining capacity in debt facilities of $2.5 billion which are sufficient to meet future business requirements.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Based on forecast 2002 net income, depreciation/amortization estimates, and other liquidity components, Schlumberger expects to improve liquidity with an objective of reaching a net debt to capitalization ratio below 30% by 2003. This will largely be dependent upon Oilfield Services operating results and the successful completion of certain business divestitures.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Acquisition of Sema plc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On February 12, 2001, Schlumberger announced that it had reached an agreement with the board of directors of Sema plc on the terms of a recommended offer for the entire issued and to be issued share capital of Sema plc.</w:t>
      </w:r>
    </w:p>
    <w:p>
      <w:pPr>
        <w:spacing w:after="0" w:line="16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On March 8, 2001, a wholly owned subsidiary of Schlumberger acquired, through market purchases, approximately 20% of the issued share capital of Sema at a cost of $1 billion.</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On October 3, 2001, a wholly owned subsidiaries of Schlumberger issued $1.9 billion European bonds (Euro 1.4 billion and (pound)425 million). The average interest rate of these bonds is 5.9% with maturity from 2008 through 2032. The proceeds from the issues were used to repay short-term bank loans originally taken out by those subsidiaries to finance the acquisition of Sema plc.</w:t>
      </w:r>
    </w:p>
    <w:p>
      <w:pPr>
        <w:spacing w:after="0" w:line="16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acquisition was accounted for using the purchase method of accounting and the goodwill and identifiable intangibles aggregated $5.19 billion which are being amortized on a straight-line basis. Goodwill and identifiable intangibles were amortized on a straight-line basis over a composite life of 18 years.</w:t>
      </w:r>
    </w:p>
    <w:p>
      <w:pPr>
        <w:spacing w:after="0" w:line="16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aggregate value of goodwill and identifiable intangibles comprised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360" w:type="dxa"/>
            <w:vAlign w:val="bottom"/>
          </w:tcPr>
          <w:p>
            <w:pPr>
              <w:ind w:left="600"/>
              <w:spacing w:after="0"/>
              <w:rPr>
                <w:sz w:val="20"/>
                <w:szCs w:val="20"/>
                <w:color w:val="auto"/>
              </w:rPr>
            </w:pPr>
            <w:r>
              <w:rPr>
                <w:rFonts w:ascii="Courier New" w:cs="Courier New" w:eastAsia="Courier New" w:hAnsi="Courier New"/>
                <w:sz w:val="15"/>
                <w:szCs w:val="15"/>
                <w:color w:val="auto"/>
                <w:w w:val="96"/>
              </w:rPr>
              <w:t>(Stated in billions)</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Cost (including expenses)</w:t>
            </w:r>
          </w:p>
        </w:tc>
        <w:tc>
          <w:tcPr>
            <w:tcW w:w="23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$ 5.15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accounting adjustments/1/</w:t>
            </w:r>
          </w:p>
        </w:tc>
        <w:tc>
          <w:tcPr>
            <w:tcW w:w="2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tangible assets acquired</w:t>
            </w:r>
          </w:p>
        </w:tc>
        <w:tc>
          <w:tcPr>
            <w:tcW w:w="2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3600" w:type="dxa"/>
            <w:vAlign w:val="bottom"/>
          </w:tcPr>
          <w:p>
            <w:pPr>
              <w:spacing w:after="0"/>
              <w:rPr>
                <w:sz w:val="14"/>
                <w:szCs w:val="14"/>
                <w:color w:val="auto"/>
              </w:rPr>
            </w:pPr>
          </w:p>
        </w:tc>
        <w:tc>
          <w:tcPr>
            <w:tcW w:w="2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$ 5.19</w:t>
            </w:r>
          </w:p>
        </w:tc>
      </w:tr>
      <w:tr>
        <w:trPr>
          <w:trHeight w:val="168"/>
        </w:trPr>
        <w:tc>
          <w:tcPr>
            <w:tcW w:w="3600" w:type="dxa"/>
            <w:vAlign w:val="bottom"/>
          </w:tcPr>
          <w:p>
            <w:pPr>
              <w:spacing w:after="0"/>
              <w:rPr>
                <w:sz w:val="14"/>
                <w:szCs w:val="14"/>
                <w:color w:val="auto"/>
              </w:rPr>
            </w:pPr>
          </w:p>
        </w:tc>
        <w:tc>
          <w:tcPr>
            <w:tcW w:w="2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80" w:right="3239" w:hanging="433"/>
        <w:spacing w:after="0" w:line="255"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accounting adjustments consisted primarily of severance costs ($84 million - 1781 people), facility reductions ($33 million), pension plan adjustments ($136 million) and tax restructuring costs ($50 million). At December 31, 2001, $26 million (593 people) of the severance costs had been paid. The remaining severance costs are expected to be paid before June 30, 2002.</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twelve months ended December 31, 2001 would have increased by $538 million to $14.3 billion and consolidated net income would have decreased by approximately $140 million, to $382 million, related primarily to increased interest expense, amortization of intangibles and lower interest income. On a proforma basis, Schlumberger 2000 operating revenue and net income would have been $12 billion and $300 million, respectively.</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Sema is an IT services company (with approximately 22,000 employees at the date of acquisition)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Businesses Divestitures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2001, Schlumberger divested the following businesses:</w:t>
      </w:r>
    </w:p>
    <w:p>
      <w:pPr>
        <w:spacing w:after="0" w:line="173" w:lineRule="exact"/>
        <w:rPr>
          <w:sz w:val="20"/>
          <w:szCs w:val="20"/>
          <w:color w:val="auto"/>
        </w:rPr>
      </w:pPr>
    </w:p>
    <w:p>
      <w:pPr>
        <w:ind w:left="800" w:right="3319" w:hanging="528"/>
        <w:spacing w:after="0" w:line="236" w:lineRule="auto"/>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the Oilfield Services worldwide gas compression activity primarily consisting of the Production Operators Corp. subsidiary. The proceeds included $274 million in cash, a $150 million long-term subordinated note and newly issued Hanover Compressor Company shares with a value of $173 million. The shares have a three year marketability restriction. The after-tax gain was $52 million.</w:t>
      </w:r>
    </w:p>
    <w:p>
      <w:pPr>
        <w:spacing w:after="0" w:line="175" w:lineRule="exact"/>
        <w:rPr>
          <w:sz w:val="20"/>
          <w:szCs w:val="20"/>
          <w:color w:val="auto"/>
        </w:rPr>
      </w:pPr>
    </w:p>
    <w:p>
      <w:pPr>
        <w:ind w:left="800" w:right="3319" w:hanging="528"/>
        <w:spacing w:after="0" w:line="235" w:lineRule="auto"/>
        <w:tabs>
          <w:tab w:leader="none" w:pos="8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the Resource Management Services North American water metering activities. Cash proceeds were $304 million and the after-tax gain was $117 million.</w:t>
      </w:r>
    </w:p>
    <w:p>
      <w:pPr>
        <w:spacing w:after="0" w:line="174" w:lineRule="exact"/>
        <w:rPr>
          <w:sz w:val="20"/>
          <w:szCs w:val="20"/>
          <w:color w:val="auto"/>
        </w:rPr>
      </w:pPr>
    </w:p>
    <w:p>
      <w:pPr>
        <w:ind w:left="800" w:right="3499" w:hanging="528"/>
        <w:spacing w:after="0" w:line="236" w:lineRule="auto"/>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the Resource Management Services non-North American electricity and water meter, and worldwide gas meter businesses. The net cash proceeds were $256 million and the after-tax loss was $300 million, of which $280 million had been recorded as an impairment charge in June (See "Charges-Continuing Operations").</w:t>
      </w:r>
    </w:p>
    <w:p>
      <w:pPr>
        <w:spacing w:after="0" w:line="174" w:lineRule="exact"/>
        <w:rPr>
          <w:sz w:val="20"/>
          <w:szCs w:val="20"/>
          <w:color w:val="auto"/>
        </w:rPr>
      </w:pPr>
    </w:p>
    <w:p>
      <w:pPr>
        <w:jc w:val="both"/>
        <w:ind w:left="800" w:right="3499" w:hanging="528"/>
        <w:spacing w:after="0" w:line="235" w:lineRule="auto"/>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the Yield Enhancement Systems division of Semiconductor Solutions. Cash proceeds were $62 million and the after-tax gain was $12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Major Contractual 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(Stated in millions)</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Commitments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Payment Period</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1640" w:val="left"/>
          <w:tab w:leader="none" w:pos="2860" w:val="left"/>
          <w:tab w:leader="none" w:pos="4100" w:val="left"/>
        </w:tabs>
        <w:rPr>
          <w:sz w:val="20"/>
          <w:szCs w:val="20"/>
          <w:color w:val="auto"/>
        </w:rPr>
      </w:pPr>
      <w:r>
        <w:rPr>
          <w:rFonts w:ascii="Courier New" w:cs="Courier New" w:eastAsia="Courier New" w:hAnsi="Courier New"/>
          <w:sz w:val="15"/>
          <w:szCs w:val="15"/>
          <w:color w:val="auto"/>
        </w:rPr>
        <w:t>Less than 1 year</w:t>
        <w:tab/>
        <w:t>2-3 years</w:t>
      </w:r>
      <w:r>
        <w:rPr>
          <w:sz w:val="20"/>
          <w:szCs w:val="20"/>
          <w:color w:val="auto"/>
        </w:rPr>
        <w:tab/>
      </w:r>
      <w:r>
        <w:rPr>
          <w:rFonts w:ascii="Courier New" w:cs="Courier New" w:eastAsia="Courier New" w:hAnsi="Courier New"/>
          <w:sz w:val="15"/>
          <w:szCs w:val="15"/>
          <w:color w:val="auto"/>
        </w:rPr>
        <w:t>4-5 years</w:t>
      </w:r>
      <w:r>
        <w:rPr>
          <w:sz w:val="20"/>
          <w:szCs w:val="20"/>
          <w:color w:val="auto"/>
        </w:rPr>
        <w:tab/>
      </w:r>
      <w:r>
        <w:rPr>
          <w:rFonts w:ascii="Courier New" w:cs="Courier New" w:eastAsia="Courier New" w:hAnsi="Courier New"/>
          <w:sz w:val="14"/>
          <w:szCs w:val="14"/>
          <w:color w:val="auto"/>
        </w:rPr>
        <w:t>After 5 years</w:t>
      </w:r>
    </w:p>
    <w:p>
      <w:pPr>
        <w:ind w:left="180"/>
        <w:spacing w:after="0"/>
        <w:tabs>
          <w:tab w:leader="none" w:pos="2860" w:val="left"/>
          <w:tab w:leader="none" w:pos="426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3">
            <w:col w:w="2980" w:space="260"/>
            <w:col w:w="1060" w:space="80"/>
            <w:col w:w="5859"/>
          </w:cols>
          <w:pgMar w:left="220" w:top="6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$ 6,216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$ 3,700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$ 623</w:t>
      </w:r>
    </w:p>
    <w:p>
      <w:pPr>
        <w:spacing w:after="0" w:line="20" w:lineRule="exact"/>
        <w:rPr>
          <w:sz w:val="20"/>
          <w:szCs w:val="20"/>
          <w:color w:val="auto"/>
        </w:rPr>
      </w:pPr>
      <w:r>
        <w:rPr>
          <w:sz w:val="20"/>
          <w:szCs w:val="20"/>
          <w:color w:val="auto"/>
        </w:rPr>
        <w:br w:type="column"/>
      </w:r>
    </w:p>
    <w:p>
      <w:pPr>
        <w:jc w:val="center"/>
        <w:ind w:right="879"/>
        <w:spacing w:after="0"/>
        <w:rPr>
          <w:sz w:val="20"/>
          <w:szCs w:val="20"/>
          <w:color w:val="auto"/>
        </w:rPr>
      </w:pPr>
      <w:r>
        <w:rPr>
          <w:rFonts w:ascii="Courier New" w:cs="Courier New" w:eastAsia="Courier New" w:hAnsi="Courier New"/>
          <w:sz w:val="14"/>
          <w:szCs w:val="14"/>
          <w:color w:val="auto"/>
        </w:rPr>
        <w:t>$ 1,893</w:t>
      </w:r>
    </w:p>
    <w:p>
      <w:pPr>
        <w:spacing w:after="0" w:line="177" w:lineRule="exact"/>
        <w:rPr>
          <w:sz w:val="20"/>
          <w:szCs w:val="20"/>
          <w:color w:val="auto"/>
        </w:rPr>
      </w:pPr>
    </w:p>
    <w:p>
      <w:pPr>
        <w:sectPr>
          <w:pgSz w:w="11900" w:h="16838" w:orient="portrait"/>
          <w:cols w:equalWidth="0" w:num="7">
            <w:col w:w="2700" w:space="720"/>
            <w:col w:w="760" w:space="720"/>
            <w:col w:w="100" w:space="260"/>
            <w:col w:w="160" w:space="720"/>
            <w:col w:w="600" w:space="700"/>
            <w:col w:w="600" w:space="720"/>
            <w:col w:w="14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Leases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$ 173</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595</w:t>
      </w:r>
    </w:p>
    <w:p>
      <w:pPr>
        <w:spacing w:after="0" w:line="200" w:lineRule="exact"/>
        <w:rPr>
          <w:sz w:val="20"/>
          <w:szCs w:val="20"/>
          <w:color w:val="auto"/>
        </w:rPr>
      </w:pPr>
    </w:p>
    <w:p>
      <w:pPr>
        <w:sectPr>
          <w:pgSz w:w="11900" w:h="16838" w:orient="portrait"/>
          <w:cols w:equalWidth="0" w:num="7">
            <w:col w:w="2700" w:space="720"/>
            <w:col w:w="760" w:space="720"/>
            <w:col w:w="520" w:space="720"/>
            <w:col w:w="600" w:space="700"/>
            <w:col w:w="600" w:space="720"/>
            <w:col w:w="80" w:space="260"/>
            <w:col w:w="1139"/>
          </w:cols>
          <w:pgMar w:left="220" w:top="617" w:right="1440" w:bottom="1440" w:gutter="0" w:footer="0" w:header="0"/>
          <w:type w:val="continuous"/>
        </w:sectPr>
      </w:pPr>
    </w:p>
    <w:p>
      <w:pPr>
        <w:spacing w:after="0" w:line="31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Letters of credit/guarantees outstanding aggregated $569 million at December 31, 2001. In August 2001, Schlumberger sold its worldwide gas compression business. As part of the transaction, Schlumberger agreed that the financing of a certain joint venture project would be non-recourse to the buyer and would be executed prior to December 31, 2002. Accordingly, Schlumberger is obligated with respect to the financing to guarantee 30% (approximately $80 million) until the project is completed in late 2002. If as of December 31, 2002 the refinancing has not become non-recourse to the buyer or the project has not achieved substantial completion, the buyer has an option to put its interest in such joint venture back to Schlumberger. The gain on the sale of this joint venture has been deferred. The amount of letters of credit/guarantees above include the $80 million.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general, the remaining amount of letters of credit/guarantees relate to business performance bonds, custom/excise tax commitments, facility lease/rental obligations, etc. All such were entered into in the ordinary course of business and are customary practices in the various countries where Schlumberger operates.</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At December 31, 2001, Schlumberger had outstanding $176 million in off-balance sheet indebtedness in the form of a customer receivable securitization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type w:val="continuous"/>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Common Stock, Market Prices and Dividends Declared per Share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Quarterly high and low prices for Schlumberger common stock as reported by the New York Stock Exchange (composite transactions), together with dividends declared per share in each quarter of 2001 and 2000, were: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8"/>
              </w:rPr>
              <w:t>Price Range</w:t>
            </w: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Dividends</w:t>
            </w:r>
          </w:p>
        </w:tc>
      </w:tr>
      <w:tr>
        <w:trPr>
          <w:trHeight w:val="168"/>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High</w:t>
            </w:r>
          </w:p>
        </w:tc>
        <w:tc>
          <w:tcPr>
            <w:tcW w:w="3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Low</w:t>
            </w:r>
          </w:p>
        </w:tc>
        <w:tc>
          <w:tcPr>
            <w:tcW w:w="3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Declared</w:t>
            </w:r>
          </w:p>
        </w:tc>
      </w:tr>
      <w:tr>
        <w:trPr>
          <w:trHeight w:val="168"/>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QUARTERS</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82.810</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57.300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w:t>
            </w:r>
          </w:p>
        </w:tc>
        <w:tc>
          <w:tcPr>
            <w:tcW w:w="840" w:type="dxa"/>
            <w:vAlign w:val="bottom"/>
          </w:tcPr>
          <w:p>
            <w:pPr>
              <w:spacing w:after="0"/>
              <w:rPr>
                <w:sz w:val="14"/>
                <w:szCs w:val="14"/>
                <w:color w:val="auto"/>
              </w:rPr>
            </w:pP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69.250</w:t>
            </w:r>
          </w:p>
        </w:tc>
        <w:tc>
          <w:tcPr>
            <w:tcW w:w="3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51.150</w:t>
            </w:r>
          </w:p>
        </w:tc>
        <w:tc>
          <w:tcPr>
            <w:tcW w:w="3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w:t>
            </w:r>
          </w:p>
        </w:tc>
        <w:tc>
          <w:tcPr>
            <w:tcW w:w="840" w:type="dxa"/>
            <w:vAlign w:val="bottom"/>
          </w:tcPr>
          <w:p>
            <w:pPr>
              <w:spacing w:after="0"/>
              <w:rPr>
                <w:sz w:val="14"/>
                <w:szCs w:val="14"/>
                <w:color w:val="auto"/>
              </w:rPr>
            </w:pP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56.900</w:t>
            </w:r>
          </w:p>
        </w:tc>
        <w:tc>
          <w:tcPr>
            <w:tcW w:w="3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40.840</w:t>
            </w:r>
          </w:p>
        </w:tc>
        <w:tc>
          <w:tcPr>
            <w:tcW w:w="3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w:t>
            </w:r>
          </w:p>
        </w:tc>
        <w:tc>
          <w:tcPr>
            <w:tcW w:w="840" w:type="dxa"/>
            <w:vAlign w:val="bottom"/>
          </w:tcPr>
          <w:p>
            <w:pPr>
              <w:spacing w:after="0"/>
              <w:rPr>
                <w:sz w:val="14"/>
                <w:szCs w:val="14"/>
                <w:color w:val="auto"/>
              </w:rPr>
            </w:pP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56.750</w:t>
            </w:r>
          </w:p>
        </w:tc>
        <w:tc>
          <w:tcPr>
            <w:tcW w:w="3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42.050</w:t>
            </w:r>
          </w:p>
        </w:tc>
        <w:tc>
          <w:tcPr>
            <w:tcW w:w="3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QUARTERS</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First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20"/>
              <w:spacing w:after="0"/>
              <w:rPr>
                <w:sz w:val="20"/>
                <w:szCs w:val="20"/>
                <w:color w:val="auto"/>
              </w:rPr>
            </w:pPr>
            <w:r>
              <w:rPr>
                <w:rFonts w:ascii="Courier New" w:cs="Courier New" w:eastAsia="Courier New" w:hAnsi="Courier New"/>
                <w:sz w:val="15"/>
                <w:szCs w:val="15"/>
                <w:color w:val="auto"/>
              </w:rPr>
              <w:t>84.375</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53.500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w:t>
            </w:r>
          </w:p>
        </w:tc>
        <w:tc>
          <w:tcPr>
            <w:tcW w:w="840" w:type="dxa"/>
            <w:vAlign w:val="bottom"/>
          </w:tcPr>
          <w:p>
            <w:pPr>
              <w:spacing w:after="0"/>
              <w:rPr>
                <w:sz w:val="14"/>
                <w:szCs w:val="14"/>
                <w:color w:val="auto"/>
              </w:rPr>
            </w:pP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84.250</w:t>
            </w:r>
          </w:p>
        </w:tc>
        <w:tc>
          <w:tcPr>
            <w:tcW w:w="3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66.813</w:t>
            </w:r>
          </w:p>
        </w:tc>
        <w:tc>
          <w:tcPr>
            <w:tcW w:w="3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w:t>
            </w:r>
          </w:p>
        </w:tc>
        <w:tc>
          <w:tcPr>
            <w:tcW w:w="840" w:type="dxa"/>
            <w:vAlign w:val="bottom"/>
          </w:tcPr>
          <w:p>
            <w:pPr>
              <w:spacing w:after="0"/>
              <w:rPr>
                <w:sz w:val="14"/>
                <w:szCs w:val="14"/>
                <w:color w:val="auto"/>
              </w:rPr>
            </w:pP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88.875</w:t>
            </w:r>
          </w:p>
        </w:tc>
        <w:tc>
          <w:tcPr>
            <w:tcW w:w="3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68.625</w:t>
            </w:r>
          </w:p>
        </w:tc>
        <w:tc>
          <w:tcPr>
            <w:tcW w:w="3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w:t>
            </w:r>
          </w:p>
        </w:tc>
        <w:tc>
          <w:tcPr>
            <w:tcW w:w="840" w:type="dxa"/>
            <w:vAlign w:val="bottom"/>
          </w:tcPr>
          <w:p>
            <w:pPr>
              <w:spacing w:after="0"/>
              <w:rPr>
                <w:sz w:val="14"/>
                <w:szCs w:val="14"/>
                <w:color w:val="auto"/>
              </w:rPr>
            </w:pP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86.375</w:t>
            </w:r>
          </w:p>
        </w:tc>
        <w:tc>
          <w:tcPr>
            <w:tcW w:w="3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61.125</w:t>
            </w:r>
          </w:p>
        </w:tc>
        <w:tc>
          <w:tcPr>
            <w:tcW w:w="3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number of holders of record of Schlumberger common stock at December 31, 2001, was approximately 23,000. There are no legal restrictions on the payment of dividends or ownership or voting of such shares, except as to shares held in the Schlumberger Treasury. US stockholders are not subject to any Netherlands Antilles withholding or other Netherlands Antilles taxes attributable to ownership of such shares.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timing, scope of remediation, future technology, regulatory changes and other factors, it is possible that the ultimate remediation costs may exceed the amounts estimated. However, in the opinion of management, such additional costs are not expected to be material relative to consolidated cash flow, financial position or future results of operations. Consistent with the Schlumberger commitment to protection of the environment, safety and employee health, additional costs, including capital expenditures, are incurred related to current operations.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June 2001, SFAS 141 (Business Combinations) and SFAS 142 (Goodwill and Other Intangible Assets) were issued. SFAS 141 has been adopted by Schlumberger for acquisitions subsequent to June 30, 2001. SFAS 142 will be adopted by Schlumberger commencing January 1, 2002. As required by SFAS 142, Schlumberger will undertake a review for impairment in 2002. The preliminary findings of an independent valuation indicated there will be no impairment writedown in 2002.</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85" w:right="1440" w:bottom="1440" w:gutter="0" w:footer="0" w:header="0"/>
        </w:sectPr>
      </w:pPr>
    </w:p>
    <w:bookmarkStart w:id="25" w:name="page26"/>
    <w:bookmarkEnd w:id="25"/>
    <w:p>
      <w:pPr>
        <w:ind w:right="3839"/>
        <w:spacing w:after="0" w:line="234" w:lineRule="auto"/>
        <w:rPr>
          <w:sz w:val="20"/>
          <w:szCs w:val="20"/>
          <w:color w:val="auto"/>
        </w:rPr>
      </w:pPr>
      <w:r>
        <w:rPr>
          <w:rFonts w:ascii="Courier New" w:cs="Courier New" w:eastAsia="Courier New" w:hAnsi="Courier New"/>
          <w:sz w:val="15"/>
          <w:szCs w:val="15"/>
          <w:color w:val="auto"/>
        </w:rPr>
        <w:t>Amortization of goodwill and other intangibles included in Schlumberger's results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336"/>
        </w:trPr>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Pretax</w:t>
            </w:r>
          </w:p>
        </w:tc>
        <w:tc>
          <w:tcPr>
            <w:tcW w:w="240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5160" w:type="dxa"/>
            <w:vAlign w:val="bottom"/>
            <w:gridSpan w:val="3"/>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24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8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4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$ 270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$ 96</w:t>
            </w:r>
          </w:p>
        </w:tc>
        <w:tc>
          <w:tcPr>
            <w:tcW w:w="240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$ 85</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force</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intangibles</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24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$ 347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$ 101</w:t>
            </w:r>
          </w:p>
        </w:tc>
        <w:tc>
          <w:tcPr>
            <w:tcW w:w="24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$ 85</w:t>
            </w:r>
          </w:p>
        </w:tc>
      </w:tr>
      <w:tr>
        <w:trPr>
          <w:trHeight w:val="168"/>
        </w:trPr>
        <w:tc>
          <w:tcPr>
            <w:tcW w:w="18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With the adoption of SFAS 142, the equivalent amount of amortization for other intangibles is estimated to be $70 million in 2002. Amortization of goodwill and work force ceases.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June 2001, SFAS 143 (Accounting for Asset Retirement Obligations) was issued. SFAS 143 will be adopted by Schlumberger commencing January 1, 2003. Schlumberger does not believe that the implementation of this standard will have any material effect on its financial position and results of operations.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August 2001, SFAS 144 (Accounting for Impairment or Disposal of Long-Lived Assets) was issued. SFAS 144 will be adopted by Schlumberger commencing January 1, 2002. Schlumberger does not believe that the implementation of this standard will have any material effect on its financial position and results of operations.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November, the FASB EITF staff issued announcement Topic D-103, "Income Statement Characterization of Reimbursements Received for "Out-of-Pocket"". As a result, customer reimbursements, including those relating to travel and other out-of-pocket expenses, and other similar third-party costs, will be required to be included as Revenues effective January 1, 2002, and an equivalent amount of reimbursable expenses will be included in expenses. The adoption of this announcement will not have an effect on net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Disclosures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January 1, 1999, the euro became the official single currency of the European Economic and Monetary Union. As of this date, the conversion rates of the national currencies of the member states adopting the euro were fixed irrevocably. On January 1, 2002, euro notes and coins were introduced into the twelve countries of the euro area and the national currencies of these countries will cease to become legal tender by February 28, 2002.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cautions that, except for historical information, statements in this annual report, the fourth quarter 2001 earnings release and associated conference call, and elsewhere may constitute forward-looking statements. These include statements as to expectations, beliefs and future financial performance, such as statements regarding business prospects in the key industries in which Schlumberger operates and growth opportunities for Schlumberger in those industries.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These statements involve a number of risks, uncertainties, assumptions and other factors that could cause actual results to differ materially from those in the forward-looking statements. Such factors include: continuing customer commitment to certain key long-term oilfield projects and IT services and solutions contracts; changes in E&amp;P spending by major oil and gas companies, including renewed growth in gas drilling; economic, competitive and technological factors affecting markets, services, and prices in SchlumbergerSema businesses, including changes in IT spending, the extent and timing of a recovery in the telecommunications industry segment, utilities investment in utility management solutions, and continued demand for smart cards;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92" w:right="1440" w:bottom="1440" w:gutter="0" w:footer="0" w:header="0"/>
        </w:sectPr>
      </w:pPr>
    </w:p>
    <w:bookmarkStart w:id="26" w:name="page27"/>
    <w:bookmarkEnd w:id="26"/>
    <w:p>
      <w:pPr>
        <w:ind w:right="3239"/>
        <w:spacing w:after="0" w:line="236" w:lineRule="auto"/>
        <w:rPr>
          <w:sz w:val="20"/>
          <w:szCs w:val="20"/>
          <w:color w:val="auto"/>
        </w:rPr>
      </w:pPr>
      <w:r>
        <w:rPr>
          <w:rFonts w:ascii="Courier New" w:cs="Courier New" w:eastAsia="Courier New" w:hAnsi="Courier New"/>
          <w:sz w:val="15"/>
          <w:szCs w:val="15"/>
          <w:color w:val="auto"/>
        </w:rPr>
        <w:t>Schlumberger's ability to integrate newly acquired businesses and to realize identified synergies and cost savings from those acquisitions; Schlumberger's ability to meet its identified liquidity projections including the generation of sufficient cash flow from oilfield operating results and the successful completion of certain business divestures; general economic and business conditions in key regions of the world, including potential currency and business exposure in Argentina; and changes in business strategy.</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&amp; Qualitative Disclosures about Market Risk</w:t>
      </w:r>
    </w:p>
    <w:p>
      <w:pPr>
        <w:spacing w:after="0"/>
        <w:tabs>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178"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Schlumberger Oilfield Services has operations in Argentina which represented about 1.6% of the 2001 Oilfield Services operating revenue. In light of the present financial/economic crisis in Argentina, Schlumberger is reviewing its potential currency and business exposure, and taking appropriate steps to minimize the risks. While the ultimate loss is not determinable at this time, such loss will not have a significant effect on Schlumberger's consolidated financial position or liquidity.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498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w w:val="96"/>
              </w:rPr>
              <w:t>Financials Statements and Supplementary Data</w:t>
            </w:r>
          </w:p>
        </w:tc>
        <w:tc>
          <w:tcPr>
            <w:tcW w:w="18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98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6220" w:type="dxa"/>
            <w:vAlign w:val="bottom"/>
            <w:gridSpan w:val="3"/>
          </w:tcPr>
          <w:p>
            <w:pPr>
              <w:jc w:val="center"/>
              <w:ind w:left="727"/>
              <w:spacing w:after="0"/>
              <w:rPr>
                <w:sz w:val="20"/>
                <w:szCs w:val="20"/>
                <w:color w:val="auto"/>
              </w:rPr>
            </w:pPr>
            <w:r>
              <w:rPr>
                <w:rFonts w:ascii="Courier New" w:cs="Courier New" w:eastAsia="Courier New" w:hAnsi="Courier New"/>
                <w:sz w:val="15"/>
                <w:szCs w:val="15"/>
                <w:color w:val="auto"/>
                <w:w w:val="97"/>
              </w:rPr>
              <w:t>SCHLUMBERGER LIMITED (SCHLUMBERGER N.V., INCORPORATED IN THE</w:t>
            </w: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498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NETHERLANDS ANTILLES) AND SUBSIDIARY COMPANIES</w:t>
            </w:r>
          </w:p>
        </w:tc>
        <w:tc>
          <w:tcPr>
            <w:tcW w:w="18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1240" w:type="dxa"/>
            <w:vAlign w:val="bottom"/>
          </w:tcPr>
          <w:p>
            <w:pPr>
              <w:spacing w:after="0"/>
              <w:rPr>
                <w:sz w:val="24"/>
                <w:szCs w:val="24"/>
                <w:color w:val="auto"/>
              </w:rPr>
            </w:pPr>
          </w:p>
        </w:tc>
        <w:tc>
          <w:tcPr>
            <w:tcW w:w="4980" w:type="dxa"/>
            <w:vAlign w:val="bottom"/>
            <w:gridSpan w:val="2"/>
          </w:tcPr>
          <w:p>
            <w:pPr>
              <w:jc w:val="center"/>
              <w:ind w:right="387"/>
              <w:spacing w:after="0"/>
              <w:rPr>
                <w:sz w:val="20"/>
                <w:szCs w:val="20"/>
                <w:color w:val="auto"/>
              </w:rPr>
            </w:pPr>
            <w:r>
              <w:rPr>
                <w:rFonts w:ascii="Courier New" w:cs="Courier New" w:eastAsia="Courier New" w:hAnsi="Courier New"/>
                <w:sz w:val="15"/>
                <w:szCs w:val="15"/>
                <w:color w:val="auto"/>
                <w:w w:val="97"/>
              </w:rPr>
              <w:t>CONSOLIDATED STATEMENT OF INCOME</w:t>
            </w: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4980" w:type="dxa"/>
            <w:vAlign w:val="bottom"/>
            <w:gridSpan w:val="2"/>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841"/>
        </w:trPr>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2001</w:t>
            </w:r>
          </w:p>
        </w:tc>
        <w:tc>
          <w:tcPr>
            <w:tcW w:w="18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36"/>
        </w:trPr>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Operating</w:t>
            </w:r>
          </w:p>
        </w:tc>
        <w:tc>
          <w:tcPr>
            <w:tcW w:w="2740" w:type="dxa"/>
            <w:vAlign w:val="bottom"/>
          </w:tcPr>
          <w:p>
            <w:pPr>
              <w:spacing w:after="0"/>
              <w:rPr>
                <w:sz w:val="24"/>
                <w:szCs w:val="24"/>
                <w:color w:val="auto"/>
              </w:rPr>
            </w:pP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$ 13,745,806</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$ 9,611,462</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$ 8,394,947</w:t>
            </w: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242,258</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423,255</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356,758</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13,988,064</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10,034,717</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8,751,705</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Cost of goods sold and services</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10,641,768</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7,514,621</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6,877,635</w:t>
            </w: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704,336</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540,698</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522,240</w:t>
            </w:r>
          </w:p>
        </w:tc>
      </w:tr>
      <w:tr>
        <w:trPr>
          <w:trHeight w:val="168"/>
        </w:trPr>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Marketing</w:t>
            </w:r>
          </w:p>
        </w:tc>
        <w:tc>
          <w:tcPr>
            <w:tcW w:w="2740" w:type="dxa"/>
            <w:vAlign w:val="bottom"/>
          </w:tcPr>
          <w:p>
            <w:pPr>
              <w:spacing w:after="0"/>
              <w:rPr>
                <w:sz w:val="14"/>
                <w:szCs w:val="14"/>
                <w:color w:val="auto"/>
              </w:rPr>
            </w:pP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447,265</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316,816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313,871</w:t>
            </w:r>
          </w:p>
        </w:tc>
      </w:tr>
      <w:tr>
        <w:trPr>
          <w:trHeight w:val="168"/>
        </w:trPr>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w:t>
            </w:r>
          </w:p>
        </w:tc>
        <w:tc>
          <w:tcPr>
            <w:tcW w:w="2740" w:type="dxa"/>
            <w:vAlign w:val="bottom"/>
          </w:tcPr>
          <w:p>
            <w:pPr>
              <w:spacing w:after="0"/>
              <w:rPr>
                <w:sz w:val="14"/>
                <w:szCs w:val="14"/>
                <w:color w:val="auto"/>
              </w:rPr>
            </w:pP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683,613</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425,820</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363,695</w:t>
            </w:r>
          </w:p>
        </w:tc>
      </w:tr>
      <w:tr>
        <w:trPr>
          <w:trHeight w:val="168"/>
        </w:trPr>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2740" w:type="dxa"/>
            <w:vAlign w:val="bottom"/>
          </w:tcPr>
          <w:p>
            <w:pPr>
              <w:spacing w:after="0"/>
              <w:rPr>
                <w:sz w:val="14"/>
                <w:szCs w:val="14"/>
                <w:color w:val="auto"/>
              </w:rPr>
            </w:pP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384,896</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276,081</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192,954</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12,861,878</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9,074,036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8,270,395</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taxes and minority interest</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1,126,186</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960,681</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481,310</w:t>
            </w:r>
          </w:p>
        </w:tc>
      </w:tr>
      <w:tr>
        <w:trPr>
          <w:trHeight w:val="336"/>
        </w:trPr>
        <w:tc>
          <w:tcPr>
            <w:tcW w:w="3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Taxes on income</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575,424</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228,248</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140,772</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before minority interest</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550,762</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732,433</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340,538</w:t>
            </w:r>
          </w:p>
        </w:tc>
      </w:tr>
      <w:tr>
        <w:trPr>
          <w:trHeight w:val="336"/>
        </w:trPr>
        <w:tc>
          <w:tcPr>
            <w:tcW w:w="3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Minority interest</w:t>
            </w:r>
          </w:p>
        </w:tc>
        <w:tc>
          <w:tcPr>
            <w:tcW w:w="2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(28,545)</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2,163</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(11,204)</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522,217</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734,596</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329,334</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Discontinued operations, net of tax</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37,360</w:t>
            </w:r>
          </w:p>
        </w:tc>
      </w:tr>
      <w:tr>
        <w:trPr>
          <w:trHeight w:val="336"/>
        </w:trPr>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740" w:type="dxa"/>
            <w:vAlign w:val="bottom"/>
          </w:tcPr>
          <w:p>
            <w:pPr>
              <w:spacing w:after="0"/>
              <w:rPr>
                <w:sz w:val="14"/>
                <w:szCs w:val="14"/>
                <w:color w:val="auto"/>
              </w:rPr>
            </w:pP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$ 522,217</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$ 734,596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$ 366,694</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share:</w:t>
            </w:r>
          </w:p>
        </w:tc>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$ 0.91</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$ 1.29</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$ 0.60</w:t>
            </w: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r>
      <w:tr>
        <w:trPr>
          <w:trHeight w:val="336"/>
        </w:trPr>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$ 0.91</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$ 1.29</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$ 0.67</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w:t>
            </w:r>
          </w:p>
        </w:tc>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$ 0.91</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$ 1.27</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$ 0.58</w:t>
            </w: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r>
      <w:tr>
        <w:trPr>
          <w:trHeight w:val="336"/>
        </w:trPr>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$ 0.91</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$ 1.27</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$ 0.65</w:t>
            </w:r>
          </w:p>
        </w:tc>
      </w:tr>
      <w:tr>
        <w:trPr>
          <w:trHeight w:val="168"/>
        </w:trPr>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Average shares outstanding</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574,328</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570,028</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548,680</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Average shares outstanding</w:t>
            </w:r>
          </w:p>
        </w:tc>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580,214</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580,076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563,789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85" w:right="1440" w:bottom="1440" w:gutter="0" w:footer="0" w:header="0"/>
        </w:sectPr>
      </w:pPr>
    </w:p>
    <w:bookmarkStart w:id="28" w:name="page29"/>
    <w:bookmarkEnd w:id="28"/>
    <w:p>
      <w:pPr>
        <w:jc w:val="center"/>
        <w:ind w:right="3219"/>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jc w:val="center"/>
        <w:ind w:right="3219"/>
        <w:spacing w:after="0" w:line="237" w:lineRule="auto"/>
        <w:rPr>
          <w:sz w:val="20"/>
          <w:szCs w:val="20"/>
          <w:color w:val="auto"/>
        </w:rPr>
      </w:pPr>
      <w:r>
        <w:rPr>
          <w:rFonts w:ascii="Courier New" w:cs="Courier New" w:eastAsia="Courier New" w:hAnsi="Courier New"/>
          <w:sz w:val="15"/>
          <w:szCs w:val="15"/>
          <w:color w:val="auto"/>
        </w:rPr>
        <w:t>NETHERLANDS ANTILLES) AND SUBSIDIARY COMPANIES</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(Stated in thousands)</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2001</w:t>
            </w:r>
          </w:p>
        </w:tc>
        <w:tc>
          <w:tcPr>
            <w:tcW w:w="2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Cash</w:t>
            </w:r>
          </w:p>
        </w:tc>
        <w:tc>
          <w:tcPr>
            <w:tcW w:w="2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$ 177,704</w:t>
            </w: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$ 160,718</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1,439,997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2,879,432</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Receivables less allowance for doubtful accounts</w:t>
            </w:r>
          </w:p>
        </w:tc>
        <w:tc>
          <w:tcPr>
            <w:tcW w:w="2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(2001 - $145,268;  2000 - $106,503)</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4,028,450</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2,768,848</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1,204,263</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1,111,585</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taxes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321,767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259,184</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532,709</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313,444</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7,704,890</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7,493,211</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Fixed Income Investments, held to maturity</w:t>
            </w:r>
          </w:p>
        </w:tc>
        <w:tc>
          <w:tcPr>
            <w:tcW w:w="2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576,000</w:t>
            </w: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1,547,132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Affiliated Companies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820,806</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654,516</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 less accumulated depreciation</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4,827,879</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4,394,514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Multiclient Seismic Data</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1,028,954</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975,775</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6,260,969</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1,575,710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811,349</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140,717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126,057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271,059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169,463</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120,097</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$ 22,326,367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$ 17,172,731</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$ 4,506,634</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$ 2,910,725</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587,328</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379,916</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 payable</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108,642</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108,043</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 - current portion</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31,990</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36,201</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Bank &amp; short-term loans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983,191</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556,020</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6,217,785</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3,990,905</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6,215,709</w:t>
            </w: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3,573,047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504,797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476,380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372,696</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231,870</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13,310,987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8,272,202</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636,899</w:t>
            </w: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605,313</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2,045,437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1,963,905</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8,314,766</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8,223,476</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(1,694,884)</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(1,752,961)</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(286,838)</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(139,204)</w:t>
            </w:r>
          </w:p>
        </w:tc>
      </w:tr>
      <w:tr>
        <w:trPr>
          <w:trHeight w:val="336"/>
        </w:trPr>
        <w:tc>
          <w:tcPr>
            <w:tcW w:w="5040" w:type="dxa"/>
            <w:vAlign w:val="bottom"/>
          </w:tcPr>
          <w:p>
            <w:pPr>
              <w:spacing w:after="0"/>
              <w:rPr>
                <w:sz w:val="24"/>
                <w:szCs w:val="24"/>
                <w:color w:val="auto"/>
              </w:rPr>
            </w:pP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8,378,481</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8,295,216</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4"/>
                <w:szCs w:val="24"/>
                <w:color w:val="auto"/>
              </w:rPr>
            </w:pP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$ 22,326,367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$ 17,172,731</w:t>
            </w:r>
          </w:p>
        </w:tc>
      </w:tr>
      <w:tr>
        <w:trPr>
          <w:trHeight w:val="168"/>
        </w:trPr>
        <w:tc>
          <w:tcPr>
            <w:tcW w:w="504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449" w:right="1440" w:bottom="1440" w:gutter="0" w:footer="0" w:header="0"/>
        </w:sectPr>
      </w:pPr>
    </w:p>
    <w:bookmarkStart w:id="29" w:name="page30"/>
    <w:bookmarkEnd w:id="29"/>
    <w:p>
      <w:pPr>
        <w:jc w:val="center"/>
        <w:ind w:right="3920"/>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jc w:val="center"/>
        <w:ind w:right="3920"/>
        <w:spacing w:after="0" w:line="237" w:lineRule="auto"/>
        <w:rPr>
          <w:sz w:val="20"/>
          <w:szCs w:val="20"/>
          <w:color w:val="auto"/>
        </w:rPr>
      </w:pPr>
      <w:r>
        <w:rPr>
          <w:rFonts w:ascii="Courier New" w:cs="Courier New" w:eastAsia="Courier New" w:hAnsi="Courier New"/>
          <w:sz w:val="15"/>
          <w:szCs w:val="15"/>
          <w:color w:val="auto"/>
        </w:rPr>
        <w:t>NETHERLANDS ANTILLES) AND SUBSIDIARY COMPANIES</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 OF CASH FLOWS</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(Stated in thousands)</w:t>
            </w: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6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3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2001</w:t>
            </w:r>
          </w:p>
        </w:tc>
        <w:tc>
          <w:tcPr>
            <w:tcW w:w="19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2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$ 522,217</w:t>
            </w:r>
          </w:p>
        </w:tc>
        <w:tc>
          <w:tcPr>
            <w:tcW w:w="1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$ 734,596</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$ 366,694</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 (1)</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1,896,119</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1,270,754</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1,150,344</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Charges and gains on sale of businesses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271,174</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128,508</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Derivatives marked to market</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(49,569)</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Earnings of companies carried at equity,</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7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less dividends received (2001 - $ -;</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7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2000 - $ -; 1999 - $3,401)</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(61,715)</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(39,805)</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(13,904)</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Taxes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14,216</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7,686</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(18,519)</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213,676</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56,619</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32,301</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37,943</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receivables</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(907,535)</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(364,130)</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265,588</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inventories</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(259,290)</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(194,640)</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53,790</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other current assets</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(8,048)</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(38,656)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5,022</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7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 accrued liabilities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204,751</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493,104</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(181,731)</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estimated liability</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7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 taxes on income</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12,626</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(12,069)</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(69,338)</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Decrease (increase) in other assets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17,739</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(63,793)</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(43,166)</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 net</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(141,132)</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(182,729)</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(190,601)</w:t>
            </w:r>
          </w:p>
        </w:tc>
      </w:tr>
      <w:tr>
        <w:trPr>
          <w:trHeight w:val="168"/>
        </w:trPr>
        <w:tc>
          <w:tcPr>
            <w:tcW w:w="4740" w:type="dxa"/>
            <w:vAlign w:val="bottom"/>
          </w:tcPr>
          <w:p>
            <w:pPr>
              <w:spacing w:after="0"/>
              <w:rPr>
                <w:sz w:val="14"/>
                <w:szCs w:val="14"/>
                <w:color w:val="auto"/>
              </w:rPr>
            </w:pP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1,568,172</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1,645,325</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1,704,306</w:t>
            </w:r>
          </w:p>
        </w:tc>
      </w:tr>
      <w:tr>
        <w:trPr>
          <w:trHeight w:val="168"/>
        </w:trPr>
        <w:tc>
          <w:tcPr>
            <w:tcW w:w="4740" w:type="dxa"/>
            <w:vAlign w:val="bottom"/>
          </w:tcPr>
          <w:p>
            <w:pPr>
              <w:spacing w:after="0"/>
              <w:rPr>
                <w:sz w:val="14"/>
                <w:szCs w:val="14"/>
                <w:color w:val="auto"/>
              </w:rPr>
            </w:pP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Purchases of fixed assets</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(2,052,635)</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(1,323,015)</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(792,001)</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Multiclient seismic data capitalized</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(416,188)</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(222,934)</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(226,907)</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Sales/retirements of fixed assets &amp; other</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30,824</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149,494</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68,005</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Acquisition of Sema plc</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(4,778,498)</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businesses acquired</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(452,951)</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(1,075,446)</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(135,338)</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 of businesses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902,953</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154,843</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(increase) in investments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2,430,911</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551,619</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(295,075)</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 of financial instruments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203,572</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Drilling fluids joint venture</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(325,000)</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(291,953)</w:t>
            </w:r>
          </w:p>
        </w:tc>
      </w:tr>
      <w:tr>
        <w:trPr>
          <w:trHeight w:val="168"/>
        </w:trPr>
        <w:tc>
          <w:tcPr>
            <w:tcW w:w="4740" w:type="dxa"/>
            <w:vAlign w:val="bottom"/>
          </w:tcPr>
          <w:p>
            <w:pPr>
              <w:spacing w:after="0"/>
              <w:rPr>
                <w:sz w:val="14"/>
                <w:szCs w:val="14"/>
                <w:color w:val="auto"/>
              </w:rPr>
            </w:pP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(4,335,584)</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(1,765,439)</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(1,794,697)</w:t>
            </w:r>
          </w:p>
        </w:tc>
      </w:tr>
      <w:tr>
        <w:trPr>
          <w:trHeight w:val="168"/>
        </w:trPr>
        <w:tc>
          <w:tcPr>
            <w:tcW w:w="4740" w:type="dxa"/>
            <w:vAlign w:val="bottom"/>
          </w:tcPr>
          <w:p>
            <w:pPr>
              <w:spacing w:after="0"/>
              <w:rPr>
                <w:sz w:val="14"/>
                <w:szCs w:val="14"/>
                <w:color w:val="auto"/>
              </w:rPr>
            </w:pP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(430,328)</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(426,465)</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(410,494)</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employee stock purchase plan</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78,965</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69,089</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70,765</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42,795</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160,281</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103,084</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stock warrants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449,625</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4,815,028</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956,641</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1,062,935</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 of principal on long-term debt</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(2,092,670)</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(724,911)</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(916,242)</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increase (decrease) in short-term debt</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370,608</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113,608</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(242,014)</w:t>
            </w:r>
          </w:p>
        </w:tc>
      </w:tr>
      <w:tr>
        <w:trPr>
          <w:trHeight w:val="168"/>
        </w:trPr>
        <w:tc>
          <w:tcPr>
            <w:tcW w:w="4740" w:type="dxa"/>
            <w:vAlign w:val="bottom"/>
          </w:tcPr>
          <w:p>
            <w:pPr>
              <w:spacing w:after="0"/>
              <w:rPr>
                <w:sz w:val="14"/>
                <w:szCs w:val="14"/>
                <w:color w:val="auto"/>
              </w:rPr>
            </w:pP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2,784,398</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148,243</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117,659</w:t>
            </w:r>
          </w:p>
        </w:tc>
      </w:tr>
      <w:tr>
        <w:trPr>
          <w:trHeight w:val="168"/>
        </w:trPr>
        <w:tc>
          <w:tcPr>
            <w:tcW w:w="4740" w:type="dxa"/>
            <w:vAlign w:val="bottom"/>
          </w:tcPr>
          <w:p>
            <w:pPr>
              <w:spacing w:after="0"/>
              <w:rPr>
                <w:sz w:val="14"/>
                <w:szCs w:val="14"/>
                <w:color w:val="auto"/>
              </w:rPr>
            </w:pP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2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16,986</w:t>
            </w:r>
          </w:p>
        </w:tc>
        <w:tc>
          <w:tcPr>
            <w:tcW w:w="1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28,129</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27,268</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160,718</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132,589</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105,321</w:t>
            </w:r>
          </w:p>
        </w:tc>
      </w:tr>
      <w:tr>
        <w:trPr>
          <w:trHeight w:val="168"/>
        </w:trPr>
        <w:tc>
          <w:tcPr>
            <w:tcW w:w="4740" w:type="dxa"/>
            <w:vAlign w:val="bottom"/>
          </w:tcPr>
          <w:p>
            <w:pPr>
              <w:spacing w:after="0"/>
              <w:rPr>
                <w:sz w:val="14"/>
                <w:szCs w:val="14"/>
                <w:color w:val="auto"/>
              </w:rPr>
            </w:pP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END OF YEAR</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$ 177,704</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$ 160,718</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$ 132,589</w:t>
            </w:r>
          </w:p>
        </w:tc>
      </w:tr>
      <w:tr>
        <w:trPr>
          <w:trHeight w:val="168"/>
        </w:trPr>
        <w:tc>
          <w:tcPr>
            <w:tcW w:w="4740" w:type="dxa"/>
            <w:vAlign w:val="bottom"/>
          </w:tcPr>
          <w:p>
            <w:pPr>
              <w:spacing w:after="0"/>
              <w:rPr>
                <w:sz w:val="14"/>
                <w:szCs w:val="14"/>
                <w:color w:val="auto"/>
              </w:rPr>
            </w:pP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Includes multiclient seismic data costs.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940"/>
          </w:cols>
          <w:pgMar w:left="220" w:top="617" w:right="739" w:bottom="1440" w:gutter="0" w:footer="0" w:header="0"/>
        </w:sectPr>
      </w:pPr>
    </w:p>
    <w:bookmarkStart w:id="30" w:name="page31"/>
    <w:bookmarkEnd w:id="30"/>
    <w:p>
      <w:pPr>
        <w:jc w:val="center"/>
        <w:ind w:right="4520"/>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jc w:val="center"/>
        <w:ind w:right="4520"/>
        <w:spacing w:after="0" w:line="237" w:lineRule="auto"/>
        <w:rPr>
          <w:sz w:val="20"/>
          <w:szCs w:val="20"/>
          <w:color w:val="auto"/>
        </w:rPr>
      </w:pPr>
      <w:r>
        <w:rPr>
          <w:rFonts w:ascii="Courier New" w:cs="Courier New" w:eastAsia="Courier New" w:hAnsi="Courier New"/>
          <w:sz w:val="15"/>
          <w:szCs w:val="15"/>
          <w:color w:val="auto"/>
        </w:rPr>
        <w:t>NETHERLANDS ANTILLES) AND SUBSIDIARY COMPANIES</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 OF STOCKHOLDERS' EQUITY</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2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6"/>
              </w:rPr>
              <w:t>(Dollar amounts stated in thousands)</w:t>
            </w:r>
          </w:p>
        </w:tc>
      </w:tr>
      <w:tr>
        <w:trPr>
          <w:trHeight w:val="336"/>
        </w:trPr>
        <w:tc>
          <w:tcPr>
            <w:tcW w:w="2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80" w:type="dxa"/>
            <w:vAlign w:val="bottom"/>
            <w:gridSpan w:val="6"/>
          </w:tcPr>
          <w:p>
            <w:pPr>
              <w:jc w:val="right"/>
              <w:ind w:right="787"/>
              <w:spacing w:after="0"/>
              <w:rPr>
                <w:sz w:val="20"/>
                <w:szCs w:val="20"/>
                <w:color w:val="auto"/>
              </w:rPr>
            </w:pPr>
            <w:r>
              <w:rPr>
                <w:rFonts w:ascii="Courier New" w:cs="Courier New" w:eastAsia="Courier New" w:hAnsi="Courier New"/>
                <w:sz w:val="15"/>
                <w:szCs w:val="15"/>
                <w:color w:val="auto"/>
              </w:rPr>
              <w:t>Accumulated Other Comprehensive</w:t>
            </w:r>
          </w:p>
        </w:tc>
      </w:tr>
      <w:tr>
        <w:trPr>
          <w:trHeight w:val="168"/>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gridSpan w:val="6"/>
          </w:tcPr>
          <w:p>
            <w:pPr>
              <w:jc w:val="right"/>
              <w:ind w:right="8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30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Issued</w:t>
            </w:r>
          </w:p>
        </w:tc>
        <w:tc>
          <w:tcPr>
            <w:tcW w:w="102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Treasury</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Retained</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Marked to</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Translation</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Comprehensive</w:t>
            </w:r>
          </w:p>
        </w:tc>
      </w:tr>
      <w:tr>
        <w:trPr>
          <w:trHeight w:val="168"/>
        </w:trPr>
        <w:tc>
          <w:tcPr>
            <w:tcW w:w="2640" w:type="dxa"/>
            <w:vAlign w:val="bottom"/>
          </w:tcPr>
          <w:p>
            <w:pPr>
              <w:spacing w:after="0"/>
              <w:rPr>
                <w:sz w:val="14"/>
                <w:szCs w:val="14"/>
                <w:color w:val="auto"/>
              </w:rPr>
            </w:pPr>
          </w:p>
        </w:tc>
        <w:tc>
          <w:tcPr>
            <w:tcW w:w="462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30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Income</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Market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Adjustment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Income</w:t>
            </w:r>
          </w:p>
        </w:tc>
      </w:tr>
      <w:tr>
        <w:trPr>
          <w:trHeight w:val="168"/>
        </w:trPr>
        <w:tc>
          <w:tcPr>
            <w:tcW w:w="2640" w:type="dxa"/>
            <w:vAlign w:val="bottom"/>
          </w:tcPr>
          <w:p>
            <w:pPr>
              <w:spacing w:after="0"/>
              <w:rPr>
                <w:sz w:val="14"/>
                <w:szCs w:val="14"/>
                <w:color w:val="auto"/>
              </w:rPr>
            </w:pPr>
          </w:p>
        </w:tc>
        <w:tc>
          <w:tcPr>
            <w:tcW w:w="89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 ------------------------ ------------------------ ------------ ------------</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January 1, 1999</w:t>
            </w:r>
          </w:p>
        </w:tc>
        <w:tc>
          <w:tcPr>
            <w:tcW w:w="1300" w:type="dxa"/>
            <w:vAlign w:val="bottom"/>
          </w:tcPr>
          <w:p>
            <w:pPr>
              <w:jc w:val="right"/>
              <w:ind w:right="8"/>
              <w:spacing w:after="0"/>
              <w:rPr>
                <w:sz w:val="20"/>
                <w:szCs w:val="20"/>
                <w:color w:val="auto"/>
              </w:rPr>
            </w:pPr>
            <w:r>
              <w:rPr>
                <w:rFonts w:ascii="Courier New" w:cs="Courier New" w:eastAsia="Courier New" w:hAnsi="Courier New"/>
                <w:sz w:val="15"/>
                <w:szCs w:val="15"/>
                <w:color w:val="auto"/>
              </w:rPr>
              <w:t>665,701,858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$ 1,539,408</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(119,567,982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4"/>
              </w:rPr>
              <w:t>$(2,221,308)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$8,882,455</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(81,480)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$ 996,051</w:t>
            </w:r>
          </w:p>
        </w:tc>
      </w:tr>
      <w:tr>
        <w:trPr>
          <w:trHeight w:val="168"/>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(55,678)</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(55,678)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3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28,100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41,931</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3,291,288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61,153</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3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1,324,848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70,765</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366,694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366,694</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 declared ($0.75 per share)</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(414,210)</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Sedco Forex spin-off</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(918,327)</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warrants</w:t>
            </w:r>
          </w:p>
        </w:tc>
        <w:tc>
          <w:tcPr>
            <w:tcW w:w="1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168,082</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15,153,018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281,543</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74"/>
              </w:rPr>
              <w:t>------------------------ ------------------------</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1999</w:t>
            </w:r>
          </w:p>
        </w:tc>
        <w:tc>
          <w:tcPr>
            <w:tcW w:w="13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667,054,806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1,820,186</w:t>
            </w:r>
          </w:p>
        </w:tc>
        <w:tc>
          <w:tcPr>
            <w:tcW w:w="2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(101,123,676)(1,878,612)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7,916,612</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(137,158)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$ 311,016</w:t>
            </w:r>
          </w:p>
        </w:tc>
      </w:tr>
      <w:tr>
        <w:trPr>
          <w:trHeight w:val="168"/>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(28,487)</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(28,487)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of businesses</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30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30,987</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61,224</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5,331,268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99,057</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42,495</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1,431,309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26,594</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734,596</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734,596</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 declared ($0.75 per share)</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(427,732)</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on stock options</w:t>
            </w:r>
          </w:p>
        </w:tc>
        <w:tc>
          <w:tcPr>
            <w:tcW w:w="1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40,000</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74"/>
              </w:rPr>
              <w:t>------------------------ ------------------------</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2000</w:t>
            </w:r>
          </w:p>
        </w:tc>
        <w:tc>
          <w:tcPr>
            <w:tcW w:w="13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667,085,793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1,963,905</w:t>
            </w:r>
          </w:p>
        </w:tc>
        <w:tc>
          <w:tcPr>
            <w:tcW w:w="2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(94,361,099) (1,752,961)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8,223,476</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(139,204)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$ 732,550</w:t>
            </w:r>
          </w:p>
        </w:tc>
      </w:tr>
      <w:tr>
        <w:trPr>
          <w:trHeight w:val="168"/>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(171,930)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(171,930)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RMS disposition</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73,865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73,865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Derivatives marked to market</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(49,569)</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(49,569)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3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8,385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17,130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1,399,686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25,420</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granted to Directors</w:t>
            </w:r>
          </w:p>
        </w:tc>
        <w:tc>
          <w:tcPr>
            <w:tcW w:w="1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46,397</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1,752,833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32,568</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522,217</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522,217</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 declared ($0.75 per share)</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(430,927)</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on stock options</w:t>
            </w:r>
          </w:p>
        </w:tc>
        <w:tc>
          <w:tcPr>
            <w:tcW w:w="1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17,849</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74"/>
              </w:rPr>
              <w:t>------------------------ ------------------------</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2001</w:t>
            </w:r>
          </w:p>
        </w:tc>
        <w:tc>
          <w:tcPr>
            <w:tcW w:w="13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667,094,178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$ 2,045,437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(91,203,780)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$(1,694,884)</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$8,314,766</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(49,569)</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(237,269)</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$ 374,583</w:t>
            </w:r>
          </w:p>
        </w:tc>
      </w:tr>
      <w:tr>
        <w:trPr>
          <w:trHeight w:val="168"/>
        </w:trPr>
        <w:tc>
          <w:tcPr>
            <w:tcW w:w="2640" w:type="dxa"/>
            <w:vAlign w:val="bottom"/>
          </w:tcPr>
          <w:p>
            <w:pPr>
              <w:spacing w:after="0"/>
              <w:rPr>
                <w:sz w:val="14"/>
                <w:szCs w:val="14"/>
                <w:color w:val="auto"/>
              </w:rPr>
            </w:pPr>
          </w:p>
        </w:tc>
        <w:tc>
          <w:tcPr>
            <w:tcW w:w="778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9"/>
              </w:rPr>
              <w:t>======================== ======================== ======================== ============</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540"/>
          </w:cols>
          <w:pgMar w:left="220" w:top="617" w:right="139"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 of America. Refer to page 3 for a description of Schlumberger's businesses.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results for the Sedco Forex operations spun off by Schlumberger are reported as Discontinued Operations in the Consolidated Statement of Income.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majority-owned subsidiaries. Significant 20% - 50% owned companies are carried on the equity method and classified in Investments in Affiliated Companies. The pro rata share of Schlumberger after-tax earnings is included in Interest and Other Income. All inter-company accounts and transactions have been eliminated.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Certain items from prior years have been reclassified to conform to the current year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Significant estimates include estimates of total cost under percentage of completion contracts, useful life of identifiable intangibles, inventory reserves, pension and postretirement actual assumptions and allowances for bad debt. While actual results could differ from these estimates, management believes that the estimates are reasonable.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and Services Revenue</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Schlumberger's products and services are generally sold based upon purchase orders or contracts with the customer that include fixed or determinable prices and that do not include right of return or other similar provisions or other significant post delivery obligations. Revenue is recognized for products upon delivery, customer acceptance and when title passes. Revenue is recognized when services are rendered and collectibility is reasonably assured.</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Certain revenues are recognized on a time and materials basis, or on a percentage of completion basis, depending on the contract, as services are provided. Revenue from time and material service contracts are recognized as the services are provided. Revenue from fixed price contracts is recognized over the contract term based on the percentage of the cost of services provided during the period compared to the total estimated cost of services to be provided over the entire contract. Losses on contracts are recognized during the period in which the loss first becomes probable and reasonably estimated.</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785"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Software Revenue</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Revenue derived from the sale of licenses for its software, maintenance and related services may include installation, consulting and training services.</w:t>
      </w:r>
    </w:p>
    <w:p>
      <w:pPr>
        <w:spacing w:after="0" w:line="16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fee is fixed and determinable and collectibility is probable.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Oilfield Services' functional currency is primarily the US dollar. SchlumbergerSema functional currencies are primarily local currencies. 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Schlumberger policy is to hedge against unrealized gains and losses on a monthly basis. Included in the 2001 results were transaction losses of $7 million, compared with losses of $4 million and $12 million in 2000 and 1999, respectively.</w:t>
      </w:r>
    </w:p>
    <w:p>
      <w:pPr>
        <w:spacing w:after="0" w:line="16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2001, contracts were outstanding for the US dollar equivalent of $851 million in various foreign currencies. These contracts mature on various dates in 2002.</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Both short-term investments and fixed income investments, held to maturity comprise primarily eurodollar time deposits, certificates of deposit and commercial paper, euronotes and eurobonds, substantially all denominated in US dollars. They are stated at cost plus accrued interest, which approximates market.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on December 31, 2001 were not significant.</w:t>
      </w:r>
    </w:p>
    <w:p>
      <w:pPr>
        <w:spacing w:after="0" w:line="178"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For purposes of the Consolidated Statement of Cash Flows, Schlumberger does not consider short-term investments to be cash equivalents as they generally have original maturities in excess of three months.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are stated at average cost or at market, whichever is lower.</w:t>
      </w:r>
    </w:p>
    <w:p>
      <w:pPr>
        <w:spacing w:after="0" w:line="237" w:lineRule="auto"/>
        <w:rPr>
          <w:sz w:val="20"/>
          <w:szCs w:val="20"/>
          <w:color w:val="auto"/>
        </w:rPr>
      </w:pPr>
      <w:r>
        <w:rPr>
          <w:rFonts w:ascii="Courier New" w:cs="Courier New" w:eastAsia="Courier New" w:hAnsi="Courier New"/>
          <w:sz w:val="15"/>
          <w:szCs w:val="15"/>
          <w:color w:val="auto"/>
        </w:rPr>
        <w:t>Inventory consists of materials, supplies and finished goods.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GOODWILL AND INTANGIBLE ASSETS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Goodwill is amortized on a straight-line basis over 5 to 40 years. Accumulated goodwill amortization was $645 million and $563 million on December 31, 2001 and 2000, respectively. Intangible assets consist primarily of assembled workforce, technology, software and patents. Intangible assets are amortized over periods ranging from 3 to 10 years. Accumulated intangible assets amortization at December 31, 2001 and 2000 was $123 million and $35 million,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or assembled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MULTICLIENT SEISMIC DATA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capitalizes the cost of obtaining multiclient surveys. Such costs are charged to Cost of goods sold and services based on a percentage of estimated total revenue that Schlumberger expects to receive from the sales of such data. The carrying value of individual surveys is periodically reviewed and adjustments to the value are made based upon the revised estimated revenues for the surveys.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INTEREST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Schlumberger capitalizes interest expense during the new construction or upgrade of qualifying assets. No interest expense was capitalized in 2001 and 2000. Interest expense capitalized in 1999 was $5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reviews the carrying value of its long-lived assets, including goodwill and intangible assets, whenever events or changes in circumstances indicate that the historical cost-carrying value of an asset may no longer be appropriate.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Approximately $4 billion of consolidated income retained for use in the business on December 31, 2001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785"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(Stated in thousands except per share amounts)</w:t>
      </w:r>
    </w:p>
    <w:p>
      <w:pPr>
        <w:ind w:left="2720"/>
        <w:spacing w:after="0"/>
        <w:tabs>
          <w:tab w:leader="none" w:pos="4620" w:val="left"/>
        </w:tabs>
        <w:rPr>
          <w:sz w:val="20"/>
          <w:szCs w:val="20"/>
          <w:color w:val="auto"/>
        </w:rPr>
      </w:pPr>
      <w:r>
        <w:rPr>
          <w:rFonts w:ascii="Courier New" w:cs="Courier New" w:eastAsia="Courier New" w:hAnsi="Courier New"/>
          <w:sz w:val="15"/>
          <w:szCs w:val="15"/>
          <w:color w:val="auto"/>
        </w:rPr>
        <w:t>Income from</w:t>
      </w:r>
      <w:r>
        <w:rPr>
          <w:sz w:val="20"/>
          <w:szCs w:val="20"/>
          <w:color w:val="auto"/>
        </w:rPr>
        <w:tab/>
      </w:r>
      <w:r>
        <w:rPr>
          <w:rFonts w:ascii="Courier New" w:cs="Courier New" w:eastAsia="Courier New" w:hAnsi="Courier New"/>
          <w:sz w:val="14"/>
          <w:szCs w:val="14"/>
          <w:color w:val="auto"/>
        </w:rPr>
        <w:t>Average</w:t>
      </w:r>
    </w:p>
    <w:p>
      <w:pPr>
        <w:ind w:left="2720"/>
        <w:spacing w:after="0"/>
        <w:tabs>
          <w:tab w:leader="none" w:pos="4620" w:val="left"/>
          <w:tab w:leader="none" w:pos="6280" w:val="left"/>
        </w:tabs>
        <w:rPr>
          <w:sz w:val="20"/>
          <w:szCs w:val="20"/>
          <w:color w:val="auto"/>
        </w:rPr>
      </w:pPr>
      <w:r>
        <w:rPr>
          <w:rFonts w:ascii="Courier New" w:cs="Courier New" w:eastAsia="Courier New" w:hAnsi="Courier New"/>
          <w:sz w:val="15"/>
          <w:szCs w:val="15"/>
          <w:color w:val="auto"/>
        </w:rPr>
        <w:t>Continuing</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Earnings</w:t>
      </w:r>
    </w:p>
    <w:p>
      <w:pPr>
        <w:ind w:left="2720"/>
        <w:spacing w:after="0"/>
        <w:tabs>
          <w:tab w:leader="none" w:pos="4360" w:val="left"/>
          <w:tab w:leader="none" w:pos="620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4"/>
          <w:szCs w:val="14"/>
          <w:color w:val="auto"/>
        </w:rPr>
        <w:t>Per Share</w:t>
      </w:r>
    </w:p>
    <w:p>
      <w:pPr>
        <w:ind w:left="2540"/>
        <w:spacing w:after="0"/>
        <w:tabs>
          <w:tab w:leader="none" w:pos="4280" w:val="left"/>
          <w:tab w:leader="none" w:pos="6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ectPr>
          <w:pgSz w:w="11900" w:h="16838" w:orient="portrait"/>
          <w:cols w:equalWidth="0" w:num="1">
            <w:col w:w="10239"/>
          </w:cols>
          <w:pgMar w:left="220" w:top="785"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$ 522,217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574,328</w:t>
      </w:r>
    </w:p>
    <w:p>
      <w:pPr>
        <w:spacing w:after="0" w:line="20" w:lineRule="exact"/>
        <w:rPr>
          <w:sz w:val="20"/>
          <w:szCs w:val="20"/>
          <w:color w:val="auto"/>
        </w:rPr>
      </w:pPr>
      <w:r>
        <w:rPr>
          <w:sz w:val="20"/>
          <w:szCs w:val="20"/>
          <w:color w:val="auto"/>
        </w:rPr>
        <w:br w:type="column"/>
      </w:r>
    </w:p>
    <w:p>
      <w:pPr>
        <w:ind w:left="700"/>
        <w:spacing w:after="0" w:line="237" w:lineRule="auto"/>
        <w:rPr>
          <w:sz w:val="20"/>
          <w:szCs w:val="20"/>
          <w:color w:val="auto"/>
        </w:rPr>
      </w:pPr>
      <w:r>
        <w:rPr>
          <w:rFonts w:ascii="Courier New" w:cs="Courier New" w:eastAsia="Courier New" w:hAnsi="Courier New"/>
          <w:sz w:val="15"/>
          <w:szCs w:val="15"/>
          <w:color w:val="auto"/>
        </w:rPr>
        <w:t>$ 0.91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4">
            <w:col w:w="2080" w:space="720"/>
            <w:col w:w="1220" w:space="720"/>
            <w:col w:w="600" w:space="520"/>
            <w:col w:w="437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Effects of dilution: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5,886</w:t>
      </w:r>
    </w:p>
    <w:p>
      <w:pPr>
        <w:spacing w:after="0" w:line="177" w:lineRule="exact"/>
        <w:rPr>
          <w:sz w:val="20"/>
          <w:szCs w:val="20"/>
          <w:color w:val="auto"/>
        </w:rPr>
      </w:pPr>
    </w:p>
    <w:p>
      <w:pPr>
        <w:sectPr>
          <w:pgSz w:w="11900" w:h="16838" w:orient="portrait"/>
          <w:cols w:equalWidth="0" w:num="2">
            <w:col w:w="4180" w:space="720"/>
            <w:col w:w="5339"/>
          </w:cols>
          <w:pgMar w:left="220" w:top="785"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$ 522,217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580,214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$ 0.91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1660" w:space="720"/>
            <w:col w:w="1300" w:space="440"/>
            <w:col w:w="1320" w:space="420"/>
            <w:col w:w="437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2000</w:t>
      </w:r>
    </w:p>
    <w:p>
      <w:pPr>
        <w:sectPr>
          <w:pgSz w:w="11900" w:h="16838" w:orient="portrait"/>
          <w:cols w:equalWidth="0" w:num="1">
            <w:col w:w="10239"/>
          </w:cols>
          <w:pgMar w:left="220" w:top="78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$ 734,596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570,028</w:t>
      </w:r>
    </w:p>
    <w:p>
      <w:pPr>
        <w:spacing w:after="0" w:line="20" w:lineRule="exact"/>
        <w:rPr>
          <w:sz w:val="20"/>
          <w:szCs w:val="20"/>
          <w:color w:val="auto"/>
        </w:rPr>
      </w:pPr>
      <w:r>
        <w:rPr>
          <w:sz w:val="20"/>
          <w:szCs w:val="20"/>
          <w:color w:val="auto"/>
        </w:rPr>
        <w:br w:type="column"/>
      </w:r>
    </w:p>
    <w:p>
      <w:pPr>
        <w:ind w:left="700"/>
        <w:spacing w:after="0" w:line="237" w:lineRule="auto"/>
        <w:rPr>
          <w:sz w:val="20"/>
          <w:szCs w:val="20"/>
          <w:color w:val="auto"/>
        </w:rPr>
      </w:pPr>
      <w:r>
        <w:rPr>
          <w:rFonts w:ascii="Courier New" w:cs="Courier New" w:eastAsia="Courier New" w:hAnsi="Courier New"/>
          <w:sz w:val="15"/>
          <w:szCs w:val="15"/>
          <w:color w:val="auto"/>
        </w:rPr>
        <w:t>$ 1.29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4">
            <w:col w:w="2080" w:space="720"/>
            <w:col w:w="1220" w:space="720"/>
            <w:col w:w="600" w:space="520"/>
            <w:col w:w="437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Effects of dilution: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10,048</w:t>
      </w:r>
    </w:p>
    <w:p>
      <w:pPr>
        <w:spacing w:after="0" w:line="177" w:lineRule="exact"/>
        <w:rPr>
          <w:sz w:val="20"/>
          <w:szCs w:val="20"/>
          <w:color w:val="auto"/>
        </w:rPr>
      </w:pPr>
    </w:p>
    <w:p>
      <w:pPr>
        <w:sectPr>
          <w:pgSz w:w="11900" w:h="16838" w:orient="portrait"/>
          <w:cols w:equalWidth="0" w:num="2">
            <w:col w:w="4100" w:space="720"/>
            <w:col w:w="5419"/>
          </w:cols>
          <w:pgMar w:left="220" w:top="785"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$ 734,596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580,076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$ 1.27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1660" w:space="720"/>
            <w:col w:w="1300" w:space="440"/>
            <w:col w:w="1320" w:space="420"/>
            <w:col w:w="437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1999</w:t>
      </w:r>
    </w:p>
    <w:p>
      <w:pPr>
        <w:sectPr>
          <w:pgSz w:w="11900" w:h="16838" w:orient="portrait"/>
          <w:cols w:equalWidth="0" w:num="1">
            <w:col w:w="10239"/>
          </w:cols>
          <w:pgMar w:left="220" w:top="78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$ 329,334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548,680</w:t>
      </w:r>
    </w:p>
    <w:p>
      <w:pPr>
        <w:spacing w:after="0" w:line="20" w:lineRule="exact"/>
        <w:rPr>
          <w:sz w:val="20"/>
          <w:szCs w:val="20"/>
          <w:color w:val="auto"/>
        </w:rPr>
      </w:pPr>
      <w:r>
        <w:rPr>
          <w:sz w:val="20"/>
          <w:szCs w:val="20"/>
          <w:color w:val="auto"/>
        </w:rPr>
        <w:br w:type="column"/>
      </w:r>
    </w:p>
    <w:p>
      <w:pPr>
        <w:ind w:left="700"/>
        <w:spacing w:after="0" w:line="237" w:lineRule="auto"/>
        <w:rPr>
          <w:sz w:val="20"/>
          <w:szCs w:val="20"/>
          <w:color w:val="auto"/>
        </w:rPr>
      </w:pPr>
      <w:r>
        <w:rPr>
          <w:rFonts w:ascii="Courier New" w:cs="Courier New" w:eastAsia="Courier New" w:hAnsi="Courier New"/>
          <w:sz w:val="15"/>
          <w:szCs w:val="15"/>
          <w:color w:val="auto"/>
        </w:rPr>
        <w:t>$ 0.60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4">
            <w:col w:w="2080" w:space="720"/>
            <w:col w:w="1220" w:space="720"/>
            <w:col w:w="600" w:space="520"/>
            <w:col w:w="437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Effects of dilution: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Options</w:t>
      </w:r>
    </w:p>
    <w:p>
      <w:pPr>
        <w:ind w:left="540"/>
        <w:spacing w:after="0" w:line="237" w:lineRule="auto"/>
        <w:rPr>
          <w:sz w:val="20"/>
          <w:szCs w:val="20"/>
          <w:color w:val="auto"/>
        </w:rPr>
      </w:pPr>
      <w:r>
        <w:rPr>
          <w:rFonts w:ascii="Courier New" w:cs="Courier New" w:eastAsia="Courier New" w:hAnsi="Courier New"/>
          <w:sz w:val="15"/>
          <w:szCs w:val="15"/>
          <w:color w:val="auto"/>
        </w:rPr>
        <w:t>Warrants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$ 329,334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7,916</w:t>
      </w:r>
    </w:p>
    <w:p>
      <w:pPr>
        <w:ind w:left="780"/>
        <w:spacing w:after="0" w:line="237" w:lineRule="auto"/>
        <w:rPr>
          <w:sz w:val="20"/>
          <w:szCs w:val="20"/>
          <w:color w:val="auto"/>
        </w:rPr>
      </w:pPr>
      <w:r>
        <w:rPr>
          <w:rFonts w:ascii="Courier New" w:cs="Courier New" w:eastAsia="Courier New" w:hAnsi="Courier New"/>
          <w:sz w:val="15"/>
          <w:szCs w:val="15"/>
          <w:color w:val="auto"/>
        </w:rPr>
        <w:t>7,193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563,789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$ 0.58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1760" w:space="620"/>
            <w:col w:w="1300" w:space="440"/>
            <w:col w:w="1320" w:space="420"/>
            <w:col w:w="4379"/>
          </w:cols>
          <w:pgMar w:left="220" w:top="7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All research and engineering expenditures are expensed as incurred, including costs relating to patents or rights that may result from such expenditures. Included in 2001 expenditures was a charge of $25 million for in-process R&amp;D related to the Bull CP8 acquisition.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June 2001, SFAS 141 (Business Combinations) and SFAS 142 (Goodwill and Other Intangible Assets) were issued. SFAS 141 has been adopted by Schlumberger for acquisitions subsequent to June 30, 2001. SFAS 142 will be adopted by Schlumberger commencing January 1, 2002. As required by SFAS 142, Schlumberger will undertake a review for impairment in 2002. The preliminary findings of an independent valuation indicated there will be no impairment writedown in 2002.</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85" w:right="1440" w:bottom="1440" w:gutter="0" w:footer="0" w:header="0"/>
          <w:type w:val="continuous"/>
        </w:sectPr>
      </w:pPr>
    </w:p>
    <w:bookmarkStart w:id="35" w:name="page36"/>
    <w:bookmarkEnd w:id="35"/>
    <w:p>
      <w:pPr>
        <w:ind w:right="3839"/>
        <w:spacing w:after="0" w:line="234" w:lineRule="auto"/>
        <w:rPr>
          <w:sz w:val="20"/>
          <w:szCs w:val="20"/>
          <w:color w:val="auto"/>
        </w:rPr>
      </w:pPr>
      <w:r>
        <w:rPr>
          <w:rFonts w:ascii="Courier New" w:cs="Courier New" w:eastAsia="Courier New" w:hAnsi="Courier New"/>
          <w:sz w:val="15"/>
          <w:szCs w:val="15"/>
          <w:color w:val="auto"/>
        </w:rPr>
        <w:t>Amortization of goodwill and other intangibles included in Schlumberger's results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r>
      <w:tr>
        <w:trPr>
          <w:trHeight w:val="336"/>
        </w:trPr>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Pretax</w:t>
            </w:r>
          </w:p>
        </w:tc>
        <w:tc>
          <w:tcPr>
            <w:tcW w:w="118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3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8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$ 270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$ 85</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force</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intangibles</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$ 347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$ 85</w:t>
            </w:r>
          </w:p>
        </w:tc>
      </w:tr>
      <w:tr>
        <w:trPr>
          <w:trHeight w:val="168"/>
        </w:trPr>
        <w:tc>
          <w:tcPr>
            <w:tcW w:w="18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With the adoption of SFAS 142, the equivalent amount of amortization for other intangibles is estimated to be $70 million in 2002. Amortization of goodwill and work force ceases.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June 2001, SFAS 143 (Accounting for Asset Retirement Obligations) was issued. SFAS 143 will be adopted by Schlumberger commencing January 1, 2003. Schlumberger does not believe that the implementation of this standard will have any material effect on its financial position and results of operations.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August 2001, SFAS 144 (Accounting for Impairment or Disposal of Long-Lived Assets) was issued. SFAS 144 will be adopted by Schlumberger commencing January 1, 2002. Schlumberger does not believe that the implementation of this standard will have any material effect on its financial position and results of operations.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November, the FASB EITF staff issued announcement Topic D-103, "Income Statement Characterization of Reimbursements Received for "Out-of-Pocket"". As a result, customer reimbursements, including those relating to travel and other out-of-pocket expenses, and other similar third-party costs, will be required to be included as Revenues effective January 1, 2002, and an equivalent amount of reimbursable expenses will be included in expenses. The adoption of this announcement will not have an effect on net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 continuing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recorded the following charges/credits in continuing operations: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 March 2001, a charge of $25 million for in-process R&amp;D related to the Bull CP8 acquisition.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June 2001, a charge of $280 million ($0.48 per share - diluted) for the estimated impairment charge from the disposition of certain Resource Management Services businesses.</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September 2001, a pretax credit of $42 million (after tax $3 million) representing the gain on the sale of the worldwide gas compression business, partially offset by an impairment charge relating to the expected disposition of certain activities. The proceeds from the sale of the worldwide gas compression business included $274 million in cash, a $150 million long-term subordinated note and newly issued Hanover Compressor Company shares with a value of $173 million. The shares have a three year marketability restriction. As part of the transaction, Schlumberger agreed that the financing of a certain joint venture project would be non-recourse to the buyer and would be executed prior to December 31, 2002. Accordingly, Schlumberger is obligated with respect to the financing to guarantee 30% (approximately $80 million) until the project is completed in late 2002. If as of December 31, 2002 refinancing has not become non-recourse to the buyer or the project has not achieved substantial completion, the buyer has an option to put its interest in such joint venture back to Schlumberger. The gain on the sale of this joint venture has been deferred.</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 December 2001, a pretax credit of $119 million (net - $5 million after tax and minority interest, $0.01 per share - diluted), consisting primarily of the following: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92" w:right="1440" w:bottom="1440" w:gutter="0" w:footer="0" w:header="0"/>
        </w:sectPr>
      </w:pPr>
    </w:p>
    <w:bookmarkStart w:id="36" w:name="page37"/>
    <w:bookmarkEnd w:id="36"/>
    <w:p>
      <w:pPr>
        <w:ind w:left="800" w:right="3319" w:hanging="703"/>
        <w:spacing w:after="0" w:line="234"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$223 million ($117 million after tax) from the sale of the former Resource Management Services North American</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Water division.</w:t>
      </w:r>
    </w:p>
    <w:p>
      <w:pPr>
        <w:spacing w:after="0" w:line="173" w:lineRule="exact"/>
        <w:rPr>
          <w:sz w:val="20"/>
          <w:szCs w:val="20"/>
          <w:color w:val="auto"/>
        </w:rPr>
      </w:pPr>
    </w:p>
    <w:p>
      <w:pPr>
        <w:ind w:left="800" w:right="3319" w:hanging="703"/>
        <w:spacing w:after="0" w:line="235" w:lineRule="auto"/>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pretax charge of $43 million ($37 million after tax) for employee termination costs, principally in Europe and the US, related to Oilfield Services and SchlumbergerSema in response to current business conditions.</w:t>
      </w:r>
    </w:p>
    <w:p>
      <w:pPr>
        <w:spacing w:after="0" w:line="169" w:lineRule="exact"/>
        <w:rPr>
          <w:sz w:val="20"/>
          <w:szCs w:val="20"/>
          <w:color w:val="auto"/>
        </w:rPr>
      </w:pPr>
    </w:p>
    <w:p>
      <w:pPr>
        <w:ind w:left="800" w:hanging="703"/>
        <w:spacing w:after="0"/>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tax charge for reorganization costs of $29 million.</w:t>
      </w:r>
    </w:p>
    <w:p>
      <w:pPr>
        <w:spacing w:after="0" w:line="173" w:lineRule="exact"/>
        <w:rPr>
          <w:sz w:val="20"/>
          <w:szCs w:val="20"/>
          <w:color w:val="auto"/>
        </w:rPr>
      </w:pPr>
    </w:p>
    <w:p>
      <w:pPr>
        <w:ind w:left="800" w:right="3239" w:hanging="703"/>
        <w:spacing w:after="0" w:line="235" w:lineRule="auto"/>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further pretax charge of $28 million ($20 million after tax) related to the second quarter estimated loss on the divestiture of certain Resource Management Services businesses following the actual closing in the fourth quarter.</w:t>
      </w:r>
    </w:p>
    <w:p>
      <w:pPr>
        <w:spacing w:after="0" w:line="175" w:lineRule="exact"/>
        <w:rPr>
          <w:sz w:val="20"/>
          <w:szCs w:val="20"/>
          <w:color w:val="auto"/>
        </w:rPr>
      </w:pPr>
    </w:p>
    <w:p>
      <w:pPr>
        <w:ind w:left="800" w:right="3399" w:hanging="703"/>
        <w:spacing w:after="0" w:line="235" w:lineRule="auto"/>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$33 million pretax asset writedown ($23 million after tax and minority interest) following a recent determination of technological impairment related to certain Land seismic assets in the newly formed joint venture.</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above 2001 pretax amounts are recorded: an aggregated $119 million charge in Cost of goods sold and services, a $25 million charge in Research &amp; engineering and a $10 million credit in Minority interest.</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December 2000, a pretax charge of $84 million offset by a pretax gain of $82 million (net - $3 million after tax and minority interest, $0.00 per share - diluted), consisting of the following:</w:t>
      </w:r>
    </w:p>
    <w:p>
      <w:pPr>
        <w:spacing w:after="0" w:line="174" w:lineRule="exact"/>
        <w:rPr>
          <w:sz w:val="20"/>
          <w:szCs w:val="20"/>
          <w:color w:val="auto"/>
        </w:rPr>
      </w:pPr>
    </w:p>
    <w:p>
      <w:pPr>
        <w:ind w:left="800" w:right="3499" w:hanging="703"/>
        <w:spacing w:after="0" w:line="235"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$29 million ($25 million after tax) related primarily to the write down of certain inventory and severance costs in the Semiconductor Solutions business due to weak market conditions.</w:t>
      </w:r>
    </w:p>
    <w:p>
      <w:pPr>
        <w:spacing w:after="0" w:line="174" w:lineRule="exact"/>
        <w:rPr>
          <w:sz w:val="20"/>
          <w:szCs w:val="20"/>
          <w:color w:val="auto"/>
        </w:rPr>
      </w:pPr>
    </w:p>
    <w:p>
      <w:pPr>
        <w:ind w:left="800" w:right="3399" w:hanging="703"/>
        <w:spacing w:after="0" w:line="235" w:lineRule="auto"/>
        <w:tabs>
          <w:tab w:leader="none" w:pos="8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$55 million ($39 million after tax and minority interest) related to the creation of the WesternGeco seismic joint venture, including asset impairments and severance costs for Schlumberger's existing Geco-Prakla business.</w:t>
      </w:r>
    </w:p>
    <w:p>
      <w:pPr>
        <w:spacing w:after="0" w:line="175" w:lineRule="exact"/>
        <w:rPr>
          <w:sz w:val="20"/>
          <w:szCs w:val="20"/>
          <w:color w:val="auto"/>
        </w:rPr>
      </w:pPr>
    </w:p>
    <w:p>
      <w:pPr>
        <w:ind w:left="800" w:right="3239" w:hanging="703"/>
        <w:spacing w:after="0" w:line="236"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$82 million ($61 million after tax) resulting from the gain on the sale of two Gas Services businesses in Europe. Revenue and operating net results for these divested activities were $110 million and a $740,000 loss, respectively, in 2000 (10 months) and $163 million and $2.7 million profit, respectively in 1999.</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pretax gain on the sale of the Gas Services businesses is included in Interest &amp; other income. The pretax Semiconductor Solutions and WesternGeco charges are included in Cost of goods sold and services. A $9 million credit is included in Minority interest relating to the WesternGeco charges.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March 1999, a pretax charge of $147 million partially offset by a pretax gain of $103 million (net - $58 million after tax, $0.10 per share - diluted), consisting of the following:</w:t>
      </w:r>
    </w:p>
    <w:p>
      <w:pPr>
        <w:spacing w:after="0" w:line="174" w:lineRule="exact"/>
        <w:rPr>
          <w:sz w:val="20"/>
          <w:szCs w:val="20"/>
          <w:color w:val="auto"/>
        </w:rPr>
      </w:pPr>
    </w:p>
    <w:p>
      <w:pPr>
        <w:ind w:left="800" w:right="3399" w:hanging="703"/>
        <w:spacing w:after="0" w:line="258"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$118 million ($118 million after tax) related to the downsizing of its global Oilfield Services activities, including $108 million of severance costs and $10 million for asset impairments.</w:t>
      </w:r>
    </w:p>
    <w:p>
      <w:pPr>
        <w:spacing w:after="0" w:line="161" w:lineRule="exact"/>
        <w:rPr>
          <w:sz w:val="20"/>
          <w:szCs w:val="20"/>
          <w:color w:val="auto"/>
        </w:rPr>
      </w:pPr>
    </w:p>
    <w:p>
      <w:pPr>
        <w:ind w:left="800" w:right="3319" w:hanging="703"/>
        <w:spacing w:after="0" w:line="236" w:lineRule="auto"/>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$29 million ($20 million after tax) related to Resource Management Services and Test &amp; Transactions, consisting principally of $16 million of severance costs at several Resource Management Services facilities resulting from a downturn in business and $5 million of asset write downs.</w:t>
      </w:r>
    </w:p>
    <w:p>
      <w:pPr>
        <w:spacing w:after="0" w:line="174" w:lineRule="exact"/>
        <w:rPr>
          <w:sz w:val="20"/>
          <w:szCs w:val="20"/>
          <w:color w:val="auto"/>
        </w:rPr>
      </w:pPr>
    </w:p>
    <w:p>
      <w:pPr>
        <w:ind w:left="800" w:right="3239" w:hanging="703"/>
        <w:spacing w:after="0" w:line="235"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$103 million ($80 million after tax) from the gain on the sale of financial instruments received in connection with the 1998 sale of the Retail Petroleum Systems business.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960" w:right="1440" w:bottom="1440" w:gutter="0" w:footer="0" w:header="0"/>
        </w:sectPr>
      </w:pPr>
    </w:p>
    <w:bookmarkStart w:id="37" w:name="page38"/>
    <w:bookmarkEnd w:id="37"/>
    <w:p>
      <w:pPr>
        <w:jc w:val="both"/>
        <w:ind w:right="3399"/>
        <w:spacing w:after="0" w:line="235" w:lineRule="auto"/>
        <w:rPr>
          <w:sz w:val="20"/>
          <w:szCs w:val="20"/>
          <w:color w:val="auto"/>
        </w:rPr>
      </w:pPr>
      <w:r>
        <w:rPr>
          <w:rFonts w:ascii="Courier New" w:cs="Courier New" w:eastAsia="Courier New" w:hAnsi="Courier New"/>
          <w:sz w:val="15"/>
          <w:szCs w:val="15"/>
          <w:color w:val="auto"/>
        </w:rPr>
        <w:t>The pretax gain on the sale of financial instruments is included in Interest &amp; other income. The pretax charge of $147 million is classified in Cost of goods sold and services.</w:t>
      </w:r>
    </w:p>
    <w:p>
      <w:pPr>
        <w:spacing w:after="0" w:line="17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In December 1999, a pretax charge of $77 million ($71 million after tax), classified in Cost of goods sold and services, consisting primarily of the following:</w:t>
      </w:r>
    </w:p>
    <w:p>
      <w:pPr>
        <w:spacing w:after="0" w:line="174" w:lineRule="exact"/>
        <w:rPr>
          <w:sz w:val="20"/>
          <w:szCs w:val="20"/>
          <w:color w:val="auto"/>
        </w:rPr>
      </w:pPr>
    </w:p>
    <w:p>
      <w:pPr>
        <w:ind w:left="800" w:right="3399" w:hanging="703"/>
        <w:spacing w:after="0" w:line="235" w:lineRule="auto"/>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$31 million ($26 million after tax) including $23 million of asset impairments and $8 million of severance costs related to reductions in the marine seismic fleet due to depressed market conditions.</w:t>
      </w:r>
    </w:p>
    <w:p>
      <w:pPr>
        <w:spacing w:after="0" w:line="175" w:lineRule="exact"/>
        <w:rPr>
          <w:sz w:val="20"/>
          <w:szCs w:val="20"/>
          <w:color w:val="auto"/>
        </w:rPr>
      </w:pPr>
    </w:p>
    <w:p>
      <w:pPr>
        <w:jc w:val="both"/>
        <w:ind w:left="800" w:right="3399" w:hanging="703"/>
        <w:spacing w:after="0" w:line="256" w:lineRule="auto"/>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$38 million ($37 million after tax) including $33 million of asset impairments and $5 million of severance costs related to the restructuring of its land drilling activity following the spin-off of its offshore drilling business to stockholders.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December 2001 charge included severance costs of $41 million (775 people) of which $9 million (318 people) had been paid at December 31, 2001. The remaining severance costs are expected to be paid before June 30, 2002. The December 2000 charges included severance costs of $9 million (380 people) which have been paid.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spin-off was approved by stockholders on December 10, 1999.</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Upon completion of the merger, Schlumberger stockholders held approximately 52% of the ordinary shares of Transocean Sedco Forex Inc., and Transocean Offshore Inc. shareholders held the remaining 48%. Schlumberger retained no ownership in the combined company.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spin-off, Schlumberger stockholders received one share of Sedco Forex for each share of Schlumberger owned on the record date of December 20, 1999. In the merger, each Sedco Forex share was exchanged for 0.1936 ordinary share of Transocean Sedco Forex Inc. Stockholders received cash in lieu of fractional shares.</w:t>
      </w:r>
    </w:p>
    <w:p>
      <w:pPr>
        <w:spacing w:after="0" w:line="174"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Results for the Sedco Forex operations spun off by Schlumberger for this transaction are reported as discontinued operations in the Consolidated Statement of Income.</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Discontinued Operations on the Consolidated Statement of Income includes the operating results of the spun-off Sedco Forex business and the following charges:</w:t>
      </w:r>
    </w:p>
    <w:p>
      <w:pPr>
        <w:spacing w:after="0" w:line="174" w:lineRule="exact"/>
        <w:rPr>
          <w:sz w:val="20"/>
          <w:szCs w:val="20"/>
          <w:color w:val="auto"/>
        </w:rPr>
      </w:pPr>
    </w:p>
    <w:p>
      <w:pPr>
        <w:ind w:left="800" w:right="3579" w:hanging="703"/>
        <w:spacing w:after="0"/>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an after-tax charge of $50 million ($0.09 per share - diluted) for costs directly associated with the spin-off.</w:t>
      </w:r>
    </w:p>
    <w:p>
      <w:pPr>
        <w:spacing w:after="0" w:line="333" w:lineRule="exact"/>
        <w:rPr>
          <w:sz w:val="20"/>
          <w:szCs w:val="20"/>
          <w:color w:val="auto"/>
        </w:rPr>
      </w:pPr>
    </w:p>
    <w:p>
      <w:pPr>
        <w:ind w:left="800" w:right="3239" w:hanging="703"/>
        <w:spacing w:after="0" w:line="234"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1999, an after-tax charge of $33 million ($0.06 per share - diluted) for severance costs ($13 million) and legal</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claims.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a result of the spin-off, Schlumberger Income Retained for Use in the Business was reduced by $918 million representing the spun-off net assets of Sedco Forex ($1.23 billion) less payments received in settlement of intercompany balances between Schlumberger and Sedco Forex ($313 million). The net assets spun off included $1.3 billion of fixed assets.</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Pursuant to Accounting Principles Board Opinion (APB) No. 30, Reporting the Results of Operations-Reporting the Effects of Disposal of a Segment of a Business, and Extraordinary, Unusual and Infrequently Occurring Events and Transactions, the revenue and expenses of Sedco Forex have been excluded from the respective captions in the Consolidated Statement of Income. The net operating results of Sedco Forex have been reported, net of applicable income taxes, as Discontinued Operations.</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792" w:right="1440" w:bottom="1440" w:gutter="0" w:footer="0" w:header="0"/>
        </w:sectPr>
      </w:pPr>
    </w:p>
    <w:bookmarkStart w:id="38" w:name="page39"/>
    <w:bookmarkEnd w:id="38"/>
    <w:p>
      <w:pPr>
        <w:ind w:right="3579"/>
        <w:spacing w:after="0" w:line="234" w:lineRule="auto"/>
        <w:rPr>
          <w:sz w:val="20"/>
          <w:szCs w:val="20"/>
          <w:color w:val="auto"/>
        </w:rPr>
      </w:pPr>
      <w:r>
        <w:rPr>
          <w:rFonts w:ascii="Courier New" w:cs="Courier New" w:eastAsia="Courier New" w:hAnsi="Courier New"/>
          <w:sz w:val="15"/>
          <w:szCs w:val="15"/>
          <w:color w:val="auto"/>
        </w:rPr>
        <w:t>Summarized 1999 financial information for the discontinued operations,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336"/>
        </w:trPr>
        <w:tc>
          <w:tcPr>
            <w:tcW w:w="2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060" w:type="dxa"/>
            <w:vAlign w:val="bottom"/>
          </w:tcPr>
          <w:p>
            <w:pPr>
              <w:spacing w:after="0"/>
              <w:rPr>
                <w:sz w:val="14"/>
                <w:szCs w:val="14"/>
                <w:color w:val="auto"/>
              </w:rPr>
            </w:pPr>
          </w:p>
        </w:tc>
        <w:tc>
          <w:tcPr>
            <w:tcW w:w="2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648</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29</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Income after taxes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37</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ind w:left="180" w:hanging="170"/>
        <w:spacing w:after="0" w:line="237" w:lineRule="auto"/>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Sema plc</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On February 12, 2001, Schlumberger announced that it had reached an agreement with the board of directors of Sema plc on the terms of a recommended offer for the entire issued and to be issued share capital of Sema plc.</w:t>
      </w:r>
    </w:p>
    <w:p>
      <w:pPr>
        <w:spacing w:after="0" w:line="16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On March 8, 2001, a wholly owned subsidiary of Schlumberger acquired, through market purchases, approximately 20% of the issued share capital of Sema at a cost of $1 billion.</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October 3, 2001, wholly owned subsidiaries of Schlumberger issued $1.9 billion European bonds (Euro 1.4 billion and (pound)425 million). The average rate of these bonds is 5.9% with maturity from 2008 through 2032. The proceeds from the issues were used to repay short-term bank loans originally taken out by those subsidiaries to finance the acquisition of Sema plc.</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acquisition was accounted for using the purchase method of accounting and the goodwill and identifiable intangibles aggregated $5.19 billion which are being amortized on a straight-line basis. Goodwill and identifiable intangibles are currently amortized on a straight-line basis over a composite life of 18 years.</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aggregate value of goodwill and identifiable intangibles comprised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billions)</w:t>
            </w: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 (including expenses)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accounting adjustments/1/</w:t>
            </w:r>
          </w:p>
        </w:tc>
        <w:tc>
          <w:tcPr>
            <w:tcW w:w="106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tangible assets acquired</w:t>
            </w:r>
          </w:p>
        </w:tc>
        <w:tc>
          <w:tcPr>
            <w:tcW w:w="106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3280" w:type="dxa"/>
            <w:vAlign w:val="bottom"/>
          </w:tcPr>
          <w:p>
            <w:pPr>
              <w:spacing w:after="0"/>
              <w:rPr>
                <w:sz w:val="14"/>
                <w:szCs w:val="14"/>
                <w:color w:val="auto"/>
              </w:rPr>
            </w:pPr>
          </w:p>
        </w:tc>
        <w:tc>
          <w:tcPr>
            <w:tcW w:w="21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5.19</w:t>
            </w:r>
          </w:p>
        </w:tc>
      </w:tr>
      <w:tr>
        <w:trPr>
          <w:trHeight w:val="168"/>
        </w:trPr>
        <w:tc>
          <w:tcPr>
            <w:tcW w:w="3280" w:type="dxa"/>
            <w:vAlign w:val="bottom"/>
          </w:tcPr>
          <w:p>
            <w:pPr>
              <w:spacing w:after="0"/>
              <w:rPr>
                <w:sz w:val="14"/>
                <w:szCs w:val="14"/>
                <w:color w:val="auto"/>
              </w:rPr>
            </w:pPr>
          </w:p>
        </w:tc>
        <w:tc>
          <w:tcPr>
            <w:tcW w:w="21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280" w:right="3399" w:hanging="270"/>
        <w:spacing w:after="0" w:line="236" w:lineRule="auto"/>
        <w:tabs>
          <w:tab w:leader="none" w:pos="2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accounting adjustments consisted primarily of severance costs ($84 million - 1781 people), facility reductions ($33 million), pension plan adjustments ($136 million) and tax restructuring costs ($50 million). At December 31, 2001, $26 million (593 people) of the severance costs had been paid. The remaining severance costs are expected to be paid before June 30, 2002.</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twelve months ended December 31, 2001 would have increased by $538 million (unaudited) to $14.3 billion (unaudited) and consolidated net income would have decreased by approximately $140 million (unaudited), to $382 million (unaudited), related primarily to increased interest expense and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960" w:right="1440" w:bottom="1440" w:gutter="0" w:footer="0" w:header="0"/>
        </w:sectPr>
      </w:pPr>
    </w:p>
    <w:bookmarkStart w:id="39" w:name="page40"/>
    <w:bookmarkEnd w:id="39"/>
    <w:p>
      <w:pPr>
        <w:ind w:right="3399"/>
        <w:spacing w:after="0" w:line="235" w:lineRule="auto"/>
        <w:rPr>
          <w:sz w:val="20"/>
          <w:szCs w:val="20"/>
          <w:color w:val="auto"/>
        </w:rPr>
      </w:pPr>
      <w:r>
        <w:rPr>
          <w:rFonts w:ascii="Courier New" w:cs="Courier New" w:eastAsia="Courier New" w:hAnsi="Courier New"/>
          <w:sz w:val="15"/>
          <w:szCs w:val="15"/>
          <w:color w:val="auto"/>
        </w:rPr>
        <w:t>amortization of intangibles, and lower interest income. On a proforma basis, Schlumberger 2000 operating revenue and net income would have been $12 billion (unaudited) and $300 million (unaudited), respectively.</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Sema is an IT services company (with approximately 22,000 employees at the date of acquisition)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Acquisitions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2001, subsidiaries of Schlumberger acquired the following:</w:t>
      </w:r>
    </w:p>
    <w:p>
      <w:pPr>
        <w:spacing w:after="0" w:line="173" w:lineRule="exact"/>
        <w:rPr>
          <w:sz w:val="20"/>
          <w:szCs w:val="20"/>
          <w:color w:val="auto"/>
        </w:rPr>
      </w:pPr>
    </w:p>
    <w:p>
      <w:pPr>
        <w:ind w:left="800" w:right="3239" w:hanging="703"/>
        <w:spacing w:after="0" w:line="236" w:lineRule="auto"/>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Bull CP8, a market leader in microprocessor-based smart cards and associated systems applications for the banking, mobile communications and network security industries. The acquisition price was $313 million in cash. Assets acquired included identifiable intangibles (primarily patents) of $136 million and goodwill of $140 million. In-process R&amp;D, which aggregated $25 million, was charged to expense in the first quarter.</w:t>
      </w:r>
    </w:p>
    <w:p>
      <w:pPr>
        <w:spacing w:after="0" w:line="176" w:lineRule="exact"/>
        <w:rPr>
          <w:sz w:val="20"/>
          <w:szCs w:val="20"/>
          <w:color w:val="auto"/>
        </w:rPr>
      </w:pPr>
    </w:p>
    <w:p>
      <w:pPr>
        <w:ind w:left="800" w:right="3239" w:hanging="703"/>
        <w:spacing w:after="0" w:line="235" w:lineRule="auto"/>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Infosynergi ASA, a Norwegian based company specializing in customer information and billing systems integration. The acquisition price was $29 million in cash. Assets acquired included goodwill of $29 million.</w:t>
      </w:r>
    </w:p>
    <w:p>
      <w:pPr>
        <w:spacing w:after="0" w:line="175" w:lineRule="exact"/>
        <w:rPr>
          <w:sz w:val="20"/>
          <w:szCs w:val="20"/>
          <w:color w:val="auto"/>
        </w:rPr>
      </w:pPr>
    </w:p>
    <w:p>
      <w:pPr>
        <w:ind w:left="800" w:right="3239" w:hanging="703"/>
        <w:spacing w:after="0" w:line="236" w:lineRule="auto"/>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Sensor Highways Limited, a UK based market leader in the design, manufacture and deployment of a new generation of fiber optic sensors specializing in real-time data solutions to the oil and gas, process and power distribution industries. The acquisition price was $100 million, consisting of $70 million in cash and $30 million in notes. Assets acquired included identifiable intangibles of $48 million and goodwill of $50 million.</w:t>
      </w:r>
    </w:p>
    <w:p>
      <w:pPr>
        <w:spacing w:after="0" w:line="176" w:lineRule="exact"/>
        <w:rPr>
          <w:sz w:val="20"/>
          <w:szCs w:val="20"/>
          <w:color w:val="auto"/>
        </w:rPr>
      </w:pPr>
    </w:p>
    <w:p>
      <w:pPr>
        <w:ind w:left="800" w:right="3319" w:hanging="703"/>
        <w:spacing w:after="0" w:line="236" w:lineRule="auto"/>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Phoenix Petroleum Services, a UK based leader in providing tools, technologies and techniques for optimizing production in artificially lifted wells, particularly those using submersible pumps. The acquisition price was $33 million in cash. Assets acquired included goodwill of $26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acquisitions were accounted for using the purchase method of accounting.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2000, subsidiaries of Schlumberger acquired the following:</w:t>
      </w:r>
    </w:p>
    <w:p>
      <w:pPr>
        <w:spacing w:after="0" w:line="173" w:lineRule="exact"/>
        <w:rPr>
          <w:sz w:val="20"/>
          <w:szCs w:val="20"/>
          <w:color w:val="auto"/>
        </w:rPr>
      </w:pPr>
    </w:p>
    <w:p>
      <w:pPr>
        <w:ind w:left="800" w:right="3839" w:hanging="703"/>
        <w:spacing w:after="0" w:line="235"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Telweb Inc., an Internet access company based in Quebec, Canada. The purchase price was $28 million and the assets acquired included goodwill of $28 million.</w:t>
      </w:r>
    </w:p>
    <w:p>
      <w:pPr>
        <w:spacing w:after="0" w:line="174" w:lineRule="exact"/>
        <w:rPr>
          <w:sz w:val="20"/>
          <w:szCs w:val="20"/>
          <w:color w:val="auto"/>
        </w:rPr>
      </w:pPr>
    </w:p>
    <w:p>
      <w:pPr>
        <w:ind w:left="800" w:right="3579" w:hanging="703"/>
        <w:spacing w:after="0" w:line="234" w:lineRule="auto"/>
        <w:tabs>
          <w:tab w:leader="none" w:pos="8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Operational Services, Inc., which provides a systematic approach to production management though efficient systems</w:t>
      </w:r>
    </w:p>
    <w:p>
      <w:pPr>
        <w:spacing w:after="0" w:line="5" w:lineRule="exact"/>
        <w:rPr>
          <w:rFonts w:ascii="Courier New" w:cs="Courier New" w:eastAsia="Courier New" w:hAnsi="Courier New"/>
          <w:sz w:val="15"/>
          <w:szCs w:val="15"/>
          <w:color w:val="auto"/>
        </w:rPr>
      </w:pPr>
    </w:p>
    <w:p>
      <w:pPr>
        <w:ind w:left="800" w:right="43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processes. The purchase price was $13 million and the assets acquired included goodwill of $13 million.</w:t>
      </w:r>
    </w:p>
    <w:p>
      <w:pPr>
        <w:spacing w:after="0" w:line="173" w:lineRule="exact"/>
        <w:rPr>
          <w:sz w:val="20"/>
          <w:szCs w:val="20"/>
          <w:color w:val="auto"/>
        </w:rPr>
      </w:pPr>
    </w:p>
    <w:p>
      <w:pPr>
        <w:ind w:left="800" w:right="3239" w:hanging="703"/>
        <w:spacing w:after="0" w:line="236" w:lineRule="auto"/>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substantially all of the assets of CellNet Data Systems, Inc., a provider of telemetry services for the development and deployment of large-scale automatic metering reading systems. The acquisition was handled through Chapter 11 procedure and was approved by the bankruptcy court. The purchase price was $209 million and there was no goodwill arising on the acquisition.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960" w:right="1440" w:bottom="1440" w:gutter="0" w:footer="0" w:header="0"/>
        </w:sectPr>
      </w:pPr>
    </w:p>
    <w:bookmarkStart w:id="40" w:name="page41"/>
    <w:bookmarkEnd w:id="40"/>
    <w:p>
      <w:pPr>
        <w:ind w:left="800" w:right="3399" w:hanging="703"/>
        <w:spacing w:after="0" w:line="235" w:lineRule="auto"/>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Data Marine Systems Limited, a global provider of telecommunications services for transmitting data from remote locations. The purchase price was $83 million and the assets acquired included goodwill of $75 million.</w:t>
      </w:r>
    </w:p>
    <w:p>
      <w:pPr>
        <w:spacing w:after="0" w:line="175" w:lineRule="exact"/>
        <w:rPr>
          <w:sz w:val="20"/>
          <w:szCs w:val="20"/>
          <w:color w:val="auto"/>
        </w:rPr>
      </w:pPr>
    </w:p>
    <w:p>
      <w:pPr>
        <w:ind w:left="800" w:right="3499" w:hanging="703"/>
        <w:spacing w:after="0" w:line="256" w:lineRule="auto"/>
        <w:tabs>
          <w:tab w:leader="none" w:pos="8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a 70% interest in the Convergent Group, a provider of business consulting, software engineering, system integration and project management services. The purchase price was $263 million and the assets acquired included goodwill of $214 million.</w:t>
      </w:r>
    </w:p>
    <w:p>
      <w:pPr>
        <w:spacing w:after="0" w:line="164" w:lineRule="exact"/>
        <w:rPr>
          <w:sz w:val="20"/>
          <w:szCs w:val="20"/>
          <w:color w:val="auto"/>
        </w:rPr>
      </w:pPr>
    </w:p>
    <w:p>
      <w:pPr>
        <w:ind w:left="800" w:right="3319" w:hanging="703"/>
        <w:spacing w:after="0" w:line="236" w:lineRule="auto"/>
        <w:tabs>
          <w:tab w:leader="none" w:pos="8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a 70% interest in WesternGeco, a new venture which combined the Schlumberger surface seismic business, Geco-Prakla, and the Western Geophysical seismic unit of Baker Hughes Incorporated. The purchase price was $720 million which comprised $500 million in cash and a 30% interest, valued at $220 million, in Geco-Prakla. There was no goodwill arising on the acquisition.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acquisitions were accounted for using the purchase method of accounting.</w:t>
      </w:r>
    </w:p>
    <w:p>
      <w:pPr>
        <w:spacing w:after="0" w:line="178"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Unaudited APB 16 proforma results pertaining to the above acquisitions are not presented as the impact was not significant.</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During 1999, subsidiaries of Schlumberger acquired Merak, a market leader in petroleum software solutions; Secure Oil Tools, a leader in multilateral completions; and substantially all of the assets of Panther Software Corporation, a provider of hardware and software products and services for managing large volumes of seismic data. These acquisitions were accounted for using the purchase method of accounting and the total goodwill arising on the acquisitions was $106 million.</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the third quarter of 1999, the Omnes joint venture, created in 1995 between Schlumberger and Cable &amp; Wireless, was restructured into two separate business units. Under the agreement, equal ownership and access to products, technology and intellectual property was given to both parent companies. Schlumberger retained ownership of the Omnes name. Omnes is now a fully operational company within Oilfield Services.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third quarter of 1999, Schlumberger and Smith International Inc. entered into an agreement whereby their drilling fluids operations were combined to form a joint venture. Under the terms of the agreement, Schlumberger contributed its non-US drilling fluids business and a total of $325 million to the joint venture. Schlumberger owns a 40% interest in the joint venture and records income using the equity method of accounting. Schlumberger's investment on December 31, 2001 and 2000 was $573 million and $461 million, respectively. Schlumberger's equity income from this joint venture in 2001 was $51 million and $33 million in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reflects the Schlumberger investment portfolio separated between current and long term, based on maturity. Except for $146 million of investments which are considered trading on December 31, 2001 ($139 million in 2000), under normal circumstances it is the intent of Schlumberger to hold the investments until maturity.</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Fixed income investments mature as follows: $123 million in 2003, $173 million in 2004 and $280 million in 2005.</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On December 31, 2001, there were no interest rate swap arrangements outstanding related to investments. Interest rate swap arrangements had no material effect on consolidated interest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Securitization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960" w:right="1440" w:bottom="1440" w:gutter="0" w:footer="0" w:header="0"/>
        </w:sectPr>
      </w:pPr>
    </w:p>
    <w:bookmarkStart w:id="41" w:name="page42"/>
    <w:bookmarkEnd w:id="41"/>
    <w:p>
      <w:pPr>
        <w:ind w:right="3239"/>
        <w:spacing w:after="0" w:line="236" w:lineRule="auto"/>
        <w:rPr>
          <w:sz w:val="20"/>
          <w:szCs w:val="20"/>
          <w:color w:val="auto"/>
        </w:rPr>
      </w:pPr>
      <w:r>
        <w:rPr>
          <w:rFonts w:ascii="Courier New" w:cs="Courier New" w:eastAsia="Courier New" w:hAnsi="Courier New"/>
          <w:sz w:val="15"/>
          <w:szCs w:val="15"/>
          <w:color w:val="auto"/>
        </w:rPr>
        <w:t>In September 2000, a wholly owned subsidiary of Schlumberger entered into an agreement to sell, on an ongoing basis, up to $220 million of an undivided interest in its accounts receivable and subsequently amended up to $350 million. The amount of receivables sold under this agreement totaled $176 million at December 31, 2001. Costs of the program, which primarily consist of the purchasers' financing and administrative costs, were not significant.</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Schlumberger continues to service the receivables and maintains an allowance for doubtful accounts based upon the expected collectibility of all Schlumberger accounts receivable, including the portion of receivables sold. Unless extended by amendment, the agreement expires in September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fixed assets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20" w:type="dxa"/>
            <w:vAlign w:val="bottom"/>
          </w:tcPr>
          <w:p>
            <w:pPr>
              <w:spacing w:after="0"/>
              <w:rPr>
                <w:sz w:val="24"/>
                <w:szCs w:val="2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2001</w:t>
            </w:r>
          </w:p>
        </w:tc>
        <w:tc>
          <w:tcPr>
            <w:tcW w:w="660" w:type="dxa"/>
            <w:vAlign w:val="bottom"/>
          </w:tcPr>
          <w:p>
            <w:pPr>
              <w:spacing w:after="0"/>
              <w:rPr>
                <w:sz w:val="24"/>
                <w:szCs w:val="2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72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82</w:t>
            </w:r>
          </w:p>
        </w:tc>
        <w:tc>
          <w:tcPr>
            <w:tcW w:w="6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&amp; Improvements</w:t>
            </w:r>
          </w:p>
        </w:tc>
        <w:tc>
          <w:tcPr>
            <w:tcW w:w="5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1,050</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1,081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&amp; Equipment</w:t>
            </w:r>
          </w:p>
        </w:tc>
        <w:tc>
          <w:tcPr>
            <w:tcW w:w="5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10,047</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9,661</w:t>
            </w:r>
          </w:p>
        </w:tc>
      </w:tr>
      <w:tr>
        <w:trPr>
          <w:trHeight w:val="168"/>
        </w:trPr>
        <w:tc>
          <w:tcPr>
            <w:tcW w:w="272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520" w:type="dxa"/>
            <w:vAlign w:val="bottom"/>
          </w:tcPr>
          <w:p>
            <w:pPr>
              <w:spacing w:after="0"/>
              <w:rPr>
                <w:sz w:val="24"/>
                <w:szCs w:val="2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11,179</w:t>
            </w:r>
          </w:p>
        </w:tc>
        <w:tc>
          <w:tcPr>
            <w:tcW w:w="660" w:type="dxa"/>
            <w:vAlign w:val="bottom"/>
          </w:tcPr>
          <w:p>
            <w:pPr>
              <w:spacing w:after="0"/>
              <w:rPr>
                <w:sz w:val="24"/>
                <w:szCs w:val="24"/>
                <w:color w:val="auto"/>
              </w:rPr>
            </w:pP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10,822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5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6,351</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6,427</w:t>
            </w:r>
          </w:p>
        </w:tc>
      </w:tr>
      <w:tr>
        <w:trPr>
          <w:trHeight w:val="336"/>
        </w:trPr>
        <w:tc>
          <w:tcPr>
            <w:tcW w:w="2720" w:type="dxa"/>
            <w:vAlign w:val="bottom"/>
          </w:tcPr>
          <w:p>
            <w:pPr>
              <w:spacing w:after="0"/>
              <w:rPr>
                <w:sz w:val="24"/>
                <w:szCs w:val="24"/>
                <w:color w:val="auto"/>
              </w:rPr>
            </w:pPr>
          </w:p>
        </w:tc>
        <w:tc>
          <w:tcPr>
            <w:tcW w:w="14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4,828</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4,395</w:t>
            </w:r>
          </w:p>
        </w:tc>
      </w:tr>
      <w:tr>
        <w:trPr>
          <w:trHeight w:val="168"/>
        </w:trPr>
        <w:tc>
          <w:tcPr>
            <w:tcW w:w="272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estimated useful lives of Buildings &amp; Improvements are primarily 30 to 40 years. For Machinery &amp; Equipment, 13% is being depreciated over 16 to 25 years, 14% over 10 to 15 years and 73% over 2 to 9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long-term debt by currency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24"/>
                <w:szCs w:val="2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660" w:type="dxa"/>
            <w:vAlign w:val="bottom"/>
          </w:tcPr>
          <w:p>
            <w:pPr>
              <w:spacing w:after="0"/>
              <w:rPr>
                <w:sz w:val="24"/>
                <w:szCs w:val="2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100" w:type="dxa"/>
            <w:vAlign w:val="bottom"/>
          </w:tcPr>
          <w:p>
            <w:pPr>
              <w:spacing w:after="0"/>
              <w:rPr>
                <w:sz w:val="14"/>
                <w:szCs w:val="14"/>
                <w:color w:val="auto"/>
              </w:rPr>
            </w:pPr>
          </w:p>
        </w:tc>
        <w:tc>
          <w:tcPr>
            <w:tcW w:w="20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3,194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2,969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Euro</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1,565</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UK pound</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1,201</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dollar</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Japanese yen</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107</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100" w:type="dxa"/>
            <w:vAlign w:val="bottom"/>
          </w:tcPr>
          <w:p>
            <w:pPr>
              <w:spacing w:after="0"/>
              <w:rPr>
                <w:sz w:val="14"/>
                <w:szCs w:val="14"/>
                <w:color w:val="auto"/>
              </w:rPr>
            </w:pPr>
          </w:p>
        </w:tc>
        <w:tc>
          <w:tcPr>
            <w:tcW w:w="20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6,216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3,573</w:t>
            </w:r>
          </w:p>
        </w:tc>
      </w:tr>
      <w:tr>
        <w:trPr>
          <w:trHeight w:val="168"/>
        </w:trPr>
        <w:tc>
          <w:tcPr>
            <w:tcW w:w="2100" w:type="dxa"/>
            <w:vAlign w:val="bottom"/>
          </w:tcPr>
          <w:p>
            <w:pPr>
              <w:spacing w:after="0"/>
              <w:rPr>
                <w:sz w:val="14"/>
                <w:szCs w:val="14"/>
                <w:color w:val="auto"/>
              </w:rPr>
            </w:pPr>
          </w:p>
        </w:tc>
        <w:tc>
          <w:tcPr>
            <w:tcW w:w="20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December 2001, the principal US subsidiary of Schlumberger initiated a US commercial paper program. At December 31, 2001, commercial paper borrowings totaled $335 million with a weighted average interest rate of 2.04%. Commercial paper borrowings are supported by a revolving credit agreement with the principal US subsidiary.</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At December 31, 2001, the Euro borrowings included $747 million of 7 year bonds at 5.25% and $441 million of 10 year bonds at 5.875% issued by a principal subsidiary in France. The aggregate fair market value at December 31, 2001 approximated the stated value.</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At December 31, 2001, the UK pound borrowings included $362 million of 7 year bonds at 6.25% and $253 million of 31 year bonds at 6.50% issued by a principal subsidiary in the UK. The aggregate fair market value at December 31, 2001 was $642 million.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792" w:right="1440" w:bottom="1440" w:gutter="0" w:footer="0" w:header="0"/>
        </w:sectPr>
      </w:pPr>
    </w:p>
    <w:bookmarkStart w:id="42" w:name="page43"/>
    <w:bookmarkEnd w:id="42"/>
    <w:p>
      <w:pPr>
        <w:ind w:right="3319"/>
        <w:spacing w:after="0" w:line="236" w:lineRule="auto"/>
        <w:rPr>
          <w:sz w:val="20"/>
          <w:szCs w:val="20"/>
          <w:color w:val="auto"/>
        </w:rPr>
      </w:pPr>
      <w:r>
        <w:rPr>
          <w:rFonts w:ascii="Courier New" w:cs="Courier New" w:eastAsia="Courier New" w:hAnsi="Courier New"/>
          <w:sz w:val="15"/>
          <w:szCs w:val="15"/>
          <w:color w:val="auto"/>
        </w:rPr>
        <w:t>The remainder of the long-term debt is at variable interest rates; the weighted-average interest rate of the debt outstanding on December 31, 2001 was 3.19%. Such rates are reset every six months or sooner. The carrying value of long-term debt on December 31, 2001 approximates the aggregate fair market value.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Long-term debt on December 31, 2001, is due as follows: $3,129 million in 2003, $571 million in 2004, $485 million in 2005, $138 million in 2006 and $1,893 million thereafter.</w:t>
      </w:r>
    </w:p>
    <w:p>
      <w:pPr>
        <w:spacing w:after="0" w:line="174"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On December 31, 2001, interest rate swap arrangements outstanding were: pay fixed/receive floating on US dollar debt of $800 million; pay fixed/receive floating on Japanese yen debt of $84 million. These arrangements mature at various dates to December 2009. Interest rate swap arrangements increased consolidated interest expense in 2001 by $16 million.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Lines of Credit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 December 31, 2001, wholly owned subsidiaries of Schlumberger had separate lines of credit agreements aggregating $7.7 billion with commercial banks, of which $7.1 billion was committed and $2.5 billion was available and unused. Interest rates and other terms of borrowing under these lines of credit vary from country to country. Commercial paper borrowings are classified as long-term debt to the extent of the available and unused committed facilities maturing in more than one year because of the ability under these credit agreements and the intent to maintain these obligations for longer than one year. In January 2002, Schlumberger and its subsidiaries replaced $2.5 billion of revolving credit agreements and $1.8 billion of term loans with three new revolving credit agreements totaling $4.6 billion, of which $3.6 billion matures in January 2007 and $1 billion matures in January 2003. Schlumberger plans to use these new revolving credit facilities to backup borrowings under its commercial paper programs in the United States and Europe and therefore expects these facilities to remain largely undrawn. At January 31, 2002, $3.7 billion of these new facilities was available unused.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Instruments and Hedging Activities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Commencing January 1, 2001, Schlumberger adopted SFAS 133 (Accounting for Derivative Instruments and Hedging Activities).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fixed rate debt and derivatives to minimize significant, unanticipated earnings fluctuations caused by interest rate volatility.</w:t>
      </w:r>
    </w:p>
    <w:p>
      <w:pPr>
        <w:spacing w:after="0" w:line="16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Schlumberger's specific goals are (1) to manage interest rate sensitivity by modifying the repricing or maturity characteristics of certain of its debt and (2) to lower (where possible) the cost of borrowed funds.</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960" w:right="1440" w:bottom="1440" w:gutter="0" w:footer="0" w:header="0"/>
        </w:sectPr>
      </w:pPr>
    </w:p>
    <w:bookmarkStart w:id="43" w:name="page44"/>
    <w:bookmarkEnd w:id="43"/>
    <w:p>
      <w:pPr>
        <w:ind w:right="3319"/>
        <w:spacing w:after="0" w:line="236" w:lineRule="auto"/>
        <w:rPr>
          <w:sz w:val="20"/>
          <w:szCs w:val="20"/>
          <w:color w:val="auto"/>
        </w:rPr>
      </w:pPr>
      <w:r>
        <w:rPr>
          <w:rFonts w:ascii="Courier New" w:cs="Courier New" w:eastAsia="Courier New" w:hAnsi="Courier New"/>
          <w:sz w:val="15"/>
          <w:szCs w:val="15"/>
          <w:color w:val="auto"/>
        </w:rPr>
        <w:t>At December 31, 2001, Schlumberger recognized a net $49.5 million charge in Stockholders' Equity relating to derivative instruments and hedging activities. This charge was primarily due to the change in the fair market value of Schlumberger's US interest rate swaps as a result of declining interest rates. The effect on Stockholders' Equity as of the date of adoption, January 1, 2001, was not significant.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is authorized to issue 1,500,000,000 shares of common stock, par value $0.01 per share, of which 575,890,398 and 572,724,694 shares were outstanding on December 31, 2001 and 2000,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January 1993, Schlumberger acquired the remaining 50% interest in the Dowell Schlumberger group of companies. The purchase price included a warrant, expiring in 7.5 years and valued at $100 million, to purchase 15,153,018 shares of Schlumberger common stock at an exercise price of $29.672 per share. The warrant was exercised by Dow Chemical on December 16, 1999.</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Plans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of December 31, 2001,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w:t>
      </w:r>
    </w:p>
    <w:p>
      <w:pPr>
        <w:spacing w:after="0" w:line="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those plans, consistent with the method of SFAS 123, Schlumberger net income and earnings per share would have been the pro forma amounts indicated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6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7"/>
              </w:rPr>
              <w:t>(Stated in millions except per share amounts)</w:t>
            </w:r>
          </w:p>
        </w:tc>
      </w:tr>
      <w:tr>
        <w:trPr>
          <w:trHeight w:val="168"/>
        </w:trPr>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500" w:type="dxa"/>
            <w:vAlign w:val="bottom"/>
          </w:tcPr>
          <w:p>
            <w:pPr>
              <w:spacing w:after="0"/>
              <w:rPr>
                <w:sz w:val="14"/>
                <w:szCs w:val="14"/>
                <w:color w:val="auto"/>
              </w:rPr>
            </w:pP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2500" w:type="dxa"/>
            <w:vAlign w:val="bottom"/>
          </w:tcPr>
          <w:p>
            <w:pPr>
              <w:ind w:left="540"/>
              <w:spacing w:after="0"/>
              <w:rPr>
                <w:sz w:val="20"/>
                <w:szCs w:val="20"/>
                <w:color w:val="auto"/>
              </w:rPr>
            </w:pPr>
            <w:r>
              <w:rPr>
                <w:rFonts w:ascii="Courier New" w:cs="Courier New" w:eastAsia="Courier New" w:hAnsi="Courier New"/>
                <w:sz w:val="15"/>
                <w:szCs w:val="15"/>
                <w:color w:val="auto"/>
              </w:rPr>
              <w:t>As reported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522</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735</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386</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633</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reported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0.91</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1.29</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1.11</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reported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0.91</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0.65</w:t>
            </w: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1.09</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0.48</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2001, 2000, 1999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required by SFAS 123, the fair value of each grant is estimated on the date of grant using the multiple option Black-Scholes option-pricing model with the following weighted-average assumptions used for 2001, 2000 and 1999: dividend of $0.75; expected volatility of 32-35% for</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792" w:right="1440" w:bottom="1440" w:gutter="0" w:footer="0" w:header="0"/>
        </w:sectPr>
      </w:pPr>
    </w:p>
    <w:bookmarkStart w:id="44" w:name="page45"/>
    <w:bookmarkEnd w:id="44"/>
    <w:p>
      <w:pPr>
        <w:ind w:right="3239"/>
        <w:spacing w:after="0" w:line="236" w:lineRule="auto"/>
        <w:rPr>
          <w:sz w:val="20"/>
          <w:szCs w:val="20"/>
          <w:color w:val="auto"/>
        </w:rPr>
      </w:pPr>
      <w:r>
        <w:rPr>
          <w:rFonts w:ascii="Courier New" w:cs="Courier New" w:eastAsia="Courier New" w:hAnsi="Courier New"/>
          <w:sz w:val="15"/>
          <w:szCs w:val="15"/>
          <w:color w:val="auto"/>
        </w:rPr>
        <w:t>2001 grants, 27-33% for 2000 grants and 25-29% for 1999 grants; risk-free interest rates for the 2001 grants of 4.91% for officers and 3.87%-5.01% for the 2001 grants to all other employees; risk-free interest rates for the 2000 grants of 5.75%-6.84% for officers and 5.69%-6.72% for the 2000 grants to all other employees; risk-free interest rates for the 1999 grants of 4.92%-5.29% for officers and 4.80%-6.25% for the 1999 grants to all other employees; and expected option lives of 5.51 years for officers and 5.02 years for other employees for 2001 grants, expected option lives of 7.16 years for officers and 5.49 years for other employees for 2000 grants, 7.14 years for officers and 5.28 years for other employees for 1999 grants.</w:t>
      </w:r>
    </w:p>
    <w:p>
      <w:pPr>
        <w:spacing w:after="0" w:line="179"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 summary of the status of the Schlumberger stock option plans as of December 31, 2001, 2000 and 1999, and changes during the years ending on those dates is presented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1999/1/</w:t>
            </w:r>
          </w:p>
        </w:tc>
        <w:tc>
          <w:tcPr>
            <w:tcW w:w="7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75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22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1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1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22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1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Options</w:t>
            </w:r>
          </w:p>
        </w:tc>
        <w:tc>
          <w:tcPr>
            <w:tcW w:w="14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Shares</w:t>
            </w:r>
          </w:p>
        </w:tc>
        <w:tc>
          <w:tcPr>
            <w:tcW w:w="17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price</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price</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31,208,321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$ 54.43</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31,613,924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$ 46.25</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30,310,579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$ 42.50</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2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4,110,468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$ 61.55</w:t>
            </w:r>
          </w:p>
        </w:tc>
        <w:tc>
          <w:tcPr>
            <w:tcW w:w="54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5,643,500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$ 79.64</w:t>
            </w:r>
          </w:p>
        </w:tc>
        <w:tc>
          <w:tcPr>
            <w:tcW w:w="4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6,012,168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$ 54.04</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(1,444,588)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$ 31.88</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(5,447,870)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$ 30.76</w:t>
            </w: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(3,634,790)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$ 28.68</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(1,037,861)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$ 71.27</w:t>
            </w:r>
          </w:p>
        </w:tc>
        <w:tc>
          <w:tcPr>
            <w:tcW w:w="54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(601,233)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$ 62.03</w:t>
            </w: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(1,074,033)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$ 52.50</w:t>
            </w:r>
          </w:p>
        </w:tc>
      </w:tr>
      <w:tr>
        <w:trPr>
          <w:trHeight w:val="336"/>
        </w:trPr>
        <w:tc>
          <w:tcPr>
            <w:tcW w:w="2420" w:type="dxa"/>
            <w:vAlign w:val="bottom"/>
          </w:tcPr>
          <w:p>
            <w:pPr>
              <w:spacing w:after="0"/>
              <w:rPr>
                <w:sz w:val="24"/>
                <w:szCs w:val="24"/>
                <w:color w:val="auto"/>
              </w:rPr>
            </w:pP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spacing w:after="0"/>
              <w:rPr>
                <w:sz w:val="24"/>
                <w:szCs w:val="24"/>
                <w:color w:val="auto"/>
              </w:rPr>
            </w:pP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year-end</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32,836,340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$ 55.80</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31,208,321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$ 54.54</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31,613,924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$ 46.25</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year-end</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19,724,680</w:t>
            </w:r>
          </w:p>
        </w:tc>
        <w:tc>
          <w:tcPr>
            <w:tcW w:w="92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16,277,868</w:t>
            </w:r>
          </w:p>
        </w:tc>
        <w:tc>
          <w:tcPr>
            <w:tcW w:w="8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16,396,821</w:t>
            </w:r>
          </w:p>
        </w:tc>
        <w:tc>
          <w:tcPr>
            <w:tcW w:w="74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fair</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value of options granted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year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21.51</w:t>
            </w:r>
          </w:p>
        </w:tc>
        <w:tc>
          <w:tcPr>
            <w:tcW w:w="9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30.03</w:t>
            </w:r>
          </w:p>
        </w:tc>
        <w:tc>
          <w:tcPr>
            <w:tcW w:w="8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17.72</w:t>
            </w:r>
          </w:p>
        </w:tc>
        <w:tc>
          <w:tcPr>
            <w:tcW w:w="740" w:type="dxa"/>
            <w:vAlign w:val="bottom"/>
          </w:tcPr>
          <w:p>
            <w:pPr>
              <w:spacing w:after="0"/>
              <w:rPr>
                <w:sz w:val="14"/>
                <w:szCs w:val="14"/>
                <w:color w:val="auto"/>
              </w:rPr>
            </w:pPr>
          </w:p>
        </w:tc>
      </w:tr>
    </w:tbl>
    <w:p>
      <w:pPr>
        <w:spacing w:after="0" w:line="173" w:lineRule="exact"/>
        <w:rPr>
          <w:sz w:val="20"/>
          <w:szCs w:val="20"/>
          <w:color w:val="auto"/>
        </w:rPr>
      </w:pPr>
    </w:p>
    <w:p>
      <w:pPr>
        <w:jc w:val="both"/>
        <w:ind w:left="440" w:right="103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/1/</w:t>
        <w:tab/>
        <w:t>Shares and exercise price have been restated to reflect adjustments made as a result of the spin-off of Sedco Forex, in accordance with EITF Issue 90-9, Changes to Fixed Employee Stock Option Plans as Result of Equity Restructuring.</w:t>
      </w:r>
    </w:p>
    <w:p>
      <w:pPr>
        <w:spacing w:after="0" w:line="342"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five ranges of exercise prices on December 31, 2001:</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Options Outstanding</w:t>
            </w:r>
          </w:p>
        </w:tc>
        <w:tc>
          <w:tcPr>
            <w:tcW w:w="1040" w:type="dxa"/>
            <w:vAlign w:val="bottom"/>
          </w:tcPr>
          <w:p>
            <w:pPr>
              <w:spacing w:after="0"/>
              <w:rPr>
                <w:sz w:val="14"/>
                <w:szCs w:val="14"/>
                <w:color w:val="auto"/>
              </w:rPr>
            </w:pPr>
          </w:p>
        </w:tc>
        <w:tc>
          <w:tcPr>
            <w:tcW w:w="29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720" w:type="dxa"/>
            <w:vAlign w:val="bottom"/>
          </w:tcPr>
          <w:p>
            <w:pPr>
              <w:spacing w:after="0"/>
              <w:rPr>
                <w:sz w:val="14"/>
                <w:szCs w:val="14"/>
                <w:color w:val="auto"/>
              </w:rPr>
            </w:pPr>
          </w:p>
        </w:tc>
        <w:tc>
          <w:tcPr>
            <w:tcW w:w="3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3"/>
              </w:rPr>
              <w:t>-----------------------------------------------</w:t>
            </w:r>
          </w:p>
        </w:tc>
        <w:tc>
          <w:tcPr>
            <w:tcW w:w="1040" w:type="dxa"/>
            <w:vAlign w:val="bottom"/>
          </w:tcPr>
          <w:p>
            <w:pPr>
              <w:spacing w:after="0"/>
              <w:rPr>
                <w:sz w:val="14"/>
                <w:szCs w:val="14"/>
                <w:color w:val="auto"/>
              </w:rPr>
            </w:pP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10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940" w:type="dxa"/>
            <w:vAlign w:val="bottom"/>
          </w:tcPr>
          <w:p>
            <w:pPr>
              <w:spacing w:after="0"/>
              <w:rPr>
                <w:sz w:val="14"/>
                <w:szCs w:val="14"/>
                <w:color w:val="auto"/>
              </w:rPr>
            </w:pPr>
          </w:p>
        </w:tc>
        <w:tc>
          <w:tcPr>
            <w:tcW w:w="9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Weighted-</w:t>
            </w:r>
          </w:p>
        </w:tc>
      </w:tr>
      <w:tr>
        <w:trPr>
          <w:trHeight w:val="168"/>
        </w:trPr>
        <w:tc>
          <w:tcPr>
            <w:tcW w:w="172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Number</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0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9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outstanding</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remaining</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1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exercisable</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1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5"/>
              </w:rPr>
              <w:t>as of 12/31/01</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contractual life</w:t>
            </w:r>
          </w:p>
        </w:tc>
        <w:tc>
          <w:tcPr>
            <w:tcW w:w="10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price</w:t>
            </w:r>
          </w:p>
        </w:tc>
        <w:tc>
          <w:tcPr>
            <w:tcW w:w="1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of 12/31/01</w:t>
            </w:r>
          </w:p>
        </w:tc>
        <w:tc>
          <w:tcPr>
            <w:tcW w:w="9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  3.831 - $22.073</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162,795</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$18.573</w:t>
            </w:r>
          </w:p>
        </w:tc>
        <w:tc>
          <w:tcPr>
            <w:tcW w:w="1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162,795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$18.573</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$24.142</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$30.710</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7,270,886</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2.64</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$27.808</w:t>
            </w:r>
          </w:p>
        </w:tc>
        <w:tc>
          <w:tcPr>
            <w:tcW w:w="1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7,270,886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$27.808</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$30.795</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$44.843</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4,465,540</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$39.253</w:t>
            </w: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4,114,998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$38.778</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$46.075</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$65.330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9,917,581</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$56.857</w:t>
            </w: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2,744,519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$53.966</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$71.315</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$82.348</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11,019,538</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$80.582</w:t>
            </w: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5,431,482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$80.974</w:t>
            </w:r>
          </w:p>
        </w:tc>
      </w:tr>
      <w:tr>
        <w:trPr>
          <w:trHeight w:val="168"/>
        </w:trPr>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32,836,340</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$55.803</w:t>
            </w: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19,724,680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$48.300</w:t>
            </w:r>
          </w:p>
        </w:tc>
      </w:tr>
      <w:tr>
        <w:trPr>
          <w:trHeight w:val="168"/>
        </w:trPr>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Under the Schlumberger Discounted Stock Purchase Plan, Schlumberger is authorized to issue up to 22,012,245 shares of common stock to its employees. Under the terms of the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45" w:name="page46"/>
    <w:bookmarkEnd w:id="45"/>
    <w:p>
      <w:pPr>
        <w:ind w:right="3239"/>
        <w:spacing w:after="0" w:line="237" w:lineRule="auto"/>
        <w:rPr>
          <w:sz w:val="20"/>
          <w:szCs w:val="20"/>
          <w:color w:val="auto"/>
        </w:rPr>
      </w:pPr>
      <w:r>
        <w:rPr>
          <w:rFonts w:ascii="Courier New" w:cs="Courier New" w:eastAsia="Courier New" w:hAnsi="Courier New"/>
          <w:sz w:val="15"/>
          <w:szCs w:val="15"/>
          <w:color w:val="auto"/>
        </w:rPr>
        <w:t>employees can choose each year to have up to 10% of their annual earnings withheld to purchase Schlumberger common stock. The purchase price of the stock is 85% of the lower of its beginning or end of the Plan year market price. Under the Plan, Schlumberger sold 1,752,833, 1,431,309 and 1,324,848 shares to employees in 2001, 2000 and 1999, respectively. Compensation cost has been computed for the fair value of the employees' purchase rights, which was estimated using the Black-Scholes model with the following assumptions for 2001, 2000 and 1999: Dividend of $0.75; expected life of one year; expected volatility of 36% for 2001, 38% for 2000 and 40% for 1999; and risk-free interest rates of 3.03% for 2001, 5.71% for 2000 and 5.33% for 1999. The weighted-average fair value of those purchase rights granted in 2001, 2000 and 1999, was $15.540, $23.141 and $19.829,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Schlumberger and its subsidiaries operate in more than 100 taxing jurisdictions where statutory tax rates generally vary from 0% to 50%.</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2001, pretax book income in the US included gains from business divestitures aggregating approximately $360 million; outside the US, pretax book income includes losses on business divestitures of approximately $300 million. Pretax book income from continuing operations subject to US and non-US income taxes for each of the three years ended December 31, was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32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320" w:type="dxa"/>
            <w:vAlign w:val="bottom"/>
          </w:tcPr>
          <w:p>
            <w:pPr>
              <w:spacing w:after="0"/>
              <w:rPr>
                <w:sz w:val="14"/>
                <w:szCs w:val="14"/>
                <w:color w:val="auto"/>
              </w:rPr>
            </w:pPr>
          </w:p>
        </w:tc>
        <w:tc>
          <w:tcPr>
            <w:tcW w:w="15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5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5"/>
              </w:rPr>
              <w:t>$   714</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Outside United States</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w:t>
            </w:r>
          </w:p>
        </w:tc>
      </w:tr>
      <w:tr>
        <w:trPr>
          <w:trHeight w:val="336"/>
        </w:trPr>
        <w:tc>
          <w:tcPr>
            <w:tcW w:w="2320" w:type="dxa"/>
            <w:vAlign w:val="bottom"/>
          </w:tcPr>
          <w:p>
            <w:pPr>
              <w:spacing w:after="0"/>
              <w:rPr>
                <w:sz w:val="24"/>
                <w:szCs w:val="24"/>
                <w:color w:val="auto"/>
              </w:rPr>
            </w:pPr>
          </w:p>
        </w:tc>
        <w:tc>
          <w:tcPr>
            <w:tcW w:w="15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15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5"/>
              </w:rPr>
              <w:t>$ 1,126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$ 961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$ 481</w:t>
            </w:r>
          </w:p>
        </w:tc>
      </w:tr>
      <w:tr>
        <w:trPr>
          <w:trHeight w:val="168"/>
        </w:trPr>
        <w:tc>
          <w:tcPr>
            <w:tcW w:w="2320" w:type="dxa"/>
            <w:vAlign w:val="bottom"/>
          </w:tcPr>
          <w:p>
            <w:pPr>
              <w:spacing w:after="0"/>
              <w:rPr>
                <w:sz w:val="14"/>
                <w:szCs w:val="14"/>
                <w:color w:val="auto"/>
              </w:rPr>
            </w:pPr>
          </w:p>
        </w:tc>
        <w:tc>
          <w:tcPr>
            <w:tcW w:w="15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939"/>
        <w:spacing w:after="0" w:line="256" w:lineRule="auto"/>
        <w:rPr>
          <w:sz w:val="20"/>
          <w:szCs w:val="20"/>
          <w:color w:val="auto"/>
        </w:rPr>
      </w:pPr>
      <w:r>
        <w:rPr>
          <w:rFonts w:ascii="Courier New" w:cs="Courier New" w:eastAsia="Courier New" w:hAnsi="Courier New"/>
          <w:sz w:val="14"/>
          <w:szCs w:val="14"/>
          <w:color w:val="auto"/>
        </w:rPr>
        <w:t>Schlumberger had net deductible temporary differences of $1.0 billion on December 31, 2001, $1.0 billion on December 31, 2000 and $1.1 billion on December 31, 1999. Temporary differences at December 31, 2001 pertain to postretirement medical benefits ($0.5 billion), employee benefits ($0.2 billion), and fixed assets, inventory and other ($0.3 billion).</w:t>
      </w:r>
    </w:p>
    <w:p>
      <w:pPr>
        <w:spacing w:after="0" w:line="16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components of consolidated income tax expense from continuing operations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(Stated in millions)</w:t>
            </w:r>
          </w:p>
        </w:tc>
      </w:tr>
      <w:tr>
        <w:trPr>
          <w:trHeight w:val="168"/>
        </w:trPr>
        <w:tc>
          <w:tcPr>
            <w:tcW w:w="2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6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Federal</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$ 337</w:t>
            </w:r>
          </w:p>
        </w:tc>
        <w:tc>
          <w:tcPr>
            <w:tcW w:w="88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(74)</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State</w:t>
            </w:r>
          </w:p>
        </w:tc>
        <w:tc>
          <w:tcPr>
            <w:tcW w:w="7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14"/>
                <w:szCs w:val="14"/>
                <w:color w:val="auto"/>
              </w:rPr>
            </w:pP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w:t>
            </w:r>
          </w:p>
        </w:tc>
        <w:tc>
          <w:tcPr>
            <w:tcW w:w="9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Outside United States</w:t>
            </w:r>
          </w:p>
        </w:tc>
        <w:tc>
          <w:tcPr>
            <w:tcW w:w="7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193</w:t>
            </w:r>
          </w:p>
        </w:tc>
        <w:tc>
          <w:tcPr>
            <w:tcW w:w="880" w:type="dxa"/>
            <w:vAlign w:val="bottom"/>
          </w:tcPr>
          <w:p>
            <w:pPr>
              <w:spacing w:after="0"/>
              <w:rPr>
                <w:sz w:val="14"/>
                <w:szCs w:val="14"/>
                <w:color w:val="auto"/>
              </w:rPr>
            </w:pP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88"/>
              </w:rPr>
              <w:t>194</w:t>
            </w:r>
          </w:p>
        </w:tc>
        <w:tc>
          <w:tcPr>
            <w:tcW w:w="92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206</w:t>
            </w:r>
          </w:p>
        </w:tc>
      </w:tr>
      <w:tr>
        <w:trPr>
          <w:trHeight w:val="336"/>
        </w:trPr>
        <w:tc>
          <w:tcPr>
            <w:tcW w:w="2540" w:type="dxa"/>
            <w:vAlign w:val="bottom"/>
          </w:tcPr>
          <w:p>
            <w:pPr>
              <w:spacing w:after="0"/>
              <w:rPr>
                <w:sz w:val="24"/>
                <w:szCs w:val="2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$ 574</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$ 219</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$ 125</w:t>
            </w:r>
          </w:p>
        </w:tc>
      </w:tr>
      <w:tr>
        <w:trPr>
          <w:trHeight w:val="168"/>
        </w:trPr>
        <w:tc>
          <w:tcPr>
            <w:tcW w:w="254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Federal</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88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State</w:t>
            </w:r>
          </w:p>
        </w:tc>
        <w:tc>
          <w:tcPr>
            <w:tcW w:w="7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spacing w:after="0"/>
              <w:rPr>
                <w:sz w:val="14"/>
                <w:szCs w:val="14"/>
                <w:color w:val="auto"/>
              </w:rPr>
            </w:pP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92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Outside United States</w:t>
            </w:r>
          </w:p>
        </w:tc>
        <w:tc>
          <w:tcPr>
            <w:tcW w:w="7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14"/>
                <w:szCs w:val="14"/>
                <w:color w:val="auto"/>
              </w:rPr>
            </w:pP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w:t>
            </w:r>
          </w:p>
        </w:tc>
        <w:tc>
          <w:tcPr>
            <w:tcW w:w="92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2540" w:type="dxa"/>
            <w:vAlign w:val="bottom"/>
          </w:tcPr>
          <w:p>
            <w:pPr>
              <w:spacing w:after="0"/>
              <w:rPr>
                <w:sz w:val="24"/>
                <w:szCs w:val="2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54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Consolidated taxes on income</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$ 575</w:t>
            </w:r>
          </w:p>
        </w:tc>
        <w:tc>
          <w:tcPr>
            <w:tcW w:w="15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$ 228</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$ 141</w:t>
            </w:r>
          </w:p>
        </w:tc>
      </w:tr>
      <w:tr>
        <w:trPr>
          <w:trHeight w:val="168"/>
        </w:trPr>
        <w:tc>
          <w:tcPr>
            <w:tcW w:w="254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700" w:type="dxa"/>
            <w:vAlign w:val="bottom"/>
          </w:tcPr>
          <w:p>
            <w:pPr>
              <w:spacing w:after="0"/>
              <w:rPr>
                <w:sz w:val="24"/>
                <w:szCs w:val="2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51%</w:t>
            </w:r>
          </w:p>
        </w:tc>
        <w:tc>
          <w:tcPr>
            <w:tcW w:w="880" w:type="dxa"/>
            <w:vAlign w:val="bottom"/>
          </w:tcPr>
          <w:p>
            <w:pPr>
              <w:spacing w:after="0"/>
              <w:rPr>
                <w:sz w:val="24"/>
                <w:szCs w:val="24"/>
                <w:color w:val="auto"/>
              </w:rPr>
            </w:pPr>
          </w:p>
        </w:tc>
        <w:tc>
          <w:tcPr>
            <w:tcW w:w="6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88"/>
              </w:rPr>
              <w:t>24%</w:t>
            </w:r>
          </w:p>
        </w:tc>
        <w:tc>
          <w:tcPr>
            <w:tcW w:w="920" w:type="dxa"/>
            <w:vAlign w:val="bottom"/>
          </w:tcPr>
          <w:p>
            <w:pPr>
              <w:spacing w:after="0"/>
              <w:rPr>
                <w:sz w:val="24"/>
                <w:szCs w:val="2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30%</w:t>
            </w:r>
          </w:p>
        </w:tc>
      </w:tr>
      <w:tr>
        <w:trPr>
          <w:trHeight w:val="168"/>
        </w:trPr>
        <w:tc>
          <w:tcPr>
            <w:tcW w:w="254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2001, Schlumberger recorded several charges/credits in continuing operations as more fully described on page 36. Excluding these charges/credits, the consolidated effective tax rate would have been 32%. Excluding the charges/credits and amortization of goodwill/intangibles, the consolidated effective tax rate would have been 27%. The variation from the US statutory federal</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455" w:right="1440" w:bottom="1440" w:gutter="0" w:footer="0" w:header="0"/>
        </w:sectPr>
      </w:pPr>
    </w:p>
    <w:bookmarkStart w:id="46" w:name="page47"/>
    <w:bookmarkEnd w:id="46"/>
    <w:p>
      <w:pPr>
        <w:ind w:right="3839"/>
        <w:spacing w:after="0" w:line="261" w:lineRule="auto"/>
        <w:rPr>
          <w:sz w:val="20"/>
          <w:szCs w:val="20"/>
          <w:color w:val="auto"/>
        </w:rPr>
      </w:pPr>
      <w:r>
        <w:rPr>
          <w:rFonts w:ascii="Courier New" w:cs="Courier New" w:eastAsia="Courier New" w:hAnsi="Courier New"/>
          <w:sz w:val="14"/>
          <w:szCs w:val="14"/>
          <w:color w:val="auto"/>
        </w:rPr>
        <w:t>tax rate (35%) and 27% was due primarily to a substantial proportion of operations in countries where taxation on income is lower than in the US.</w:t>
      </w:r>
    </w:p>
    <w:p>
      <w:pPr>
        <w:spacing w:after="0" w:line="160"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For 2000 and 1999, the variations from the US statutory federal tax rate (35%) and Schlumberger effective tax rates were due to several factors, including a substantial proportion of operations in countries where taxation on income is lower than in the US partially offset by the effect of permanent book/tax differences in the US, such as goodwill amortization.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Total rental expense was $390 million in 2001, $287 million in 2000 and $303 million in 1999. Future minimum rental commitments under noncancelable leases for years ending December 31 are: $173 million in 2002; $152 million in 2003; $141 million in 2004; $108 million in 2005; and $108 million in 2006. For the ensuing three five-year periods, these commitments decrease from $300 million to $76 million. The minimum rentals over the remaining terms of the leases aggregate to $32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Schlumberger operates two reportable segments: Oilfield Services (OFS) and SchlumbergerSema (SLSEMA).</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Oilfield Services segment falls into four clearly defined economic and geographical areas and is evaluated on the following basis: First, North America (NAM) is a major self-contained market. Second, Latin America (LAM) comprises regional markets that share a common dependence on the United States. Third, Europe (ECA) is another major self-contained market that includes the CIS and West Africa, whose economy is increasingly linked to that of Europe. Fourth, Other Eastern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 Schlumberger believes that all the products/services are interrelated and expects similar performance from each.</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SchlumbergerSema segment is a leading information technology services company providing domain expertise and global capabilities delivered on a local basis. The company has proven capabilities delivering consulting, systems integration, managed services and products serving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792" w:right="1440" w:bottom="1440" w:gutter="0" w:footer="0" w:header="0"/>
        </w:sectPr>
      </w:pPr>
    </w:p>
    <w:bookmarkStart w:id="47" w:name="page48"/>
    <w:bookmarkEnd w:id="47"/>
    <w:p>
      <w:pPr>
        <w:ind w:right="4200"/>
        <w:spacing w:after="0" w:line="234" w:lineRule="auto"/>
        <w:rPr>
          <w:sz w:val="20"/>
          <w:szCs w:val="20"/>
          <w:color w:val="auto"/>
        </w:rPr>
      </w:pPr>
      <w:r>
        <w:rPr>
          <w:rFonts w:ascii="Courier New" w:cs="Courier New" w:eastAsia="Courier New" w:hAnsi="Courier New"/>
          <w:sz w:val="15"/>
          <w:szCs w:val="15"/>
          <w:color w:val="auto"/>
        </w:rPr>
        <w:t>telecommunications, energy &amp; utilities, finance, transport, public sector markets and oil and gas markets.</w:t>
      </w:r>
    </w:p>
    <w:p>
      <w:pPr>
        <w:spacing w:after="0" w:line="173" w:lineRule="exact"/>
        <w:rPr>
          <w:sz w:val="20"/>
          <w:szCs w:val="20"/>
          <w:color w:val="auto"/>
        </w:rPr>
      </w:pPr>
    </w:p>
    <w:p>
      <w:pPr>
        <w:ind w:right="3760"/>
        <w:spacing w:after="0" w:line="234" w:lineRule="auto"/>
        <w:rPr>
          <w:sz w:val="20"/>
          <w:szCs w:val="20"/>
          <w:color w:val="auto"/>
        </w:rPr>
      </w:pPr>
      <w:r>
        <w:rPr>
          <w:rFonts w:ascii="Courier New" w:cs="Courier New" w:eastAsia="Courier New" w:hAnsi="Courier New"/>
          <w:sz w:val="15"/>
          <w:szCs w:val="15"/>
          <w:color w:val="auto"/>
        </w:rPr>
        <w:t>Financial information for the years ended December 31, 2001, 2000 and 1999, by segment,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7740" w:type="dxa"/>
            <w:vAlign w:val="bottom"/>
            <w:gridSpan w:val="10"/>
          </w:tcPr>
          <w:p>
            <w:pPr>
              <w:jc w:val="right"/>
              <w:ind w:right="187"/>
              <w:spacing w:after="0"/>
              <w:rPr>
                <w:sz w:val="20"/>
                <w:szCs w:val="20"/>
                <w:color w:val="auto"/>
              </w:rPr>
            </w:pPr>
            <w:r>
              <w:rPr>
                <w:rFonts w:ascii="Courier New" w:cs="Courier New" w:eastAsia="Courier New" w:hAnsi="Courier New"/>
                <w:sz w:val="15"/>
                <w:szCs w:val="15"/>
                <w:color w:val="auto"/>
                <w:w w:val="97"/>
              </w:rPr>
              <w:t>-------------------------------------------------------------------------------------</w:t>
            </w:r>
          </w:p>
        </w:tc>
      </w:tr>
      <w:tr>
        <w:trPr>
          <w:trHeight w:val="168"/>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Elims/</w:t>
            </w:r>
          </w:p>
        </w:tc>
        <w:tc>
          <w:tcPr>
            <w:tcW w:w="104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NAM</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LAM</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ECA</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Eastern</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Elims</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SLSEMA</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(1) Other</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Consolidated</w:t>
            </w:r>
          </w:p>
        </w:tc>
      </w:tr>
      <w:tr>
        <w:trPr>
          <w:trHeight w:val="168"/>
        </w:trPr>
        <w:tc>
          <w:tcPr>
            <w:tcW w:w="2240" w:type="dxa"/>
            <w:vAlign w:val="bottom"/>
          </w:tcPr>
          <w:p>
            <w:pPr>
              <w:spacing w:after="0"/>
              <w:rPr>
                <w:sz w:val="14"/>
                <w:szCs w:val="14"/>
                <w:color w:val="auto"/>
              </w:rPr>
            </w:pP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$3,655</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$ 1,479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$ 2,139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$ 2,105</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$ 9,773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$ 997</w:t>
            </w: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(69)$ 13,746</w:t>
            </w:r>
          </w:p>
        </w:tc>
      </w:tr>
      <w:tr>
        <w:trPr>
          <w:trHeight w:val="168"/>
        </w:trPr>
        <w:tc>
          <w:tcPr>
            <w:tcW w:w="2240" w:type="dxa"/>
            <w:vAlign w:val="bottom"/>
          </w:tcPr>
          <w:p>
            <w:pPr>
              <w:spacing w:after="0"/>
              <w:rPr>
                <w:sz w:val="14"/>
                <w:szCs w:val="14"/>
                <w:color w:val="auto"/>
              </w:rPr>
            </w:pP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$ 551</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$ 1,288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(303)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$ 1,045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2240" w:type="dxa"/>
            <w:vAlign w:val="bottom"/>
          </w:tcPr>
          <w:p>
            <w:pPr>
              <w:spacing w:after="0"/>
              <w:rPr>
                <w:sz w:val="14"/>
                <w:szCs w:val="14"/>
                <w:color w:val="auto"/>
              </w:rPr>
            </w:pP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Segment Income before tax</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MI</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$ 880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$ 205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$ 1,859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$ 1,495</w:t>
            </w:r>
          </w:p>
        </w:tc>
      </w:tr>
      <w:tr>
        <w:trPr>
          <w:trHeight w:val="168"/>
        </w:trPr>
        <w:tc>
          <w:tcPr>
            <w:tcW w:w="2240" w:type="dxa"/>
            <w:vAlign w:val="bottom"/>
          </w:tcPr>
          <w:p>
            <w:pPr>
              <w:spacing w:after="0"/>
              <w:rPr>
                <w:sz w:val="14"/>
                <w:szCs w:val="14"/>
                <w:color w:val="auto"/>
              </w:rPr>
            </w:pPr>
          </w:p>
        </w:tc>
        <w:tc>
          <w:tcPr>
            <w:tcW w:w="7740" w:type="dxa"/>
            <w:vAlign w:val="bottom"/>
            <w:gridSpan w:val="10"/>
          </w:tcPr>
          <w:p>
            <w:pPr>
              <w:jc w:val="right"/>
              <w:ind w:right="8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7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$ 1,126</w:t>
            </w:r>
          </w:p>
        </w:tc>
      </w:tr>
      <w:tr>
        <w:trPr>
          <w:trHeight w:val="168"/>
        </w:trPr>
        <w:tc>
          <w:tcPr>
            <w:tcW w:w="2240" w:type="dxa"/>
            <w:vAlign w:val="bottom"/>
          </w:tcPr>
          <w:p>
            <w:pPr>
              <w:spacing w:after="0"/>
              <w:rPr>
                <w:sz w:val="14"/>
                <w:szCs w:val="14"/>
                <w:color w:val="auto"/>
              </w:rPr>
            </w:pP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$ 1,606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$ 1,751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$ 2,691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$ 11,340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$8,254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$ 367</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 $ 19,961</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2,365</w:t>
            </w:r>
          </w:p>
        </w:tc>
      </w:tr>
      <w:tr>
        <w:trPr>
          <w:trHeight w:val="168"/>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$ 22,326</w:t>
            </w:r>
          </w:p>
        </w:tc>
      </w:tr>
      <w:tr>
        <w:trPr>
          <w:trHeight w:val="168"/>
        </w:trPr>
        <w:tc>
          <w:tcPr>
            <w:tcW w:w="2240" w:type="dxa"/>
            <w:vAlign w:val="bottom"/>
          </w:tcPr>
          <w:p>
            <w:pPr>
              <w:spacing w:after="0"/>
              <w:rPr>
                <w:sz w:val="14"/>
                <w:szCs w:val="14"/>
                <w:color w:val="auto"/>
              </w:rPr>
            </w:pP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Depreciation/Amortization(3)$ 610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$ 1,354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$ 355</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$ 1,896</w:t>
            </w:r>
          </w:p>
        </w:tc>
      </w:tr>
      <w:tr>
        <w:trPr>
          <w:trHeight w:val="168"/>
        </w:trPr>
        <w:tc>
          <w:tcPr>
            <w:tcW w:w="2240" w:type="dxa"/>
            <w:vAlign w:val="bottom"/>
          </w:tcPr>
          <w:p>
            <w:pPr>
              <w:spacing w:after="0"/>
              <w:rPr>
                <w:sz w:val="14"/>
                <w:szCs w:val="14"/>
                <w:color w:val="auto"/>
              </w:rPr>
            </w:pP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$ 999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$ 238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$ 211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$ 2,160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$ 231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$ 2,469</w:t>
            </w:r>
          </w:p>
        </w:tc>
      </w:tr>
      <w:tr>
        <w:trPr>
          <w:trHeight w:val="168"/>
        </w:trPr>
        <w:tc>
          <w:tcPr>
            <w:tcW w:w="2240" w:type="dxa"/>
            <w:vAlign w:val="bottom"/>
          </w:tcPr>
          <w:p>
            <w:pPr>
              <w:spacing w:after="0"/>
              <w:rPr>
                <w:sz w:val="14"/>
                <w:szCs w:val="14"/>
                <w:color w:val="auto"/>
              </w:rPr>
            </w:pP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173" w:lineRule="exact"/>
        <w:rPr>
          <w:sz w:val="20"/>
          <w:szCs w:val="20"/>
          <w:color w:val="auto"/>
        </w:rPr>
      </w:pPr>
    </w:p>
    <w:p>
      <w:pPr>
        <w:ind w:left="2720" w:hanging="436"/>
        <w:spacing w:after="0"/>
        <w:tabs>
          <w:tab w:leader="none" w:pos="27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Semiconductor Solutions and the divested Resource Management Services businesses.</w:t>
      </w:r>
    </w:p>
    <w:p>
      <w:pPr>
        <w:spacing w:after="0" w:line="4" w:lineRule="exact"/>
        <w:rPr>
          <w:rFonts w:ascii="Courier New" w:cs="Courier New" w:eastAsia="Courier New" w:hAnsi="Courier New"/>
          <w:sz w:val="14"/>
          <w:szCs w:val="14"/>
          <w:color w:val="auto"/>
        </w:rPr>
      </w:pPr>
    </w:p>
    <w:p>
      <w:pPr>
        <w:ind w:left="2720" w:hanging="436"/>
        <w:spacing w:after="0" w:line="237" w:lineRule="auto"/>
        <w:tabs>
          <w:tab w:leader="none" w:pos="27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2001 income tax expense excludes $163 million related to the Charges.</w:t>
      </w:r>
    </w:p>
    <w:p>
      <w:pPr>
        <w:ind w:left="2720" w:hanging="436"/>
        <w:spacing w:after="0" w:line="237" w:lineRule="auto"/>
        <w:tabs>
          <w:tab w:leader="none" w:pos="27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7880" w:type="dxa"/>
            <w:vAlign w:val="bottom"/>
            <w:gridSpan w:val="10"/>
          </w:tcPr>
          <w:p>
            <w:pPr>
              <w:jc w:val="right"/>
              <w:ind w:right="36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2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Elims/</w:t>
            </w:r>
          </w:p>
        </w:tc>
        <w:tc>
          <w:tcPr>
            <w:tcW w:w="104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NAM</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LAM</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ECA</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Eastern</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Elims</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SLSEMA</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(1) Other</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Consolidated</w:t>
            </w:r>
          </w:p>
        </w:tc>
      </w:tr>
      <w:tr>
        <w:trPr>
          <w:trHeight w:val="168"/>
        </w:trPr>
        <w:tc>
          <w:tcPr>
            <w:tcW w:w="2100" w:type="dxa"/>
            <w:vAlign w:val="bottom"/>
          </w:tcPr>
          <w:p>
            <w:pPr>
              <w:spacing w:after="0"/>
              <w:rPr>
                <w:sz w:val="14"/>
                <w:szCs w:val="14"/>
                <w:color w:val="auto"/>
              </w:rPr>
            </w:pP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$ 2,413</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$ 1,151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$ 1,603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$ 1,646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$ 333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$ 7,146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$ 1,049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$ 1,475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(59)</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$ 9,611</w:t>
            </w:r>
          </w:p>
        </w:tc>
      </w:tr>
      <w:tr>
        <w:trPr>
          <w:trHeight w:val="168"/>
        </w:trPr>
        <w:tc>
          <w:tcPr>
            <w:tcW w:w="2100" w:type="dxa"/>
            <w:vAlign w:val="bottom"/>
          </w:tcPr>
          <w:p>
            <w:pPr>
              <w:spacing w:after="0"/>
              <w:rPr>
                <w:sz w:val="14"/>
                <w:szCs w:val="14"/>
                <w:color w:val="auto"/>
              </w:rPr>
            </w:pP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$ 769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$ 715</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2100" w:type="dxa"/>
            <w:vAlign w:val="bottom"/>
          </w:tcPr>
          <w:p>
            <w:pPr>
              <w:spacing w:after="0"/>
              <w:rPr>
                <w:sz w:val="14"/>
                <w:szCs w:val="14"/>
                <w:color w:val="auto"/>
              </w:rPr>
            </w:pP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Segment Income before tax</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MI</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$ 380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$ 86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$ 1,062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(196)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$ 939</w:t>
            </w:r>
          </w:p>
        </w:tc>
      </w:tr>
      <w:tr>
        <w:trPr>
          <w:trHeight w:val="168"/>
        </w:trPr>
        <w:tc>
          <w:tcPr>
            <w:tcW w:w="2100" w:type="dxa"/>
            <w:vAlign w:val="bottom"/>
          </w:tcPr>
          <w:p>
            <w:pPr>
              <w:spacing w:after="0"/>
              <w:rPr>
                <w:sz w:val="14"/>
                <w:szCs w:val="14"/>
                <w:color w:val="auto"/>
              </w:rPr>
            </w:pPr>
          </w:p>
        </w:tc>
        <w:tc>
          <w:tcPr>
            <w:tcW w:w="7880" w:type="dxa"/>
            <w:vAlign w:val="bottom"/>
            <w:gridSpan w:val="10"/>
          </w:tcPr>
          <w:p>
            <w:pPr>
              <w:jc w:val="right"/>
              <w:ind w:right="8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84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2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8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2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$ 961</w:t>
            </w:r>
          </w:p>
        </w:tc>
      </w:tr>
      <w:tr>
        <w:trPr>
          <w:trHeight w:val="168"/>
        </w:trPr>
        <w:tc>
          <w:tcPr>
            <w:tcW w:w="2100" w:type="dxa"/>
            <w:vAlign w:val="bottom"/>
          </w:tcPr>
          <w:p>
            <w:pPr>
              <w:spacing w:after="0"/>
              <w:rPr>
                <w:sz w:val="14"/>
                <w:szCs w:val="14"/>
                <w:color w:val="auto"/>
              </w:rPr>
            </w:pP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$ 1,305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$ 1,475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$ 1,884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$ 9,337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$ 1,339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$ 1,170</w:t>
            </w:r>
          </w:p>
        </w:tc>
        <w:tc>
          <w:tcPr>
            <w:tcW w:w="18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 $ 11,846</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5,327</w:t>
            </w:r>
          </w:p>
        </w:tc>
      </w:tr>
      <w:tr>
        <w:trPr>
          <w:trHeight w:val="168"/>
        </w:trPr>
        <w:tc>
          <w:tcPr>
            <w:tcW w:w="2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$ 17,173</w:t>
            </w:r>
          </w:p>
        </w:tc>
      </w:tr>
      <w:tr>
        <w:trPr>
          <w:trHeight w:val="168"/>
        </w:trPr>
        <w:tc>
          <w:tcPr>
            <w:tcW w:w="2100" w:type="dxa"/>
            <w:vAlign w:val="bottom"/>
          </w:tcPr>
          <w:p>
            <w:pPr>
              <w:spacing w:after="0"/>
              <w:rPr>
                <w:sz w:val="14"/>
                <w:szCs w:val="14"/>
                <w:color w:val="auto"/>
              </w:rPr>
            </w:pP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$ 403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$ 187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$ 1,052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$ 78</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$ 113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$ 1,271</w:t>
            </w:r>
          </w:p>
        </w:tc>
      </w:tr>
      <w:tr>
        <w:trPr>
          <w:trHeight w:val="168"/>
        </w:trPr>
        <w:tc>
          <w:tcPr>
            <w:tcW w:w="2100" w:type="dxa"/>
            <w:vAlign w:val="bottom"/>
          </w:tcPr>
          <w:p>
            <w:pPr>
              <w:spacing w:after="0"/>
              <w:rPr>
                <w:sz w:val="14"/>
                <w:szCs w:val="14"/>
                <w:color w:val="auto"/>
              </w:rPr>
            </w:pP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Capital Expenditures (3)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$ 608</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$ 212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$ 1,363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$ 133</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$ 1,546</w:t>
            </w:r>
          </w:p>
        </w:tc>
      </w:tr>
      <w:tr>
        <w:trPr>
          <w:trHeight w:val="168"/>
        </w:trPr>
        <w:tc>
          <w:tcPr>
            <w:tcW w:w="2100" w:type="dxa"/>
            <w:vAlign w:val="bottom"/>
          </w:tcPr>
          <w:p>
            <w:pPr>
              <w:spacing w:after="0"/>
              <w:rPr>
                <w:sz w:val="14"/>
                <w:szCs w:val="14"/>
                <w:color w:val="auto"/>
              </w:rPr>
            </w:pP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5" w:lineRule="exact"/>
        <w:rPr>
          <w:sz w:val="20"/>
          <w:szCs w:val="20"/>
          <w:color w:val="auto"/>
        </w:rPr>
      </w:pPr>
    </w:p>
    <w:p>
      <w:pPr>
        <w:ind w:left="2720" w:hanging="436"/>
        <w:spacing w:after="0"/>
        <w:tabs>
          <w:tab w:leader="none" w:pos="27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Semiconductor Solutions and the divested Resource Management Services businesses.</w:t>
      </w:r>
    </w:p>
    <w:p>
      <w:pPr>
        <w:spacing w:after="0" w:line="4" w:lineRule="exact"/>
        <w:rPr>
          <w:rFonts w:ascii="Courier New" w:cs="Courier New" w:eastAsia="Courier New" w:hAnsi="Courier New"/>
          <w:sz w:val="14"/>
          <w:szCs w:val="14"/>
          <w:color w:val="auto"/>
        </w:rPr>
      </w:pPr>
    </w:p>
    <w:p>
      <w:pPr>
        <w:ind w:left="2720" w:hanging="436"/>
        <w:spacing w:after="0" w:line="237" w:lineRule="auto"/>
        <w:tabs>
          <w:tab w:leader="none" w:pos="27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income tax expense excludes $10 million related to the Charges.</w:t>
      </w:r>
    </w:p>
    <w:p>
      <w:pPr>
        <w:ind w:left="2720" w:hanging="436"/>
        <w:spacing w:after="0" w:line="237" w:lineRule="auto"/>
        <w:tabs>
          <w:tab w:leader="none" w:pos="27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600"/>
          </w:cols>
          <w:pgMar w:left="220" w:top="624" w:right="1079" w:bottom="853" w:gutter="0" w:footer="0" w:header="0"/>
        </w:sectPr>
      </w:pPr>
    </w:p>
    <w:bookmarkStart w:id="48" w:name="page49"/>
    <w:bookmarkEnd w:id="48"/>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Elims/</w:t>
            </w:r>
          </w:p>
        </w:tc>
        <w:tc>
          <w:tcPr>
            <w:tcW w:w="106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NAM</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LAM</w:t>
            </w: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ECA</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Eastern</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Elims</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SLSEMA</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(1)</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Consolidated</w:t>
            </w: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$1,649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$ 947</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$ 1,514</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$ 1,561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$ 5,936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$ 851</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(32)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$ 8,395</w:t>
            </w: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$ 83</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$ 237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$ 414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Segment Income before tax and MI</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$ 125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$ 293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$ 616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$ 557</w:t>
            </w:r>
          </w:p>
        </w:tc>
      </w:tr>
      <w:tr>
        <w:trPr>
          <w:trHeight w:val="168"/>
        </w:trPr>
        <w:tc>
          <w:tcPr>
            <w:tcW w:w="10240" w:type="dxa"/>
            <w:vAlign w:val="bottom"/>
            <w:gridSpan w:val="10"/>
          </w:tcPr>
          <w:p>
            <w:pPr>
              <w:ind w:left="2640"/>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2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6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w:t>
            </w:r>
          </w:p>
        </w:tc>
        <w:tc>
          <w:tcPr>
            <w:tcW w:w="7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2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2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$ 481</w:t>
            </w: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$1,787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$ 992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$ 1,414</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$ 7,446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$ 655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$ 9,399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5,682</w:t>
            </w:r>
          </w:p>
        </w:tc>
      </w:tr>
      <w:tr>
        <w:trPr>
          <w:trHeight w:val="168"/>
        </w:trPr>
        <w:tc>
          <w:tcPr>
            <w:tcW w:w="2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$ 15,081</w:t>
            </w: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Depreciation/Amortization (3)</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$ 156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$ 226</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$ 236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$ 950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$ 1,150</w:t>
            </w: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(3)</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$ 322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$ 189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$ 161</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$ 183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$ 923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$ 1,019</w:t>
            </w:r>
          </w:p>
        </w:tc>
      </w:tr>
    </w:tbl>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080" w:hanging="446"/>
        <w:spacing w:after="0"/>
        <w:tabs>
          <w:tab w:leader="none" w:pos="30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Semiconductor Solutions and the divested Resource Management Services businesses.</w:t>
      </w:r>
    </w:p>
    <w:p>
      <w:pPr>
        <w:ind w:left="3080" w:hanging="446"/>
        <w:spacing w:after="0" w:line="237" w:lineRule="auto"/>
        <w:tabs>
          <w:tab w:leader="none" w:pos="30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income tax expense excludes $8 million related to the Charges.</w:t>
      </w:r>
    </w:p>
    <w:p>
      <w:pPr>
        <w:ind w:left="3080" w:hanging="446"/>
        <w:spacing w:after="0" w:line="237" w:lineRule="auto"/>
        <w:tabs>
          <w:tab w:leader="none" w:pos="30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pacing w:after="0" w:line="173" w:lineRule="exact"/>
        <w:rPr>
          <w:sz w:val="20"/>
          <w:szCs w:val="20"/>
          <w:color w:val="auto"/>
        </w:rPr>
      </w:pPr>
    </w:p>
    <w:p>
      <w:pPr>
        <w:ind w:right="4380"/>
        <w:spacing w:after="0" w:line="234" w:lineRule="auto"/>
        <w:rPr>
          <w:sz w:val="20"/>
          <w:szCs w:val="20"/>
          <w:color w:val="auto"/>
        </w:rPr>
      </w:pPr>
      <w:r>
        <w:rPr>
          <w:rFonts w:ascii="Courier New" w:cs="Courier New" w:eastAsia="Courier New" w:hAnsi="Courier New"/>
          <w:sz w:val="15"/>
          <w:szCs w:val="15"/>
          <w:color w:val="auto"/>
        </w:rPr>
        <w:t>During the three years ended December 31, 2001, no single customer exceeded 10% of consolidated revenue.</w:t>
      </w:r>
    </w:p>
    <w:p>
      <w:pPr>
        <w:spacing w:after="0" w:line="173" w:lineRule="exact"/>
        <w:rPr>
          <w:sz w:val="20"/>
          <w:szCs w:val="20"/>
          <w:color w:val="auto"/>
        </w:rPr>
      </w:pPr>
    </w:p>
    <w:p>
      <w:pPr>
        <w:ind w:right="4820"/>
        <w:spacing w:after="0" w:line="234"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Summary of Accounting Policies.</w:t>
      </w:r>
    </w:p>
    <w:p>
      <w:pPr>
        <w:spacing w:after="0" w:line="173" w:lineRule="exact"/>
        <w:rPr>
          <w:sz w:val="20"/>
          <w:szCs w:val="20"/>
          <w:color w:val="auto"/>
        </w:rPr>
      </w:pPr>
    </w:p>
    <w:p>
      <w:pPr>
        <w:ind w:right="4460"/>
        <w:spacing w:after="0" w:line="236" w:lineRule="auto"/>
        <w:rPr>
          <w:sz w:val="20"/>
          <w:szCs w:val="20"/>
          <w:color w:val="auto"/>
        </w:rPr>
      </w:pPr>
      <w:r>
        <w:rPr>
          <w:rFonts w:ascii="Courier New" w:cs="Courier New" w:eastAsia="Courier New" w:hAnsi="Courier New"/>
          <w:sz w:val="15"/>
          <w:szCs w:val="15"/>
          <w:color w:val="auto"/>
        </w:rPr>
        <w:t>Oilfield Services' net income eliminations include: certain headquarters administrative costs which are not allocated geographically, manufacturing and certain other operations, and costs maintained at the Oilfield Services level. In 2001, eliminations includes WesternGeco minority interest expense of $35 million.</w:t>
      </w:r>
    </w:p>
    <w:p>
      <w:pPr>
        <w:spacing w:after="0" w:line="174" w:lineRule="exact"/>
        <w:rPr>
          <w:sz w:val="20"/>
          <w:szCs w:val="20"/>
          <w:color w:val="auto"/>
        </w:rPr>
      </w:pPr>
    </w:p>
    <w:p>
      <w:pPr>
        <w:ind w:right="4300"/>
        <w:spacing w:after="0" w:line="235" w:lineRule="auto"/>
        <w:rPr>
          <w:sz w:val="20"/>
          <w:szCs w:val="20"/>
          <w:color w:val="auto"/>
        </w:rPr>
      </w:pPr>
      <w:r>
        <w:rPr>
          <w:rFonts w:ascii="Courier New" w:cs="Courier New" w:eastAsia="Courier New" w:hAnsi="Courier New"/>
          <w:sz w:val="15"/>
          <w:szCs w:val="15"/>
          <w:color w:val="auto"/>
        </w:rPr>
        <w:t>Elims/Other principally comprises the amortization of goodwill and other intangibles ($347 million in 2001), as well as nonoperating expenses, such as certain intersegment charges and interest expense (except as shown above), which are not included in segment operating income.</w:t>
      </w:r>
    </w:p>
    <w:p>
      <w:pPr>
        <w:spacing w:after="0" w:line="175" w:lineRule="exact"/>
        <w:rPr>
          <w:sz w:val="20"/>
          <w:szCs w:val="20"/>
          <w:color w:val="auto"/>
        </w:rPr>
      </w:pPr>
    </w:p>
    <w:p>
      <w:pPr>
        <w:jc w:val="both"/>
        <w:ind w:right="4380"/>
        <w:spacing w:after="0" w:line="256" w:lineRule="auto"/>
        <w:rPr>
          <w:sz w:val="20"/>
          <w:szCs w:val="20"/>
          <w:color w:val="auto"/>
        </w:rPr>
      </w:pPr>
      <w:r>
        <w:rPr>
          <w:rFonts w:ascii="Courier New" w:cs="Courier New" w:eastAsia="Courier New" w:hAnsi="Courier New"/>
          <w:sz w:val="14"/>
          <w:szCs w:val="14"/>
          <w:color w:val="auto"/>
        </w:rPr>
        <w:t>Schlumberger did not have revenue from third-party customers in its country of domicile during the last three years. In each of the three years, only revenue in the US exceeded 10% of consolidated revenue. Revenue in the US in 2001, 2000 and 1999 was $5.1 billion, $3.5 billion and $2.5 billion, respectively.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1300"/>
          </w:cols>
          <w:pgMar w:left="220" w:top="1128" w:right="379"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Pension and Other Benefit Plans</w:t>
      </w:r>
    </w:p>
    <w:p>
      <w:pPr>
        <w:ind w:left="180" w:hanging="170"/>
        <w:spacing w:after="0" w:line="237" w:lineRule="auto"/>
        <w:tabs>
          <w:tab w:leader="none" w:pos="1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 PENSION PLANS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and its US subsidiary sponsor several defined benefit pension plans that cover substantially all employees. The benefits are based on years of service and compensation on a career-average pay basis. These plans are fully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2001 were 7.5%, 4.5% and 9%, respectively. In 2000, the assumptions were 7.75%, 4.5% and 9%, respectively. In 1999, the assumptions were 7%, 4.5% and 9%, respectively.</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Net pension cost in the US for 2001, 2000 and 1999, included the following components: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1080" w:type="dxa"/>
            <w:vAlign w:val="bottom"/>
          </w:tcPr>
          <w:p>
            <w:pPr>
              <w:spacing w:after="0"/>
              <w:rPr>
                <w:sz w:val="14"/>
                <w:szCs w:val="14"/>
                <w:color w:val="auto"/>
              </w:rPr>
            </w:pPr>
          </w:p>
        </w:tc>
      </w:tr>
      <w:tr>
        <w:trPr>
          <w:trHeight w:val="505"/>
        </w:trPr>
        <w:tc>
          <w:tcPr>
            <w:tcW w:w="3200" w:type="dxa"/>
            <w:vAlign w:val="bottom"/>
          </w:tcPr>
          <w:p>
            <w:pPr>
              <w:spacing w:after="0"/>
              <w:rPr>
                <w:sz w:val="24"/>
                <w:szCs w:val="24"/>
                <w:color w:val="auto"/>
              </w:rPr>
            </w:pPr>
          </w:p>
        </w:tc>
        <w:tc>
          <w:tcPr>
            <w:tcW w:w="17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200" w:type="dxa"/>
            <w:vAlign w:val="bottom"/>
          </w:tcPr>
          <w:p>
            <w:pPr>
              <w:spacing w:after="0"/>
              <w:rPr>
                <w:sz w:val="14"/>
                <w:szCs w:val="14"/>
                <w:color w:val="auto"/>
              </w:rPr>
            </w:pP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Service cost-benefits earned</w:t>
            </w:r>
          </w:p>
        </w:tc>
        <w:tc>
          <w:tcPr>
            <w:tcW w:w="1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$ 38</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$ 32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84</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76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(actual return: 2001 - $(70);</w:t>
            </w:r>
          </w:p>
        </w:tc>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2000 - $(2); 1999 - $211)</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(101)</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assets</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prior service</w:t>
            </w:r>
          </w:p>
        </w:tc>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cost/other</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w:t>
            </w:r>
          </w:p>
        </w:tc>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gain</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4"/>
                <w:szCs w:val="24"/>
                <w:color w:val="auto"/>
              </w:rPr>
            </w:pP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pension cost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$ 23</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$ 4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w:t>
            </w:r>
          </w:p>
        </w:tc>
      </w:tr>
      <w:tr>
        <w:trPr>
          <w:trHeight w:val="168"/>
        </w:trPr>
        <w:tc>
          <w:tcPr>
            <w:tcW w:w="3200" w:type="dxa"/>
            <w:vAlign w:val="bottom"/>
          </w:tcPr>
          <w:p>
            <w:pPr>
              <w:spacing w:after="0"/>
              <w:rPr>
                <w:sz w:val="14"/>
                <w:szCs w:val="14"/>
                <w:color w:val="auto"/>
              </w:rPr>
            </w:pP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09"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Effective January 1, 2000, Schlumberger and its subsidiaries amended their pension plans to improve retirement benefits for active employees.</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953" w:right="1440" w:bottom="1440" w:gutter="0" w:footer="0" w:header="0"/>
        </w:sectPr>
      </w:pPr>
    </w:p>
    <w:bookmarkStart w:id="50" w:name="page51"/>
    <w:bookmarkEnd w:id="50"/>
    <w:p>
      <w:pPr>
        <w:ind w:right="3239"/>
        <w:spacing w:after="0" w:line="234"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plans on December 31, 2001 and 2000,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673"/>
        </w:trPr>
        <w:tc>
          <w:tcPr>
            <w:tcW w:w="3240" w:type="dxa"/>
            <w:vAlign w:val="bottom"/>
          </w:tcPr>
          <w:p>
            <w:pPr>
              <w:spacing w:after="0"/>
              <w:rPr>
                <w:sz w:val="24"/>
                <w:szCs w:val="24"/>
                <w:color w:val="auto"/>
              </w:rPr>
            </w:pP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w:t>
            </w: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$ 1,105</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$ 1,048</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Amendments</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at</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the year</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$ 1,254</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$ 1,105</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w:t>
            </w: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$ 1,212</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$ 1,276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market value at</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the year</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$ 1,074</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$ 1,212</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w:t>
            </w: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(180)</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 at</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transition date</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liability</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(152)</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(130)</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assumed discount rate, the rate of compensation increases and the expected long-term rate of return on plan assets used to determine the projected benefit obligations were 7.25%, 4.5% and 9%, respectively, in 2001, and 7.5%, 4.5% and 9%, respectively, in 2000. Plan assets on December 31, 2001, consisted of common stocks ($630 million), cash or cash equivalents ($48 million), fixed income investments ($326 million) and other investments ($70 million). On December 31, 2001, there is no investment of the plan assets in Schlumberger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PENSION PLANS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$52 million, $23 million and $19 million in 2001, 2000 and 1999, respectively. Based on plan assets and the projected benefit obligation, the only significant defined benefit plan is in the UK.</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2001 and 2000 were 6%, 4% and 9%, respectively. In 1999, the assumptions were 7%, 4% and 9%, respectively.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792" w:right="1440" w:bottom="1440" w:gutter="0" w:footer="0" w:header="0"/>
        </w:sectPr>
      </w:pPr>
    </w:p>
    <w:bookmarkStart w:id="51" w:name="page52"/>
    <w:bookmarkEnd w:id="51"/>
    <w:p>
      <w:pPr>
        <w:ind w:right="3499"/>
        <w:spacing w:after="0" w:line="235" w:lineRule="auto"/>
        <w:rPr>
          <w:sz w:val="20"/>
          <w:szCs w:val="20"/>
          <w:color w:val="auto"/>
        </w:rPr>
      </w:pPr>
      <w:r>
        <w:rPr>
          <w:rFonts w:ascii="Courier New" w:cs="Courier New" w:eastAsia="Courier New" w:hAnsi="Courier New"/>
          <w:sz w:val="15"/>
          <w:szCs w:val="15"/>
          <w:color w:val="auto"/>
        </w:rPr>
        <w:t>Net pension cost in the UK plan for 2001 (including the Sema plc plans), 2000 and 1999 (translated into US dollars at the average exchange rate for the periods), included the following components: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(Stated in millions)</w:t>
            </w:r>
          </w:p>
        </w:tc>
        <w:tc>
          <w:tcPr>
            <w:tcW w:w="1340" w:type="dxa"/>
            <w:vAlign w:val="bottom"/>
          </w:tcPr>
          <w:p>
            <w:pPr>
              <w:spacing w:after="0"/>
              <w:rPr>
                <w:sz w:val="14"/>
                <w:szCs w:val="14"/>
                <w:color w:val="auto"/>
              </w:rPr>
            </w:pPr>
          </w:p>
        </w:tc>
      </w:tr>
      <w:tr>
        <w:trPr>
          <w:trHeight w:val="673"/>
        </w:trPr>
        <w:tc>
          <w:tcPr>
            <w:tcW w:w="3200" w:type="dxa"/>
            <w:vAlign w:val="bottom"/>
          </w:tcPr>
          <w:p>
            <w:pPr>
              <w:spacing w:after="0"/>
              <w:rPr>
                <w:sz w:val="24"/>
                <w:szCs w:val="24"/>
                <w:color w:val="auto"/>
              </w:rPr>
            </w:pPr>
          </w:p>
        </w:tc>
        <w:tc>
          <w:tcPr>
            <w:tcW w:w="1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2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2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Service cost-benefits earned</w:t>
            </w:r>
          </w:p>
        </w:tc>
        <w:tc>
          <w:tcPr>
            <w:tcW w:w="1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$ 47</w:t>
            </w:r>
          </w:p>
        </w:tc>
        <w:tc>
          <w:tcPr>
            <w:tcW w:w="23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$ 22</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23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17</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(actual return: 2001 - ($47);</w:t>
            </w:r>
          </w:p>
        </w:tc>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2000 - ($28); 1999 - $106)</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w:t>
            </w:r>
          </w:p>
        </w:tc>
        <w:tc>
          <w:tcPr>
            <w:tcW w:w="2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and other</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2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3200" w:type="dxa"/>
            <w:vAlign w:val="bottom"/>
          </w:tcPr>
          <w:p>
            <w:pPr>
              <w:spacing w:after="0"/>
              <w:rPr>
                <w:sz w:val="24"/>
                <w:szCs w:val="24"/>
                <w:color w:val="auto"/>
              </w:rPr>
            </w:pP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pension cost</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$ 21</w:t>
            </w:r>
          </w:p>
        </w:tc>
        <w:tc>
          <w:tcPr>
            <w:tcW w:w="23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w:t>
            </w:r>
          </w:p>
        </w:tc>
      </w:tr>
      <w:tr>
        <w:trPr>
          <w:trHeight w:val="168"/>
        </w:trPr>
        <w:tc>
          <w:tcPr>
            <w:tcW w:w="32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 including the Sema plc plans (translated into US dollars at year-end exchange rates)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336"/>
        </w:trPr>
        <w:tc>
          <w:tcPr>
            <w:tcW w:w="30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660" w:type="dxa"/>
            <w:vAlign w:val="bottom"/>
          </w:tcPr>
          <w:p>
            <w:pPr>
              <w:spacing w:after="0"/>
              <w:rPr>
                <w:sz w:val="24"/>
                <w:szCs w:val="24"/>
                <w:color w:val="auto"/>
              </w:rPr>
            </w:pPr>
          </w:p>
        </w:tc>
        <w:tc>
          <w:tcPr>
            <w:tcW w:w="1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08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311</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Sema</w:t>
            </w:r>
          </w:p>
        </w:tc>
        <w:tc>
          <w:tcPr>
            <w:tcW w:w="1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580</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w:t>
            </w:r>
          </w:p>
        </w:tc>
        <w:tc>
          <w:tcPr>
            <w:tcW w:w="1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in exchange</w:t>
            </w:r>
          </w:p>
        </w:tc>
        <w:tc>
          <w:tcPr>
            <w:tcW w:w="1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Disposals</w:t>
            </w:r>
          </w:p>
        </w:tc>
        <w:tc>
          <w:tcPr>
            <w:tcW w:w="1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at</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the year</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989</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$ 311</w:t>
            </w:r>
          </w:p>
        </w:tc>
      </w:tr>
      <w:tr>
        <w:trPr>
          <w:trHeight w:val="168"/>
        </w:trPr>
        <w:tc>
          <w:tcPr>
            <w:tcW w:w="308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385</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Sema</w:t>
            </w:r>
          </w:p>
        </w:tc>
        <w:tc>
          <w:tcPr>
            <w:tcW w:w="1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540</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 exchange</w:t>
            </w:r>
          </w:p>
        </w:tc>
        <w:tc>
          <w:tcPr>
            <w:tcW w:w="1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1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contributions</w:t>
            </w:r>
          </w:p>
        </w:tc>
        <w:tc>
          <w:tcPr>
            <w:tcW w:w="1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Disposals</w:t>
            </w:r>
          </w:p>
        </w:tc>
        <w:tc>
          <w:tcPr>
            <w:tcW w:w="1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market value at</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the year</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868</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$ 385</w:t>
            </w:r>
          </w:p>
        </w:tc>
      </w:tr>
      <w:tr>
        <w:trPr>
          <w:trHeight w:val="168"/>
        </w:trPr>
        <w:tc>
          <w:tcPr>
            <w:tcW w:w="308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(121)</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 at</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transition date</w:t>
            </w:r>
          </w:p>
        </w:tc>
        <w:tc>
          <w:tcPr>
            <w:tcW w:w="1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08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asset</w:t>
            </w:r>
          </w:p>
        </w:tc>
        <w:tc>
          <w:tcPr>
            <w:tcW w:w="1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$ 10</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$ 34</w:t>
            </w:r>
          </w:p>
        </w:tc>
      </w:tr>
      <w:tr>
        <w:trPr>
          <w:trHeight w:val="168"/>
        </w:trPr>
        <w:tc>
          <w:tcPr>
            <w:tcW w:w="308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080" w:type="dxa"/>
            <w:vAlign w:val="bottom"/>
          </w:tcPr>
          <w:p>
            <w:pPr>
              <w:spacing w:after="0"/>
              <w:rPr>
                <w:sz w:val="24"/>
                <w:szCs w:val="24"/>
                <w:color w:val="auto"/>
              </w:rPr>
            </w:pPr>
          </w:p>
        </w:tc>
        <w:tc>
          <w:tcPr>
            <w:tcW w:w="13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52</w:t>
            </w: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0239"/>
          </w:cols>
          <w:pgMar w:left="220" w:top="792" w:right="1440" w:bottom="1440" w:gutter="0" w:footer="0" w:header="0"/>
        </w:sectPr>
      </w:pPr>
    </w:p>
    <w:bookmarkStart w:id="52" w:name="page53"/>
    <w:bookmarkEnd w:id="52"/>
    <w:p>
      <w:pPr>
        <w:ind w:right="3239"/>
        <w:spacing w:after="0" w:line="255" w:lineRule="auto"/>
        <w:rPr>
          <w:sz w:val="20"/>
          <w:szCs w:val="20"/>
          <w:color w:val="auto"/>
        </w:rPr>
      </w:pPr>
      <w:r>
        <w:rPr>
          <w:rFonts w:ascii="Courier New" w:cs="Courier New" w:eastAsia="Courier New" w:hAnsi="Courier New"/>
          <w:sz w:val="14"/>
          <w:szCs w:val="14"/>
          <w:color w:val="auto"/>
        </w:rPr>
        <w:t>The assumed discount rate and rate of compensation increases used to determine the projected benefit obligation were 6% and 4%, respectively, in 2001, and 6.5% and 4%, respectively, in 2000; the expected long-term rate of return on plan assets was 9% in 2001 and 2000. Plan assets consisted of common stocks ($702 million), cash or cash equivalents ($23 million) and fixed income investments ($143 million). None of the plan assets represented Schlumberger common stock.</w:t>
      </w:r>
    </w:p>
    <w:p>
      <w:pPr>
        <w:spacing w:after="0" w:line="16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2001, 2000 and 1999, were $32 million, $22 million and $24 million, respectively.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DEFERRED BENEFITS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addition to providing pension benefits, Schlumberger and its subsidiaries have other deferred benefit programs, primarily profit sharing. Expenses for these programs were $192 million, $114 million and $73 million in 2001, 2000 and 1999,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Schlumberger and its US subsidiary provide health care benefits for certain active employees. The cost of providing these benefits is recognized as expense when incurred and aggregated $68 million, $60 million and $53 million in 2001, 2000 and 1999, respectively. Outside the US, such benefits are mostly provided through government-sponsored programs.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Schlumberger and its US subsidiary provide certain health care benefits to former employees who have retired under the US pension plans.</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The principal actuarial assumptions used to measure costs were a discount rate of 7.5% in 2001, 7.75% in 2000 and 7% in 1999. The overall medical cost trend rate assumption is 9.5% graded to 5% over the next six years and 5% thereafter.</w:t>
      </w:r>
    </w:p>
    <w:p>
      <w:pPr>
        <w:spacing w:after="0" w:line="16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Net periodic postretirement benefit cost in the US for 2001, 2000 and 1999, included the following components: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(Stated in millions)</w:t>
            </w:r>
          </w:p>
        </w:tc>
      </w:tr>
      <w:tr>
        <w:trPr>
          <w:trHeight w:val="673"/>
        </w:trPr>
        <w:tc>
          <w:tcPr>
            <w:tcW w:w="3280" w:type="dxa"/>
            <w:vAlign w:val="bottom"/>
          </w:tcPr>
          <w:p>
            <w:pPr>
              <w:spacing w:after="0"/>
              <w:rPr>
                <w:sz w:val="24"/>
                <w:szCs w:val="24"/>
                <w:color w:val="auto"/>
              </w:rPr>
            </w:pPr>
          </w:p>
        </w:tc>
        <w:tc>
          <w:tcPr>
            <w:tcW w:w="15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2001</w:t>
            </w:r>
          </w:p>
        </w:tc>
        <w:tc>
          <w:tcPr>
            <w:tcW w:w="17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280" w:type="dxa"/>
            <w:vAlign w:val="bottom"/>
          </w:tcPr>
          <w:p>
            <w:pPr>
              <w:spacing w:after="0"/>
              <w:rPr>
                <w:sz w:val="14"/>
                <w:szCs w:val="14"/>
                <w:color w:val="auto"/>
              </w:rPr>
            </w:pP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$ 13</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postretirement benefit obligation</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 net</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and other</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80" w:type="dxa"/>
            <w:vAlign w:val="bottom"/>
          </w:tcPr>
          <w:p>
            <w:pPr>
              <w:spacing w:after="0"/>
              <w:rPr>
                <w:sz w:val="14"/>
                <w:szCs w:val="14"/>
                <w:color w:val="auto"/>
              </w:rPr>
            </w:pP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$ 44</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$ 35</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w:t>
            </w:r>
          </w:p>
        </w:tc>
      </w:tr>
      <w:tr>
        <w:trPr>
          <w:trHeight w:val="168"/>
        </w:trPr>
        <w:tc>
          <w:tcPr>
            <w:tcW w:w="3280" w:type="dxa"/>
            <w:vAlign w:val="bottom"/>
          </w:tcPr>
          <w:p>
            <w:pPr>
              <w:spacing w:after="0"/>
              <w:rPr>
                <w:sz w:val="14"/>
                <w:szCs w:val="14"/>
                <w:color w:val="auto"/>
              </w:rPr>
            </w:pP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80" w:type="dxa"/>
            <w:vAlign w:val="bottom"/>
          </w:tcPr>
          <w:p>
            <w:pPr>
              <w:spacing w:after="0"/>
              <w:rPr>
                <w:sz w:val="24"/>
                <w:szCs w:val="24"/>
                <w:color w:val="auto"/>
              </w:rPr>
            </w:pPr>
          </w:p>
        </w:tc>
        <w:tc>
          <w:tcPr>
            <w:tcW w:w="150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53</w:t>
            </w: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39"/>
          </w:cols>
          <w:pgMar w:left="220" w:top="792"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The change in accumulated postretirement benefit obligation and funded status on</w:t>
      </w:r>
    </w:p>
    <w:p>
      <w:pPr>
        <w:spacing w:after="0" w:line="237" w:lineRule="auto"/>
        <w:rPr>
          <w:sz w:val="20"/>
          <w:szCs w:val="20"/>
          <w:color w:val="auto"/>
        </w:rPr>
      </w:pPr>
      <w:r>
        <w:rPr>
          <w:rFonts w:ascii="Courier New" w:cs="Courier New" w:eastAsia="Courier New" w:hAnsi="Courier New"/>
          <w:sz w:val="15"/>
          <w:szCs w:val="15"/>
          <w:color w:val="auto"/>
        </w:rPr>
        <w:t>December 31, 2001 and 2000,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(Stated in millions)</w:t>
            </w:r>
          </w:p>
        </w:tc>
      </w:tr>
      <w:tr>
        <w:trPr>
          <w:trHeight w:val="673"/>
        </w:trPr>
        <w:tc>
          <w:tcPr>
            <w:tcW w:w="3720" w:type="dxa"/>
            <w:vAlign w:val="bottom"/>
          </w:tcPr>
          <w:p>
            <w:pPr>
              <w:spacing w:after="0"/>
              <w:rPr>
                <w:sz w:val="24"/>
                <w:szCs w:val="2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72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w:t>
            </w:r>
          </w:p>
        </w:tc>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obligation at beginning of the year</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$ 398</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$ 320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 (gains)</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72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postretirement benefit</w:t>
            </w:r>
          </w:p>
        </w:tc>
        <w:tc>
          <w:tcPr>
            <w:tcW w:w="15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obligation at the end of the year</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cost/other</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 liability</w:t>
            </w:r>
          </w:p>
        </w:tc>
        <w:tc>
          <w:tcPr>
            <w:tcW w:w="15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on December 31</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$ 505</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$ 476</w:t>
            </w:r>
          </w:p>
        </w:tc>
      </w:tr>
      <w:tr>
        <w:trPr>
          <w:trHeight w:val="168"/>
        </w:trPr>
        <w:tc>
          <w:tcPr>
            <w:tcW w:w="372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components of the accumulated postretirement benefit obligation on December 31, 2001 and 2000,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200" w:type="dxa"/>
            <w:vAlign w:val="bottom"/>
          </w:tcPr>
          <w:p>
            <w:pPr>
              <w:spacing w:after="0"/>
              <w:rPr>
                <w:sz w:val="14"/>
                <w:szCs w:val="14"/>
                <w:color w:val="auto"/>
              </w:rPr>
            </w:pPr>
          </w:p>
        </w:tc>
        <w:tc>
          <w:tcPr>
            <w:tcW w:w="2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200" w:type="dxa"/>
            <w:vAlign w:val="bottom"/>
          </w:tcPr>
          <w:p>
            <w:pPr>
              <w:spacing w:after="0"/>
              <w:rPr>
                <w:sz w:val="14"/>
                <w:szCs w:val="14"/>
                <w:color w:val="auto"/>
              </w:rPr>
            </w:pPr>
          </w:p>
        </w:tc>
        <w:tc>
          <w:tcPr>
            <w:tcW w:w="2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2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$ 237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eligible</w:t>
            </w:r>
          </w:p>
        </w:tc>
        <w:tc>
          <w:tcPr>
            <w:tcW w:w="2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Actives</w:t>
            </w:r>
          </w:p>
        </w:tc>
        <w:tc>
          <w:tcPr>
            <w:tcW w:w="2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r>
      <w:tr>
        <w:trPr>
          <w:trHeight w:val="336"/>
        </w:trPr>
        <w:tc>
          <w:tcPr>
            <w:tcW w:w="2200" w:type="dxa"/>
            <w:vAlign w:val="bottom"/>
          </w:tcPr>
          <w:p>
            <w:pPr>
              <w:spacing w:after="0"/>
              <w:rPr>
                <w:sz w:val="24"/>
                <w:szCs w:val="24"/>
                <w:color w:val="auto"/>
              </w:rPr>
            </w:pPr>
          </w:p>
        </w:tc>
        <w:tc>
          <w:tcPr>
            <w:tcW w:w="2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2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$ 478</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$ 398</w:t>
            </w:r>
          </w:p>
        </w:tc>
      </w:tr>
      <w:tr>
        <w:trPr>
          <w:trHeight w:val="168"/>
        </w:trPr>
        <w:tc>
          <w:tcPr>
            <w:tcW w:w="2200" w:type="dxa"/>
            <w:vAlign w:val="bottom"/>
          </w:tcPr>
          <w:p>
            <w:pPr>
              <w:spacing w:after="0"/>
              <w:rPr>
                <w:sz w:val="14"/>
                <w:szCs w:val="14"/>
                <w:color w:val="auto"/>
              </w:rPr>
            </w:pPr>
          </w:p>
        </w:tc>
        <w:tc>
          <w:tcPr>
            <w:tcW w:w="2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The assumed discount rate used to determine the accumulated postretirement benefit obligation was 7.25% for 2001 and 7.50% for 2000.</w:t>
      </w:r>
    </w:p>
    <w:p>
      <w:pPr>
        <w:spacing w:after="0" w:line="160"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2001 would have been $53 million, and the accumulated postretirement benefit obligation would have been $560 million on December 31, 2001.</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assumed medical cost trend rate was decreased by one percentage point, health care cost in 2001 would have been $38 million, and the accumulated postretirement benefit obligation would have been $412 million on December 31,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Operating revenue and related cost of goods sold and services for continuing operations comprised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(Stated in millions)</w:t>
            </w:r>
          </w:p>
        </w:tc>
      </w:tr>
      <w:tr>
        <w:trPr>
          <w:trHeight w:val="673"/>
        </w:trPr>
        <w:tc>
          <w:tcPr>
            <w:tcW w:w="25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8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2001</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540" w:type="dxa"/>
            <w:vAlign w:val="bottom"/>
          </w:tcPr>
          <w:p>
            <w:pPr>
              <w:spacing w:after="0"/>
              <w:rPr>
                <w:sz w:val="14"/>
                <w:szCs w:val="14"/>
                <w:color w:val="auto"/>
              </w:rPr>
            </w:pPr>
          </w:p>
        </w:tc>
        <w:tc>
          <w:tcPr>
            <w:tcW w:w="18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Products</w:t>
            </w:r>
          </w:p>
        </w:tc>
        <w:tc>
          <w:tcPr>
            <w:tcW w:w="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4,896</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$ 4,225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$ 3,822</w:t>
            </w: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Services</w:t>
            </w:r>
          </w:p>
        </w:tc>
        <w:tc>
          <w:tcPr>
            <w:tcW w:w="9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8,850</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5,386</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4,573</w:t>
            </w:r>
          </w:p>
        </w:tc>
      </w:tr>
      <w:tr>
        <w:trPr>
          <w:trHeight w:val="336"/>
        </w:trPr>
        <w:tc>
          <w:tcPr>
            <w:tcW w:w="2540" w:type="dxa"/>
            <w:vAlign w:val="bottom"/>
          </w:tcPr>
          <w:p>
            <w:pPr>
              <w:spacing w:after="0"/>
              <w:rPr>
                <w:sz w:val="24"/>
                <w:szCs w:val="24"/>
                <w:color w:val="auto"/>
              </w:rPr>
            </w:pP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8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$ 13,746</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$ 9,611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$ 8,395</w:t>
            </w:r>
          </w:p>
        </w:tc>
      </w:tr>
      <w:tr>
        <w:trPr>
          <w:trHeight w:val="168"/>
        </w:trPr>
        <w:tc>
          <w:tcPr>
            <w:tcW w:w="2540" w:type="dxa"/>
            <w:vAlign w:val="bottom"/>
          </w:tcPr>
          <w:p>
            <w:pPr>
              <w:spacing w:after="0"/>
              <w:rPr>
                <w:sz w:val="14"/>
                <w:szCs w:val="14"/>
                <w:color w:val="auto"/>
              </w:rPr>
            </w:pPr>
          </w:p>
        </w:tc>
        <w:tc>
          <w:tcPr>
            <w:tcW w:w="18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Direct operating costs</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Goods sold</w:t>
            </w:r>
          </w:p>
        </w:tc>
        <w:tc>
          <w:tcPr>
            <w:tcW w:w="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2,876</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$ 2,582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$ 2,461</w:t>
            </w: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Services</w:t>
            </w:r>
          </w:p>
        </w:tc>
        <w:tc>
          <w:tcPr>
            <w:tcW w:w="9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7,255</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4,790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4,288</w:t>
            </w:r>
          </w:p>
        </w:tc>
      </w:tr>
      <w:tr>
        <w:trPr>
          <w:trHeight w:val="168"/>
        </w:trPr>
        <w:tc>
          <w:tcPr>
            <w:tcW w:w="2540" w:type="dxa"/>
            <w:vAlign w:val="bottom"/>
          </w:tcPr>
          <w:p>
            <w:pPr>
              <w:spacing w:after="0"/>
              <w:rPr>
                <w:sz w:val="14"/>
                <w:szCs w:val="14"/>
                <w:color w:val="auto"/>
              </w:rPr>
            </w:pPr>
          </w:p>
        </w:tc>
        <w:tc>
          <w:tcPr>
            <w:tcW w:w="18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8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$ 10,131</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$ 7,372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$ 6,749</w:t>
            </w:r>
          </w:p>
        </w:tc>
      </w:tr>
    </w:tbl>
    <w:p>
      <w:pPr>
        <w:sectPr>
          <w:pgSz w:w="11900" w:h="16838" w:orient="portrait"/>
          <w:cols w:equalWidth="0" w:num="1">
            <w:col w:w="10239"/>
          </w:cols>
          <w:pgMar w:left="220" w:top="953" w:right="1440" w:bottom="0" w:gutter="0" w:footer="0" w:header="0"/>
        </w:sectPr>
      </w:pPr>
    </w:p>
    <w:bookmarkStart w:id="54" w:name="page55"/>
    <w:bookmarkEnd w:id="54"/>
    <w:p>
      <w:pPr>
        <w:ind w:left="1860"/>
        <w:spacing w:after="0"/>
        <w:tabs>
          <w:tab w:leader="none" w:pos="3500" w:val="left"/>
          <w:tab w:leader="none" w:pos="5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9019"/>
          </w:cols>
          <w:pgMar w:left="1440" w:top="135"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019"/>
          </w:cols>
          <w:pgMar w:left="1440" w:top="135" w:right="1440" w:bottom="1440" w:gutter="0" w:footer="0" w:header="0"/>
          <w:type w:val="continuous"/>
        </w:sectPr>
      </w:pPr>
    </w:p>
    <w:bookmarkStart w:id="55" w:name="page56"/>
    <w:bookmarkEnd w:id="55"/>
    <w:p>
      <w:pPr>
        <w:ind w:right="3939"/>
        <w:spacing w:after="0" w:line="234" w:lineRule="auto"/>
        <w:rPr>
          <w:sz w:val="20"/>
          <w:szCs w:val="20"/>
          <w:color w:val="auto"/>
        </w:rPr>
      </w:pPr>
      <w:r>
        <w:rPr>
          <w:rFonts w:ascii="Courier New" w:cs="Courier New" w:eastAsia="Courier New" w:hAnsi="Courier New"/>
          <w:sz w:val="15"/>
          <w:szCs w:val="15"/>
          <w:color w:val="auto"/>
        </w:rPr>
        <w:t>Cash paid for interest and income taxes for continuing operations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(Stated in millions)</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8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2001</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54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8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$ 363</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$ 268</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$ 298</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$ 231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$ 182</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3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680" w:type="dxa"/>
            <w:vAlign w:val="bottom"/>
          </w:tcPr>
          <w:p>
            <w:pPr>
              <w:spacing w:after="0"/>
              <w:rPr>
                <w:sz w:val="14"/>
                <w:szCs w:val="14"/>
                <w:color w:val="auto"/>
              </w:rPr>
            </w:pP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Payroll, vacation and</w:t>
            </w:r>
          </w:p>
        </w:tc>
        <w:tc>
          <w:tcPr>
            <w:tcW w:w="2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 benefits</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929</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672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1,184</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946</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other than income</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1,089</w:t>
            </w:r>
          </w:p>
        </w:tc>
      </w:tr>
      <w:tr>
        <w:trPr>
          <w:trHeight w:val="336"/>
        </w:trPr>
        <w:tc>
          <w:tcPr>
            <w:tcW w:w="2680" w:type="dxa"/>
            <w:vAlign w:val="bottom"/>
          </w:tcPr>
          <w:p>
            <w:pPr>
              <w:spacing w:after="0"/>
              <w:rPr>
                <w:sz w:val="24"/>
                <w:szCs w:val="24"/>
                <w:color w:val="auto"/>
              </w:rPr>
            </w:pPr>
          </w:p>
        </w:tc>
        <w:tc>
          <w:tcPr>
            <w:tcW w:w="2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$ 4,507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$ 2,911</w:t>
            </w:r>
          </w:p>
        </w:tc>
      </w:tr>
      <w:tr>
        <w:trPr>
          <w:trHeight w:val="168"/>
        </w:trPr>
        <w:tc>
          <w:tcPr>
            <w:tcW w:w="2680" w:type="dxa"/>
            <w:vAlign w:val="bottom"/>
          </w:tcPr>
          <w:p>
            <w:pPr>
              <w:spacing w:after="0"/>
              <w:rPr>
                <w:sz w:val="14"/>
                <w:szCs w:val="14"/>
                <w:color w:val="auto"/>
              </w:rPr>
            </w:pP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income includes the following: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(Stated in millions)</w:t>
            </w:r>
          </w:p>
        </w:tc>
      </w:tr>
      <w:tr>
        <w:trPr>
          <w:trHeight w:val="505"/>
        </w:trPr>
        <w:tc>
          <w:tcPr>
            <w:tcW w:w="3340" w:type="dxa"/>
            <w:vAlign w:val="bottom"/>
          </w:tcPr>
          <w:p>
            <w:pPr>
              <w:spacing w:after="0"/>
              <w:rPr>
                <w:sz w:val="24"/>
                <w:szCs w:val="24"/>
                <w:color w:val="auto"/>
              </w:rPr>
            </w:pPr>
          </w:p>
        </w:tc>
        <w:tc>
          <w:tcPr>
            <w:tcW w:w="17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340" w:type="dxa"/>
            <w:vAlign w:val="bottom"/>
          </w:tcPr>
          <w:p>
            <w:pPr>
              <w:spacing w:after="0"/>
              <w:rPr>
                <w:sz w:val="14"/>
                <w:szCs w:val="14"/>
                <w:color w:val="auto"/>
              </w:rPr>
            </w:pPr>
          </w:p>
        </w:tc>
        <w:tc>
          <w:tcPr>
            <w:tcW w:w="1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$ 159</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$ 302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earnings of</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affiliated companies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business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Gain on sale of financial instruments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3340" w:type="dxa"/>
            <w:vAlign w:val="bottom"/>
          </w:tcPr>
          <w:p>
            <w:pPr>
              <w:spacing w:after="0"/>
              <w:rPr>
                <w:sz w:val="14"/>
                <w:szCs w:val="14"/>
                <w:color w:val="auto"/>
              </w:rPr>
            </w:pPr>
          </w:p>
        </w:tc>
        <w:tc>
          <w:tcPr>
            <w:tcW w:w="1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$ 423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$ 357</w:t>
            </w:r>
          </w:p>
        </w:tc>
      </w:tr>
      <w:tr>
        <w:trPr>
          <w:trHeight w:val="168"/>
        </w:trPr>
        <w:tc>
          <w:tcPr>
            <w:tcW w:w="3340" w:type="dxa"/>
            <w:vAlign w:val="bottom"/>
          </w:tcPr>
          <w:p>
            <w:pPr>
              <w:spacing w:after="0"/>
              <w:rPr>
                <w:sz w:val="14"/>
                <w:szCs w:val="14"/>
                <w:color w:val="auto"/>
              </w:rPr>
            </w:pPr>
          </w:p>
        </w:tc>
        <w:tc>
          <w:tcPr>
            <w:tcW w:w="1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1780" w:type="dxa"/>
            <w:vAlign w:val="bottom"/>
          </w:tcPr>
          <w:p>
            <w:pPr>
              <w:jc w:val="right"/>
              <w:ind w:right="1447"/>
              <w:spacing w:after="0"/>
              <w:rPr>
                <w:sz w:val="20"/>
                <w:szCs w:val="20"/>
                <w:color w:val="auto"/>
              </w:rPr>
            </w:pPr>
            <w:r>
              <w:rPr>
                <w:rFonts w:ascii="Courier New" w:cs="Courier New" w:eastAsia="Courier New" w:hAnsi="Courier New"/>
                <w:sz w:val="15"/>
                <w:szCs w:val="15"/>
                <w:color w:val="auto"/>
              </w:rPr>
              <w:t>55</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39"/>
          </w:cols>
          <w:pgMar w:left="220" w:top="960"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237" w:lineRule="auto"/>
        <w:rPr>
          <w:sz w:val="20"/>
          <w:szCs w:val="20"/>
          <w:color w:val="auto"/>
        </w:rPr>
      </w:pPr>
      <w:r>
        <w:rPr>
          <w:rFonts w:ascii="Courier New" w:cs="Courier New" w:eastAsia="Courier New" w:hAnsi="Courier New"/>
          <w:sz w:val="15"/>
          <w:szCs w:val="15"/>
          <w:color w:val="auto"/>
        </w:rPr>
        <w:t>Stockholders</w:t>
      </w:r>
    </w:p>
    <w:p>
      <w:pPr>
        <w:spacing w:after="0" w:line="238" w:lineRule="auto"/>
        <w:rPr>
          <w:sz w:val="20"/>
          <w:szCs w:val="20"/>
          <w:color w:val="auto"/>
        </w:rPr>
      </w:pPr>
      <w:r>
        <w:rPr>
          <w:rFonts w:ascii="Courier New" w:cs="Courier New" w:eastAsia="Courier New" w:hAnsi="Courier New"/>
          <w:sz w:val="15"/>
          <w:szCs w:val="15"/>
          <w:color w:val="auto"/>
        </w:rPr>
        <w:t>of Schlumberger Limited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income, of stockholders' equity and of cash flows present fairly, in all material respects, the financial position of Schlumberger Limited and its subsidiaries at December 31, 2001 and December 31, 2000, and the results of their operations and their cash flows for each of the three years in the period ended December 31, 2001,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8" w:lineRule="exact"/>
        <w:rPr>
          <w:sz w:val="20"/>
          <w:szCs w:val="20"/>
          <w:color w:val="auto"/>
        </w:rPr>
      </w:pPr>
    </w:p>
    <w:p>
      <w:pPr>
        <w:ind w:left="280"/>
        <w:spacing w:after="0"/>
        <w:tabs>
          <w:tab w:leader="none" w:pos="780" w:val="left"/>
        </w:tabs>
        <w:rPr>
          <w:sz w:val="20"/>
          <w:szCs w:val="20"/>
          <w:color w:val="auto"/>
        </w:rPr>
      </w:pPr>
      <w:r>
        <w:rPr>
          <w:rFonts w:ascii="Courier New" w:cs="Courier New" w:eastAsia="Courier New" w:hAnsi="Courier New"/>
          <w:sz w:val="15"/>
          <w:szCs w:val="15"/>
          <w:color w:val="auto"/>
        </w:rPr>
        <w:t>/s/</w:t>
        <w:tab/>
        <w:t>PricewaterhouseCoopers LLP</w:t>
      </w:r>
    </w:p>
    <w:p>
      <w:pPr>
        <w:ind w:left="180" w:hanging="170"/>
        <w:spacing w:after="0" w:line="237" w:lineRule="auto"/>
        <w:tabs>
          <w:tab w:leader="none" w:pos="1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79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 New York, New York January 22, 2002</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785"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QUARTERLY RESULTS</w:t>
      </w:r>
    </w:p>
    <w:p>
      <w:pPr>
        <w:ind w:left="180" w:hanging="170"/>
        <w:spacing w:after="0" w:line="237" w:lineRule="auto"/>
        <w:tabs>
          <w:tab w:leader="none" w:pos="1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following table summarizes results for each of the four quarters for the years ended December 31, 2001 and 2000. Gross margin equals operating revenue less cost of goods sold and services.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(Stated in millions except per share amounts)</w:t>
            </w:r>
          </w:p>
        </w:tc>
      </w:tr>
      <w:tr>
        <w:trPr>
          <w:trHeight w:val="505"/>
        </w:trPr>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Earnings per share</w:t>
            </w:r>
          </w:p>
        </w:tc>
      </w:tr>
      <w:tr>
        <w:trPr>
          <w:trHeight w:val="168"/>
        </w:trPr>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Gross</w:t>
            </w:r>
          </w:p>
        </w:tc>
        <w:tc>
          <w:tcPr>
            <w:tcW w:w="420" w:type="dxa"/>
            <w:vAlign w:val="bottom"/>
          </w:tcPr>
          <w:p>
            <w:pPr>
              <w:spacing w:after="0"/>
              <w:rPr>
                <w:sz w:val="14"/>
                <w:szCs w:val="14"/>
                <w:color w:val="auto"/>
              </w:rPr>
            </w:pPr>
          </w:p>
        </w:tc>
        <w:tc>
          <w:tcPr>
            <w:tcW w:w="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w:t>
            </w:r>
          </w:p>
        </w:tc>
        <w:tc>
          <w:tcPr>
            <w:tcW w:w="480" w:type="dxa"/>
            <w:vAlign w:val="bottom"/>
          </w:tcPr>
          <w:p>
            <w:pPr>
              <w:spacing w:after="0"/>
              <w:rPr>
                <w:sz w:val="14"/>
                <w:szCs w:val="14"/>
                <w:color w:val="auto"/>
              </w:rPr>
            </w:pPr>
          </w:p>
        </w:tc>
        <w:tc>
          <w:tcPr>
            <w:tcW w:w="2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0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Revenue</w:t>
            </w:r>
          </w:p>
        </w:tc>
        <w:tc>
          <w:tcPr>
            <w:tcW w:w="11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Margin</w:t>
            </w:r>
          </w:p>
        </w:tc>
        <w:tc>
          <w:tcPr>
            <w:tcW w:w="11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Basic</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Diluted</w:t>
            </w:r>
          </w:p>
        </w:tc>
      </w:tr>
      <w:tr>
        <w:trPr>
          <w:trHeight w:val="168"/>
        </w:trPr>
        <w:tc>
          <w:tcPr>
            <w:tcW w:w="120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Quarters-2001</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First/1/</w:t>
            </w:r>
          </w:p>
        </w:tc>
        <w:tc>
          <w:tcPr>
            <w:tcW w:w="11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$ 2,910</w:t>
            </w: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717</w:t>
            </w:r>
          </w:p>
        </w:tc>
        <w:tc>
          <w:tcPr>
            <w:tcW w:w="66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235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$ 0.41</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$ 0.41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Second/2/</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3,635</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565</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Third/3/</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3,624</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916</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Fourth/4/</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3,577</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906</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120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$ 13,746</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$ 3,104</w:t>
            </w:r>
          </w:p>
        </w:tc>
        <w:tc>
          <w:tcPr>
            <w:tcW w:w="66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522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$ 0.91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$ 0.91</w:t>
            </w:r>
          </w:p>
        </w:tc>
      </w:tr>
      <w:tr>
        <w:trPr>
          <w:trHeight w:val="168"/>
        </w:trPr>
        <w:tc>
          <w:tcPr>
            <w:tcW w:w="120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Quarters-2000</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2,138</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478</w:t>
            </w:r>
          </w:p>
        </w:tc>
        <w:tc>
          <w:tcPr>
            <w:tcW w:w="66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$ 0.24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$ 0.24</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2,338</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508</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2,447</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556</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0.35</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Fourth/5/</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2,688</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555</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238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0.41</w:t>
            </w:r>
          </w:p>
        </w:tc>
      </w:tr>
      <w:tr>
        <w:trPr>
          <w:trHeight w:val="168"/>
        </w:trPr>
        <w:tc>
          <w:tcPr>
            <w:tcW w:w="120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00" w:type="dxa"/>
            <w:vAlign w:val="bottom"/>
          </w:tcPr>
          <w:p>
            <w:pPr>
              <w:spacing w:after="0"/>
              <w:rPr>
                <w:sz w:val="14"/>
                <w:szCs w:val="14"/>
                <w:color w:val="auto"/>
              </w:rPr>
            </w:pP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9,611</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$ 2,097</w:t>
            </w:r>
          </w:p>
        </w:tc>
        <w:tc>
          <w:tcPr>
            <w:tcW w:w="66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735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$ 1.27</w:t>
            </w:r>
          </w:p>
        </w:tc>
      </w:tr>
      <w:tr>
        <w:trPr>
          <w:trHeight w:val="168"/>
        </w:trPr>
        <w:tc>
          <w:tcPr>
            <w:tcW w:w="120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319" w:hanging="430"/>
        <w:spacing w:after="0" w:line="234" w:lineRule="auto"/>
        <w:tabs>
          <w:tab w:leader="none" w:pos="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$25 million (pretax and after tax) in-process R&amp;D charge ($0.04 per share - diluted).</w:t>
      </w:r>
    </w:p>
    <w:p>
      <w:pPr>
        <w:ind w:left="440" w:hanging="430"/>
        <w:spacing w:after="0" w:line="237" w:lineRule="auto"/>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net, after-tax charge of $280 million ($0.48 per share -</w:t>
      </w:r>
    </w:p>
    <w:p>
      <w:pPr>
        <w:ind w:left="440"/>
        <w:spacing w:after="0" w:line="238" w:lineRule="auto"/>
        <w:rPr>
          <w:sz w:val="20"/>
          <w:szCs w:val="20"/>
          <w:color w:val="auto"/>
        </w:rPr>
      </w:pPr>
      <w:r>
        <w:rPr>
          <w:rFonts w:ascii="Courier New" w:cs="Courier New" w:eastAsia="Courier New" w:hAnsi="Courier New"/>
          <w:sz w:val="15"/>
          <w:szCs w:val="15"/>
          <w:color w:val="auto"/>
        </w:rPr>
        <w:t>diluted).</w:t>
      </w:r>
    </w:p>
    <w:p>
      <w:pPr>
        <w:spacing w:after="0" w:line="5" w:lineRule="exact"/>
        <w:rPr>
          <w:sz w:val="20"/>
          <w:szCs w:val="20"/>
          <w:color w:val="auto"/>
        </w:rPr>
      </w:pPr>
    </w:p>
    <w:p>
      <w:pPr>
        <w:ind w:left="440" w:hanging="430"/>
        <w:spacing w:after="0"/>
        <w:tabs>
          <w:tab w:leader="none" w:pos="4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net, after-tax credit of $3 million ($0.00 per share-diluted).</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Includes a net, after-tax credit of $5 million ($0.01 per share-diluted).</w:t>
      </w:r>
    </w:p>
    <w:p>
      <w:pPr>
        <w:spacing w:after="0" w:line="5" w:lineRule="exact"/>
        <w:rPr>
          <w:rFonts w:ascii="Courier New" w:cs="Courier New" w:eastAsia="Courier New" w:hAnsi="Courier New"/>
          <w:sz w:val="14"/>
          <w:szCs w:val="14"/>
          <w:color w:val="auto"/>
        </w:rPr>
      </w:pPr>
    </w:p>
    <w:p>
      <w:pPr>
        <w:ind w:left="440" w:right="3239" w:hanging="437"/>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5Includes a net, after-tax and minority interest charge of $3 million ($0.00 per share-diluted).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w:t>
      </w:r>
    </w:p>
    <w:p>
      <w:pPr>
        <w:spacing w:after="0"/>
        <w:tabs>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1240"/>
        <w:spacing w:after="0" w:line="238" w:lineRule="auto"/>
        <w:rPr>
          <w:sz w:val="20"/>
          <w:szCs w:val="20"/>
          <w:color w:val="auto"/>
        </w:rPr>
      </w:pPr>
      <w:r>
        <w:rPr>
          <w:rFonts w:ascii="Courier New" w:cs="Courier New" w:eastAsia="Courier New" w:hAnsi="Courier New"/>
          <w:sz w:val="15"/>
          <w:szCs w:val="15"/>
          <w:color w:val="auto"/>
        </w:rPr>
        <w:t>and Financial Disclosures</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785"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tabs>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See Part I (on pages 6 and 7) for Item 10 information regarding Executive Officers of the Registrant. The information with respect to the remaining portion of Item 10 is set forth in the first section under the caption, "Election of Directors", in the Company's Proxy Statement to be filed for the April 10, 2002 Annual General Meeting, and is incorporated by reference.</w:t>
      </w:r>
    </w:p>
    <w:p>
      <w:pPr>
        <w:spacing w:after="0" w:line="15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tabs>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information set forth under "Executive Compensation" (other than that set forth under the subcaptions "Corporate Performance Graph" and "Compensation Committee Report on Executive Compensation") in the Company's Proxy Statement to be filed for the April 10, 2002 Annual General Meeting, is incorporated by reference.</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tabs>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information with respect to Item 12 is set forth in the Company's Proxy Statement to be filed for the April 10, 2002 Annual General Meeting under the caption, "Security Ownership of Certain Beneficial Owners and Management," and such information is incorporated herein by reference.</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tabs>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Information regarding this item may be found on page 2, the last two sentences of footnote 2, in the Company's Proxy Statement to be filed for the April 10, 2002 Annual General Meeting and is incorporated by reference.</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954"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4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68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Exhibits, Financial Statement Schedules and Reports on Form 8-K</w:t>
            </w:r>
          </w:p>
        </w:tc>
        <w:tc>
          <w:tcPr>
            <w:tcW w:w="1780" w:type="dxa"/>
            <w:vAlign w:val="bottom"/>
          </w:tcPr>
          <w:p>
            <w:pPr>
              <w:spacing w:after="0"/>
              <w:rPr>
                <w:sz w:val="24"/>
                <w:szCs w:val="2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6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r>
      <w:tr>
        <w:trPr>
          <w:trHeight w:val="336"/>
        </w:trPr>
        <w:tc>
          <w:tcPr>
            <w:tcW w:w="7760" w:type="dxa"/>
            <w:vAlign w:val="bottom"/>
            <w:gridSpan w:val="3"/>
          </w:tcPr>
          <w:p>
            <w:pPr>
              <w:spacing w:after="0"/>
              <w:rPr>
                <w:sz w:val="20"/>
                <w:szCs w:val="20"/>
                <w:color w:val="auto"/>
              </w:rPr>
            </w:pPr>
            <w:r>
              <w:rPr>
                <w:rFonts w:ascii="Courier New" w:cs="Courier New" w:eastAsia="Courier New" w:hAnsi="Courier New"/>
                <w:sz w:val="15"/>
                <w:szCs w:val="15"/>
                <w:color w:val="auto"/>
              </w:rPr>
              <w:t>The following documents are filed as part of this report:</w:t>
            </w:r>
          </w:p>
        </w:tc>
        <w:tc>
          <w:tcPr>
            <w:tcW w:w="1780" w:type="dxa"/>
            <w:vAlign w:val="bottom"/>
          </w:tcPr>
          <w:p>
            <w:pPr>
              <w:spacing w:after="0"/>
              <w:rPr>
                <w:sz w:val="24"/>
                <w:szCs w:val="24"/>
                <w:color w:val="auto"/>
              </w:rPr>
            </w:pPr>
          </w:p>
        </w:tc>
      </w:tr>
      <w:tr>
        <w:trPr>
          <w:trHeight w:val="673"/>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780" w:type="dxa"/>
            <w:vAlign w:val="bottom"/>
          </w:tcPr>
          <w:p>
            <w:pPr>
              <w:ind w:left="820"/>
              <w:spacing w:after="0"/>
              <w:rPr>
                <w:sz w:val="20"/>
                <w:szCs w:val="20"/>
                <w:color w:val="auto"/>
              </w:rPr>
            </w:pPr>
            <w:r>
              <w:rPr>
                <w:rFonts w:ascii="Courier New" w:cs="Courier New" w:eastAsia="Courier New" w:hAnsi="Courier New"/>
                <w:sz w:val="15"/>
                <w:szCs w:val="15"/>
                <w:color w:val="auto"/>
              </w:rPr>
              <w:t>Page(s)</w:t>
            </w:r>
          </w:p>
        </w:tc>
      </w:tr>
      <w:tr>
        <w:trPr>
          <w:trHeight w:val="336"/>
        </w:trPr>
        <w:tc>
          <w:tcPr>
            <w:tcW w:w="9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Financial Statements</w:t>
            </w:r>
          </w:p>
        </w:tc>
        <w:tc>
          <w:tcPr>
            <w:tcW w:w="1780" w:type="dxa"/>
            <w:vAlign w:val="bottom"/>
          </w:tcPr>
          <w:p>
            <w:pPr>
              <w:spacing w:after="0"/>
              <w:rPr>
                <w:sz w:val="24"/>
                <w:szCs w:val="2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Consolidated Statement of Income</w:t>
            </w:r>
          </w:p>
        </w:tc>
        <w:tc>
          <w:tcPr>
            <w:tcW w:w="1780" w:type="dxa"/>
            <w:vAlign w:val="bottom"/>
          </w:tcPr>
          <w:p>
            <w:pPr>
              <w:spacing w:after="0"/>
              <w:rPr>
                <w:sz w:val="24"/>
                <w:szCs w:val="2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for the three years ended December 31, 2001</w:t>
            </w:r>
          </w:p>
        </w:tc>
        <w:tc>
          <w:tcPr>
            <w:tcW w:w="178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28</w:t>
            </w: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Consolidated Balance Sheet</w:t>
            </w:r>
          </w:p>
        </w:tc>
        <w:tc>
          <w:tcPr>
            <w:tcW w:w="1780" w:type="dxa"/>
            <w:vAlign w:val="bottom"/>
          </w:tcPr>
          <w:p>
            <w:pPr>
              <w:spacing w:after="0"/>
              <w:rPr>
                <w:sz w:val="24"/>
                <w:szCs w:val="2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at December 31, 2001 and 2000</w:t>
            </w:r>
          </w:p>
        </w:tc>
        <w:tc>
          <w:tcPr>
            <w:tcW w:w="178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29</w:t>
            </w: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Consolidated Statement of Cash Flows</w:t>
            </w:r>
          </w:p>
        </w:tc>
        <w:tc>
          <w:tcPr>
            <w:tcW w:w="1780" w:type="dxa"/>
            <w:vAlign w:val="bottom"/>
          </w:tcPr>
          <w:p>
            <w:pPr>
              <w:spacing w:after="0"/>
              <w:rPr>
                <w:sz w:val="24"/>
                <w:szCs w:val="2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for the three years ended December 31, 2001</w:t>
            </w:r>
          </w:p>
        </w:tc>
        <w:tc>
          <w:tcPr>
            <w:tcW w:w="178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30</w:t>
            </w: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1780" w:type="dxa"/>
            <w:vAlign w:val="bottom"/>
          </w:tcPr>
          <w:p>
            <w:pPr>
              <w:spacing w:after="0"/>
              <w:rPr>
                <w:sz w:val="24"/>
                <w:szCs w:val="2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for the three years ended December 31, 2001</w:t>
            </w:r>
          </w:p>
        </w:tc>
        <w:tc>
          <w:tcPr>
            <w:tcW w:w="178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31</w:t>
            </w: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78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7"/>
              </w:rPr>
              <w:t>32 to 55</w:t>
            </w: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Report of Independent Accountants</w:t>
            </w:r>
          </w:p>
        </w:tc>
        <w:tc>
          <w:tcPr>
            <w:tcW w:w="178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56</w:t>
            </w: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Quarterly Results (Unaudited)</w:t>
            </w:r>
          </w:p>
        </w:tc>
        <w:tc>
          <w:tcPr>
            <w:tcW w:w="178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57</w:t>
            </w:r>
          </w:p>
        </w:tc>
      </w:tr>
      <w:tr>
        <w:trPr>
          <w:trHeight w:val="336"/>
        </w:trPr>
        <w:tc>
          <w:tcPr>
            <w:tcW w:w="7760" w:type="dxa"/>
            <w:vAlign w:val="bottom"/>
            <w:gridSpan w:val="3"/>
          </w:tcPr>
          <w:p>
            <w:pPr>
              <w:spacing w:after="0"/>
              <w:rPr>
                <w:sz w:val="20"/>
                <w:szCs w:val="20"/>
                <w:color w:val="auto"/>
              </w:rPr>
            </w:pPr>
            <w:r>
              <w:rPr>
                <w:rFonts w:ascii="Courier New" w:cs="Courier New" w:eastAsia="Courier New" w:hAnsi="Courier New"/>
                <w:sz w:val="15"/>
                <w:szCs w:val="15"/>
                <w:color w:val="auto"/>
              </w:rPr>
              <w:t>Financial statements of 20% - 50% owned companies accounted for under the equity</w:t>
            </w:r>
          </w:p>
        </w:tc>
        <w:tc>
          <w:tcPr>
            <w:tcW w:w="1780" w:type="dxa"/>
            <w:vAlign w:val="bottom"/>
          </w:tcPr>
          <w:p>
            <w:pPr>
              <w:spacing w:after="0"/>
              <w:rPr>
                <w:sz w:val="24"/>
                <w:szCs w:val="24"/>
                <w:color w:val="auto"/>
              </w:rPr>
            </w:pPr>
          </w:p>
        </w:tc>
      </w:tr>
      <w:tr>
        <w:trPr>
          <w:trHeight w:val="168"/>
        </w:trPr>
        <w:tc>
          <w:tcPr>
            <w:tcW w:w="7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method and unconsolidated subsidiaries have been omitted because they do not</w:t>
            </w:r>
          </w:p>
        </w:tc>
        <w:tc>
          <w:tcPr>
            <w:tcW w:w="1780" w:type="dxa"/>
            <w:vAlign w:val="bottom"/>
          </w:tcPr>
          <w:p>
            <w:pPr>
              <w:spacing w:after="0"/>
              <w:rPr>
                <w:sz w:val="14"/>
                <w:szCs w:val="14"/>
                <w:color w:val="auto"/>
              </w:rPr>
            </w:pPr>
          </w:p>
        </w:tc>
      </w:tr>
      <w:tr>
        <w:trPr>
          <w:trHeight w:val="168"/>
        </w:trPr>
        <w:tc>
          <w:tcPr>
            <w:tcW w:w="7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meet the materiality tests for assets or income.</w:t>
            </w:r>
          </w:p>
        </w:tc>
        <w:tc>
          <w:tcPr>
            <w:tcW w:w="1780" w:type="dxa"/>
            <w:vAlign w:val="bottom"/>
          </w:tcPr>
          <w:p>
            <w:pPr>
              <w:spacing w:after="0"/>
              <w:rPr>
                <w:sz w:val="14"/>
                <w:szCs w:val="14"/>
                <w:color w:val="auto"/>
              </w:rPr>
            </w:pPr>
          </w:p>
        </w:tc>
      </w:tr>
      <w:tr>
        <w:trPr>
          <w:trHeight w:val="336"/>
        </w:trPr>
        <w:tc>
          <w:tcPr>
            <w:tcW w:w="9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Financial Statement Schedules not required</w:t>
            </w:r>
          </w:p>
        </w:tc>
        <w:tc>
          <w:tcPr>
            <w:tcW w:w="1780" w:type="dxa"/>
            <w:vAlign w:val="bottom"/>
          </w:tcPr>
          <w:p>
            <w:pPr>
              <w:spacing w:after="0"/>
              <w:rPr>
                <w:sz w:val="24"/>
                <w:szCs w:val="24"/>
                <w:color w:val="auto"/>
              </w:rPr>
            </w:pPr>
          </w:p>
        </w:tc>
      </w:tr>
      <w:tr>
        <w:trPr>
          <w:trHeight w:val="336"/>
        </w:trPr>
        <w:tc>
          <w:tcPr>
            <w:tcW w:w="9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The following Exhibits are filed or incorporated by reference</w:t>
            </w:r>
          </w:p>
        </w:tc>
        <w:tc>
          <w:tcPr>
            <w:tcW w:w="1780" w:type="dxa"/>
            <w:vAlign w:val="bottom"/>
          </w:tcPr>
          <w:p>
            <w:pPr>
              <w:spacing w:after="0"/>
              <w:rPr>
                <w:sz w:val="24"/>
                <w:szCs w:val="24"/>
                <w:color w:val="auto"/>
              </w:rPr>
            </w:pPr>
          </w:p>
        </w:tc>
      </w:tr>
      <w:tr>
        <w:trPr>
          <w:trHeight w:val="168"/>
        </w:trPr>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as indicated in the Index to Exhibits:</w:t>
            </w:r>
          </w:p>
        </w:tc>
        <w:tc>
          <w:tcPr>
            <w:tcW w:w="1780" w:type="dxa"/>
            <w:vAlign w:val="bottom"/>
          </w:tcPr>
          <w:p>
            <w:pPr>
              <w:spacing w:after="0"/>
              <w:rPr>
                <w:sz w:val="14"/>
                <w:szCs w:val="1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Deed of Incorporation</w:t>
            </w:r>
          </w:p>
        </w:tc>
        <w:tc>
          <w:tcPr>
            <w:tcW w:w="1780" w:type="dxa"/>
            <w:vAlign w:val="bottom"/>
          </w:tcPr>
          <w:p>
            <w:pPr>
              <w:ind w:left="560"/>
              <w:spacing w:after="0"/>
              <w:rPr>
                <w:sz w:val="20"/>
                <w:szCs w:val="20"/>
                <w:color w:val="auto"/>
              </w:rPr>
            </w:pPr>
            <w:r>
              <w:rPr>
                <w:rFonts w:ascii="Courier New" w:cs="Courier New" w:eastAsia="Courier New" w:hAnsi="Courier New"/>
                <w:sz w:val="15"/>
                <w:szCs w:val="15"/>
                <w:color w:val="auto"/>
              </w:rPr>
              <w:t>Exhibit 3(a)</w:t>
            </w:r>
          </w:p>
        </w:tc>
      </w:tr>
      <w:tr>
        <w:trPr>
          <w:trHeight w:val="168"/>
        </w:trPr>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as last amended on May 4, 2001</w:t>
            </w:r>
          </w:p>
        </w:tc>
        <w:tc>
          <w:tcPr>
            <w:tcW w:w="1780" w:type="dxa"/>
            <w:vAlign w:val="bottom"/>
          </w:tcPr>
          <w:p>
            <w:pPr>
              <w:spacing w:after="0"/>
              <w:rPr>
                <w:sz w:val="14"/>
                <w:szCs w:val="1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By-Laws as last amended on April 19, 2001</w:t>
            </w:r>
          </w:p>
        </w:tc>
        <w:tc>
          <w:tcPr>
            <w:tcW w:w="1780" w:type="dxa"/>
            <w:vAlign w:val="bottom"/>
          </w:tcPr>
          <w:p>
            <w:pPr>
              <w:ind w:left="560"/>
              <w:spacing w:after="0"/>
              <w:rPr>
                <w:sz w:val="20"/>
                <w:szCs w:val="20"/>
                <w:color w:val="auto"/>
              </w:rPr>
            </w:pPr>
            <w:r>
              <w:rPr>
                <w:rFonts w:ascii="Courier New" w:cs="Courier New" w:eastAsia="Courier New" w:hAnsi="Courier New"/>
                <w:sz w:val="15"/>
                <w:szCs w:val="15"/>
                <w:color w:val="auto"/>
              </w:rPr>
              <w:t>Exhibit 3(b)</w:t>
            </w:r>
          </w:p>
        </w:tc>
      </w:tr>
      <w:tr>
        <w:trPr>
          <w:trHeight w:val="336"/>
        </w:trPr>
        <w:tc>
          <w:tcPr>
            <w:tcW w:w="77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The Company is party to a number of [other] long-term debt agreements that,</w:t>
            </w:r>
          </w:p>
        </w:tc>
        <w:tc>
          <w:tcPr>
            <w:tcW w:w="1780" w:type="dxa"/>
            <w:vAlign w:val="bottom"/>
          </w:tcPr>
          <w:p>
            <w:pPr>
              <w:spacing w:after="0"/>
              <w:rPr>
                <w:sz w:val="24"/>
                <w:szCs w:val="24"/>
                <w:color w:val="auto"/>
              </w:rPr>
            </w:pPr>
          </w:p>
        </w:tc>
      </w:tr>
      <w:tr>
        <w:trPr>
          <w:trHeight w:val="168"/>
        </w:trPr>
        <w:tc>
          <w:tcPr>
            <w:tcW w:w="77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pursuant to Regulation S-K, Item 601(b)(4)(iii), are not filed as exhibits.</w:t>
            </w:r>
          </w:p>
        </w:tc>
        <w:tc>
          <w:tcPr>
            <w:tcW w:w="1780" w:type="dxa"/>
            <w:vAlign w:val="bottom"/>
          </w:tcPr>
          <w:p>
            <w:pPr>
              <w:spacing w:after="0"/>
              <w:rPr>
                <w:sz w:val="14"/>
                <w:szCs w:val="14"/>
                <w:color w:val="auto"/>
              </w:rPr>
            </w:pPr>
          </w:p>
        </w:tc>
      </w:tr>
      <w:tr>
        <w:trPr>
          <w:trHeight w:val="168"/>
        </w:trPr>
        <w:tc>
          <w:tcPr>
            <w:tcW w:w="77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The Company agrees to furnish copies of these agreements to the Commission</w:t>
            </w:r>
          </w:p>
        </w:tc>
        <w:tc>
          <w:tcPr>
            <w:tcW w:w="1780" w:type="dxa"/>
            <w:vAlign w:val="bottom"/>
          </w:tcPr>
          <w:p>
            <w:pPr>
              <w:spacing w:after="0"/>
              <w:rPr>
                <w:sz w:val="14"/>
                <w:szCs w:val="14"/>
                <w:color w:val="auto"/>
              </w:rPr>
            </w:pPr>
          </w:p>
        </w:tc>
      </w:tr>
      <w:tr>
        <w:trPr>
          <w:trHeight w:val="168"/>
        </w:trPr>
        <w:tc>
          <w:tcPr>
            <w:tcW w:w="77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upon its request.</w:t>
            </w:r>
          </w:p>
        </w:tc>
        <w:tc>
          <w:tcPr>
            <w:tcW w:w="1780" w:type="dxa"/>
            <w:vAlign w:val="bottom"/>
          </w:tcPr>
          <w:p>
            <w:pPr>
              <w:spacing w:after="0"/>
              <w:rPr>
                <w:sz w:val="14"/>
                <w:szCs w:val="1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Schlumberger 1994 Stock Option Plan*</w:t>
            </w:r>
          </w:p>
        </w:tc>
        <w:tc>
          <w:tcPr>
            <w:tcW w:w="178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6"/>
              </w:rPr>
              <w:t>Exhibit 10 (a)</w:t>
            </w:r>
          </w:p>
        </w:tc>
      </w:tr>
      <w:tr>
        <w:trPr>
          <w:trHeight w:val="168"/>
        </w:trPr>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as amended on January 5, 1995</w:t>
            </w:r>
          </w:p>
        </w:tc>
        <w:tc>
          <w:tcPr>
            <w:tcW w:w="1780" w:type="dxa"/>
            <w:vAlign w:val="bottom"/>
          </w:tcPr>
          <w:p>
            <w:pPr>
              <w:spacing w:after="0"/>
              <w:rPr>
                <w:sz w:val="14"/>
                <w:szCs w:val="1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Schlumberger 1994 Stock Option Plan*</w:t>
            </w:r>
          </w:p>
        </w:tc>
        <w:tc>
          <w:tcPr>
            <w:tcW w:w="1780" w:type="dxa"/>
            <w:vAlign w:val="bottom"/>
          </w:tcPr>
          <w:p>
            <w:pPr>
              <w:ind w:left="560"/>
              <w:spacing w:after="0"/>
              <w:rPr>
                <w:sz w:val="20"/>
                <w:szCs w:val="20"/>
                <w:color w:val="auto"/>
              </w:rPr>
            </w:pPr>
            <w:r>
              <w:rPr>
                <w:rFonts w:ascii="Courier New" w:cs="Courier New" w:eastAsia="Courier New" w:hAnsi="Courier New"/>
                <w:sz w:val="15"/>
                <w:szCs w:val="15"/>
                <w:color w:val="auto"/>
              </w:rPr>
              <w:t>Exhibit 10(b)</w:t>
            </w:r>
          </w:p>
        </w:tc>
      </w:tr>
      <w:tr>
        <w:trPr>
          <w:trHeight w:val="168"/>
        </w:trPr>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Second Amendment</w:t>
            </w:r>
          </w:p>
        </w:tc>
        <w:tc>
          <w:tcPr>
            <w:tcW w:w="1780" w:type="dxa"/>
            <w:vAlign w:val="bottom"/>
          </w:tcPr>
          <w:p>
            <w:pPr>
              <w:spacing w:after="0"/>
              <w:rPr>
                <w:sz w:val="14"/>
                <w:szCs w:val="1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Schlumberger 1994 Stock Option Plan*</w:t>
            </w:r>
          </w:p>
        </w:tc>
        <w:tc>
          <w:tcPr>
            <w:tcW w:w="1780" w:type="dxa"/>
            <w:vAlign w:val="bottom"/>
          </w:tcPr>
          <w:p>
            <w:pPr>
              <w:ind w:left="560"/>
              <w:spacing w:after="0"/>
              <w:rPr>
                <w:sz w:val="20"/>
                <w:szCs w:val="20"/>
                <w:color w:val="auto"/>
              </w:rPr>
            </w:pPr>
            <w:r>
              <w:rPr>
                <w:rFonts w:ascii="Courier New" w:cs="Courier New" w:eastAsia="Courier New" w:hAnsi="Courier New"/>
                <w:sz w:val="15"/>
                <w:szCs w:val="15"/>
                <w:color w:val="auto"/>
              </w:rPr>
              <w:t>Exhibit 10(c)</w:t>
            </w:r>
          </w:p>
        </w:tc>
      </w:tr>
      <w:tr>
        <w:trPr>
          <w:trHeight w:val="168"/>
        </w:trPr>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Third Amendment</w:t>
            </w:r>
          </w:p>
        </w:tc>
        <w:tc>
          <w:tcPr>
            <w:tcW w:w="1780" w:type="dxa"/>
            <w:vAlign w:val="bottom"/>
          </w:tcPr>
          <w:p>
            <w:pPr>
              <w:spacing w:after="0"/>
              <w:rPr>
                <w:sz w:val="14"/>
                <w:szCs w:val="14"/>
                <w:color w:val="auto"/>
              </w:rPr>
            </w:pPr>
          </w:p>
        </w:tc>
      </w:tr>
      <w:tr>
        <w:trPr>
          <w:trHeight w:val="33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Courier New" w:cs="Courier New" w:eastAsia="Courier New" w:hAnsi="Courier New"/>
                <w:sz w:val="15"/>
                <w:szCs w:val="15"/>
                <w:color w:val="auto"/>
              </w:rPr>
              <w:t>Schlumberger Limited Supplementary Benefit Plan*</w:t>
            </w:r>
          </w:p>
        </w:tc>
        <w:tc>
          <w:tcPr>
            <w:tcW w:w="1780" w:type="dxa"/>
            <w:vAlign w:val="bottom"/>
          </w:tcPr>
          <w:p>
            <w:pPr>
              <w:ind w:left="560"/>
              <w:spacing w:after="0"/>
              <w:rPr>
                <w:sz w:val="20"/>
                <w:szCs w:val="20"/>
                <w:color w:val="auto"/>
              </w:rPr>
            </w:pPr>
            <w:r>
              <w:rPr>
                <w:rFonts w:ascii="Courier New" w:cs="Courier New" w:eastAsia="Courier New" w:hAnsi="Courier New"/>
                <w:sz w:val="15"/>
                <w:szCs w:val="15"/>
                <w:color w:val="auto"/>
              </w:rPr>
              <w:t>Exhibit 10(d)</w:t>
            </w:r>
          </w:p>
        </w:tc>
      </w:tr>
      <w:tr>
        <w:trPr>
          <w:trHeight w:val="168"/>
        </w:trPr>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as amended on January 1, 1995</w:t>
            </w:r>
          </w:p>
        </w:tc>
        <w:tc>
          <w:tcPr>
            <w:tcW w:w="178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w:t>
      </w:r>
    </w:p>
    <w:p>
      <w:pPr>
        <w:spacing w:after="0" w:line="173" w:lineRule="exact"/>
        <w:rPr>
          <w:sz w:val="20"/>
          <w:szCs w:val="20"/>
          <w:color w:val="auto"/>
        </w:rPr>
      </w:pPr>
    </w:p>
    <w:p>
      <w:pPr>
        <w:ind w:left="3420" w:right="5419" w:hanging="3410"/>
        <w:spacing w:after="0" w:line="703" w:lineRule="auto"/>
        <w:tabs>
          <w:tab w:leader="none" w:pos="18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Compensatory plan required to be filed as an exhibit. 59</w:t>
      </w:r>
    </w:p>
    <w:p>
      <w:pPr>
        <w:sectPr>
          <w:pgSz w:w="11900" w:h="16838" w:orient="portrait"/>
          <w:cols w:equalWidth="0" w:num="1">
            <w:col w:w="10239"/>
          </w:cols>
          <w:pgMar w:left="220" w:top="954" w:right="1440" w:bottom="1440" w:gutter="0" w:footer="0" w:header="0"/>
        </w:sectPr>
      </w:pPr>
    </w:p>
    <w:bookmarkStart w:id="60" w:name="page61"/>
    <w:bookmarkEnd w:id="60"/>
    <w:tbl>
      <w:tblPr>
        <w:tblLayout w:type="fixed"/>
        <w:tblInd w:w="184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rPr>
              <w:t>1989 Stock Incentive Plan*</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Exhibit 10(e)</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as amended</w:t>
            </w:r>
          </w:p>
        </w:tc>
        <w:tc>
          <w:tcPr>
            <w:tcW w:w="44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rPr>
              <w:t>1989 Stock Incentive Plan*</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Exhibit 10(f)</w:t>
            </w: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Third Amendment</w:t>
            </w:r>
          </w:p>
        </w:tc>
        <w:tc>
          <w:tcPr>
            <w:tcW w:w="2140" w:type="dxa"/>
            <w:vAlign w:val="bottom"/>
          </w:tcPr>
          <w:p>
            <w:pPr>
              <w:spacing w:after="0"/>
              <w:rPr>
                <w:sz w:val="14"/>
                <w:szCs w:val="14"/>
                <w:color w:val="auto"/>
              </w:rPr>
            </w:pPr>
          </w:p>
        </w:tc>
      </w:tr>
      <w:tr>
        <w:trPr>
          <w:trHeight w:val="336"/>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Restoration Savings Plan*</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Exhibit 10(g)</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rPr>
              <w:t>1998 Stock Option Plan*</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Exhibit 10(h)</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rPr>
              <w:t>1998 Stock Option Plan*</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Exhibit 10(i)</w:t>
            </w: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First Amendment</w:t>
            </w:r>
          </w:p>
        </w:tc>
        <w:tc>
          <w:tcPr>
            <w:tcW w:w="2140" w:type="dxa"/>
            <w:vAlign w:val="bottom"/>
          </w:tcPr>
          <w:p>
            <w:pPr>
              <w:spacing w:after="0"/>
              <w:rPr>
                <w:sz w:val="14"/>
                <w:szCs w:val="14"/>
                <w:color w:val="auto"/>
              </w:rPr>
            </w:pPr>
          </w:p>
        </w:tc>
      </w:tr>
      <w:tr>
        <w:trPr>
          <w:trHeight w:val="336"/>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1997 Long-Term Incentive Plan of Camco International</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Exhibit 10(j)</w:t>
            </w: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 Long-Term Incentive Plan of Camco International</w:t>
            </w:r>
          </w:p>
        </w:tc>
        <w:tc>
          <w:tcPr>
            <w:tcW w:w="2140" w:type="dxa"/>
            <w:vAlign w:val="bottom"/>
          </w:tcPr>
          <w:p>
            <w:pPr>
              <w:spacing w:after="0"/>
              <w:rPr>
                <w:sz w:val="14"/>
                <w:szCs w:val="1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 Production Operators Corp. 1992 Long-Term</w:t>
            </w:r>
          </w:p>
        </w:tc>
        <w:tc>
          <w:tcPr>
            <w:tcW w:w="2140" w:type="dxa"/>
            <w:vAlign w:val="bottom"/>
          </w:tcPr>
          <w:p>
            <w:pPr>
              <w:spacing w:after="0"/>
              <w:rPr>
                <w:sz w:val="14"/>
                <w:szCs w:val="1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Incentive Plan; Camco</w:t>
            </w:r>
          </w:p>
        </w:tc>
        <w:tc>
          <w:tcPr>
            <w:tcW w:w="2140" w:type="dxa"/>
            <w:vAlign w:val="bottom"/>
          </w:tcPr>
          <w:p>
            <w:pPr>
              <w:spacing w:after="0"/>
              <w:rPr>
                <w:sz w:val="14"/>
                <w:szCs w:val="1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1996 Savings Related Share Option Scheme; Camco</w:t>
            </w:r>
          </w:p>
        </w:tc>
        <w:tc>
          <w:tcPr>
            <w:tcW w:w="2140" w:type="dxa"/>
            <w:vAlign w:val="bottom"/>
          </w:tcPr>
          <w:p>
            <w:pPr>
              <w:spacing w:after="0"/>
              <w:rPr>
                <w:sz w:val="14"/>
                <w:szCs w:val="1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International Inc. Amended and Restated Stock Option</w:t>
            </w:r>
          </w:p>
        </w:tc>
        <w:tc>
          <w:tcPr>
            <w:tcW w:w="2140" w:type="dxa"/>
            <w:vAlign w:val="bottom"/>
          </w:tcPr>
          <w:p>
            <w:pPr>
              <w:spacing w:after="0"/>
              <w:rPr>
                <w:sz w:val="14"/>
                <w:szCs w:val="1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Plan for Nonemployee Directors</w:t>
            </w:r>
          </w:p>
        </w:tc>
        <w:tc>
          <w:tcPr>
            <w:tcW w:w="2140" w:type="dxa"/>
            <w:vAlign w:val="bottom"/>
          </w:tcPr>
          <w:p>
            <w:pPr>
              <w:spacing w:after="0"/>
              <w:rPr>
                <w:sz w:val="14"/>
                <w:szCs w:val="14"/>
                <w:color w:val="auto"/>
              </w:rPr>
            </w:pPr>
          </w:p>
        </w:tc>
      </w:tr>
      <w:tr>
        <w:trPr>
          <w:trHeight w:val="336"/>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2001 Stock Option Plan*</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w w:val="95"/>
              </w:rPr>
              <w:t>Exhibit 10 (k)</w:t>
            </w:r>
          </w:p>
        </w:tc>
      </w:tr>
      <w:tr>
        <w:trPr>
          <w:trHeight w:val="336"/>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Stock and Deferral Plan for</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w w:val="95"/>
              </w:rPr>
              <w:t>Exhibit 10 (l)</w:t>
            </w: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Non-Employee Directors*</w:t>
            </w:r>
          </w:p>
        </w:tc>
        <w:tc>
          <w:tcPr>
            <w:tcW w:w="214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Subsidiaries</w:t>
            </w:r>
          </w:p>
        </w:tc>
        <w:tc>
          <w:tcPr>
            <w:tcW w:w="4460" w:type="dxa"/>
            <w:vAlign w:val="bottom"/>
          </w:tcPr>
          <w:p>
            <w:pPr>
              <w:spacing w:after="0"/>
              <w:rPr>
                <w:sz w:val="24"/>
                <w:szCs w:val="24"/>
                <w:color w:val="auto"/>
              </w:rPr>
            </w:pP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Exhibit 21</w:t>
            </w:r>
          </w:p>
        </w:tc>
      </w:tr>
      <w:tr>
        <w:trPr>
          <w:trHeight w:val="336"/>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Consent of Independent Accountants</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Exhibit 23</w:t>
            </w: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Powers of Attorney</w:t>
            </w:r>
          </w:p>
        </w:tc>
        <w:tc>
          <w:tcPr>
            <w:tcW w:w="2140" w:type="dxa"/>
            <w:vAlign w:val="bottom"/>
          </w:tcPr>
          <w:p>
            <w:pPr>
              <w:spacing w:after="0"/>
              <w:rPr>
                <w:sz w:val="14"/>
                <w:szCs w:val="14"/>
                <w:color w:val="auto"/>
              </w:rPr>
            </w:pPr>
          </w:p>
        </w:tc>
      </w:tr>
      <w:tr>
        <w:trPr>
          <w:trHeight w:val="168"/>
        </w:trPr>
        <w:tc>
          <w:tcPr>
            <w:tcW w:w="55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 Don E. Ackerman - dated 1/17/02</w:t>
            </w:r>
          </w:p>
        </w:tc>
        <w:tc>
          <w:tcPr>
            <w:tcW w:w="214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Exhibit 24</w:t>
            </w:r>
          </w:p>
        </w:tc>
      </w:tr>
    </w:tbl>
    <w:p>
      <w:pPr>
        <w:ind w:left="2460" w:hanging="351"/>
        <w:spacing w:after="0" w:line="237" w:lineRule="auto"/>
        <w:tabs>
          <w:tab w:leader="none" w:pos="2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 Euan Baird - dated 1/17/02</w:t>
      </w:r>
    </w:p>
    <w:p>
      <w:pPr>
        <w:ind w:left="2460" w:hanging="351"/>
        <w:spacing w:after="0" w:line="237" w:lineRule="auto"/>
        <w:tabs>
          <w:tab w:leader="none" w:pos="2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Deutch - dated 1/17/02</w:t>
      </w:r>
    </w:p>
    <w:p>
      <w:pPr>
        <w:ind w:left="2460" w:hanging="351"/>
        <w:spacing w:after="0" w:line="237" w:lineRule="auto"/>
        <w:tabs>
          <w:tab w:leader="none" w:pos="2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Victor E. Grijalva - dated 1/17/02</w:t>
      </w:r>
    </w:p>
    <w:p>
      <w:pPr>
        <w:ind w:left="2460" w:hanging="351"/>
        <w:spacing w:after="0" w:line="237" w:lineRule="auto"/>
        <w:tabs>
          <w:tab w:leader="none" w:pos="2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Mayo - dated 2/15/02</w:t>
      </w:r>
    </w:p>
    <w:p>
      <w:pPr>
        <w:ind w:left="2460" w:hanging="351"/>
        <w:spacing w:after="0" w:line="237" w:lineRule="auto"/>
        <w:tabs>
          <w:tab w:leader="none" w:pos="2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Andre Levy-Lang - dated 1/17/02</w:t>
      </w:r>
    </w:p>
    <w:p>
      <w:pPr>
        <w:ind w:left="2460" w:hanging="351"/>
        <w:spacing w:after="0" w:line="237" w:lineRule="auto"/>
        <w:tabs>
          <w:tab w:leader="none" w:pos="2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T. McCormick, Jr. - dated 1/17/02</w:t>
      </w:r>
    </w:p>
    <w:p>
      <w:pPr>
        <w:ind w:left="2460" w:hanging="351"/>
        <w:spacing w:after="0" w:line="237" w:lineRule="auto"/>
        <w:tabs>
          <w:tab w:leader="none" w:pos="2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Didier Primat - dated 1/17/02</w:t>
      </w:r>
    </w:p>
    <w:p>
      <w:pPr>
        <w:ind w:left="2460" w:hanging="351"/>
        <w:spacing w:after="0" w:line="237" w:lineRule="auto"/>
        <w:tabs>
          <w:tab w:leader="none" w:pos="2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Nicolas Seydoux - dated 1/17/02</w:t>
      </w:r>
    </w:p>
    <w:p>
      <w:pPr>
        <w:ind w:left="2460" w:hanging="351"/>
        <w:spacing w:after="0" w:line="237" w:lineRule="auto"/>
        <w:tabs>
          <w:tab w:leader="none" w:pos="2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Linda G. Stuntz - dated 1/17/02</w:t>
      </w:r>
    </w:p>
    <w:p>
      <w:pPr>
        <w:ind w:left="2460" w:hanging="351"/>
        <w:spacing w:after="0" w:line="237" w:lineRule="auto"/>
        <w:tabs>
          <w:tab w:leader="none" w:pos="2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Sven Ullring - dated 1/17/02</w:t>
      </w:r>
    </w:p>
    <w:p>
      <w:pPr>
        <w:ind w:left="2100"/>
        <w:spacing w:after="0" w:line="238" w:lineRule="auto"/>
        <w:rPr>
          <w:sz w:val="20"/>
          <w:szCs w:val="20"/>
          <w:color w:val="auto"/>
        </w:rPr>
      </w:pPr>
      <w:r>
        <w:rPr>
          <w:rFonts w:ascii="Courier New" w:cs="Courier New" w:eastAsia="Courier New" w:hAnsi="Courier New"/>
          <w:sz w:val="15"/>
          <w:szCs w:val="15"/>
          <w:color w:val="auto"/>
        </w:rPr>
        <w:t>(1) Yoshihiko Wakumuto - dated 1/17/02</w:t>
      </w:r>
    </w:p>
    <w:p>
      <w:pPr>
        <w:spacing w:after="0" w:line="167" w:lineRule="exact"/>
        <w:rPr>
          <w:sz w:val="20"/>
          <w:szCs w:val="20"/>
          <w:color w:val="auto"/>
        </w:rPr>
      </w:pPr>
    </w:p>
    <w:p>
      <w:pPr>
        <w:ind w:left="1840"/>
        <w:spacing w:after="0"/>
        <w:tabs>
          <w:tab w:leader="none" w:pos="8300" w:val="left"/>
        </w:tabs>
        <w:rPr>
          <w:sz w:val="20"/>
          <w:szCs w:val="20"/>
          <w:color w:val="auto"/>
        </w:rPr>
      </w:pPr>
      <w:r>
        <w:rPr>
          <w:rFonts w:ascii="Courier New" w:cs="Courier New" w:eastAsia="Courier New" w:hAnsi="Courier New"/>
          <w:sz w:val="15"/>
          <w:szCs w:val="15"/>
          <w:color w:val="auto"/>
        </w:rPr>
        <w:t>Additional Exhibit: Form S-8 Undertakings</w:t>
      </w:r>
      <w:r>
        <w:rPr>
          <w:sz w:val="20"/>
          <w:szCs w:val="20"/>
          <w:color w:val="auto"/>
        </w:rPr>
        <w:tab/>
      </w:r>
      <w:r>
        <w:rPr>
          <w:rFonts w:ascii="Courier New" w:cs="Courier New" w:eastAsia="Courier New" w:hAnsi="Courier New"/>
          <w:sz w:val="14"/>
          <w:szCs w:val="14"/>
          <w:color w:val="auto"/>
        </w:rPr>
        <w:t>Exhibit 99</w:t>
      </w:r>
    </w:p>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 reports on Form 8-K were filed during the last quarter of the period covered by this 10-K report.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w:t>
      </w:r>
    </w:p>
    <w:p>
      <w:pPr>
        <w:spacing w:after="0" w:line="5" w:lineRule="exact"/>
        <w:rPr>
          <w:sz w:val="20"/>
          <w:szCs w:val="20"/>
          <w:color w:val="auto"/>
        </w:rPr>
      </w:pPr>
    </w:p>
    <w:p>
      <w:pPr>
        <w:ind w:left="3420" w:right="5419" w:hanging="3410"/>
        <w:spacing w:after="0" w:line="703" w:lineRule="auto"/>
        <w:tabs>
          <w:tab w:leader="none" w:pos="18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Compensatory plan required to be filed as an exhibit. 60</w:t>
      </w:r>
    </w:p>
    <w:p>
      <w:pPr>
        <w:sectPr>
          <w:pgSz w:w="11900" w:h="16838" w:orient="portrait"/>
          <w:cols w:equalWidth="0" w:num="1">
            <w:col w:w="10239"/>
          </w:cols>
          <w:pgMar w:left="220" w:top="953" w:right="1440" w:bottom="1440" w:gutter="0" w:footer="0" w:header="0"/>
        </w:sectPr>
      </w:pPr>
    </w:p>
    <w:bookmarkStart w:id="61" w:name="page62"/>
    <w:bookmarkEnd w:id="61"/>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SCHLUMBERGER LIMITED</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28, 2002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Jack Liu</w:t>
      </w:r>
    </w:p>
    <w:p>
      <w:pPr>
        <w:spacing w:after="0" w:line="3" w:lineRule="exact"/>
        <w:rPr>
          <w:sz w:val="20"/>
          <w:szCs w:val="20"/>
          <w:color w:val="auto"/>
        </w:rPr>
      </w:pPr>
    </w:p>
    <w:p>
      <w:pPr>
        <w:sectPr>
          <w:pgSz w:w="11900" w:h="16838" w:orient="portrait"/>
          <w:cols w:equalWidth="0" w:num="3">
            <w:col w:w="440" w:space="180"/>
            <w:col w:w="1640" w:space="720"/>
            <w:col w:w="7259"/>
          </w:cols>
          <w:pgMar w:left="220" w:top="617"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5"/>
          <w:szCs w:val="15"/>
          <w:color w:val="auto"/>
        </w:rPr>
        <w:t>----------------------------------------</w:t>
      </w:r>
    </w:p>
    <w:p>
      <w:pPr>
        <w:ind w:left="3780"/>
        <w:spacing w:after="0" w:line="237" w:lineRule="auto"/>
        <w:rPr>
          <w:sz w:val="20"/>
          <w:szCs w:val="20"/>
          <w:color w:val="auto"/>
        </w:rPr>
      </w:pPr>
      <w:r>
        <w:rPr>
          <w:rFonts w:ascii="Courier New" w:cs="Courier New" w:eastAsia="Courier New" w:hAnsi="Courier New"/>
          <w:sz w:val="15"/>
          <w:szCs w:val="15"/>
          <w:color w:val="auto"/>
        </w:rPr>
        <w:t>Jack Liu</w:t>
      </w:r>
    </w:p>
    <w:p>
      <w:pPr>
        <w:ind w:left="2980"/>
        <w:spacing w:after="0" w:line="238" w:lineRule="auto"/>
        <w:rPr>
          <w:sz w:val="20"/>
          <w:szCs w:val="20"/>
          <w:color w:val="auto"/>
        </w:rPr>
      </w:pPr>
      <w:r>
        <w:rPr>
          <w:rFonts w:ascii="Courier New" w:cs="Courier New" w:eastAsia="Courier New" w:hAnsi="Courier New"/>
          <w:sz w:val="15"/>
          <w:szCs w:val="15"/>
          <w:color w:val="auto"/>
        </w:rPr>
        <w:t>Executive Vice President and</w:t>
      </w:r>
    </w:p>
    <w:p>
      <w:pPr>
        <w:ind w:left="3240"/>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39"/>
          </w:cols>
          <w:pgMar w:left="220" w:top="617"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060" w:space="720"/>
            <w:col w:w="4459"/>
          </w:cols>
          <w:pgMar w:left="220" w:top="617" w:right="1440" w:bottom="1440" w:gutter="0" w:footer="0" w:header="0"/>
          <w:type w:val="continuous"/>
        </w:sectPr>
      </w:pPr>
    </w:p>
    <w:p>
      <w:pPr>
        <w:spacing w:after="0" w:line="14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Chairman, President and Chief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w:t>
      </w:r>
    </w:p>
    <w:p>
      <w:pPr>
        <w:spacing w:after="0" w:line="5" w:lineRule="exact"/>
        <w:rPr>
          <w:sz w:val="20"/>
          <w:szCs w:val="20"/>
          <w:color w:val="auto"/>
        </w:rPr>
      </w:pPr>
    </w:p>
    <w:p>
      <w:pPr>
        <w:sectPr>
          <w:pgSz w:w="11900" w:h="16838" w:orient="portrait"/>
          <w:cols w:equalWidth="0" w:num="2">
            <w:col w:w="4880" w:space="720"/>
            <w:col w:w="46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 Euan Baird</w:t>
      </w:r>
    </w:p>
    <w:p>
      <w:pPr>
        <w:sectPr>
          <w:pgSz w:w="11900" w:h="16838" w:orient="portrait"/>
          <w:cols w:equalWidth="0" w:num="1">
            <w:col w:w="10239"/>
          </w:cols>
          <w:pgMar w:left="220" w:top="617" w:right="1440" w:bottom="1440" w:gutter="0" w:footer="0" w:header="0"/>
          <w:type w:val="continuous"/>
        </w:sectPr>
      </w:pP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Victor E. Grijalva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Vice Chairman</w:t>
      </w:r>
    </w:p>
    <w:p>
      <w:pPr>
        <w:spacing w:after="0" w:line="541" w:lineRule="exact"/>
        <w:rPr>
          <w:sz w:val="20"/>
          <w:szCs w:val="20"/>
          <w:color w:val="auto"/>
        </w:rPr>
      </w:pPr>
    </w:p>
    <w:p>
      <w:pPr>
        <w:sectPr>
          <w:pgSz w:w="11900" w:h="16838" w:orient="portrait"/>
          <w:cols w:equalWidth="0" w:num="2">
            <w:col w:w="4880" w:space="720"/>
            <w:col w:w="4639"/>
          </w:cols>
          <w:pgMar w:left="220" w:top="617" w:right="1440" w:bottom="1440" w:gutter="0" w:footer="0" w:header="0"/>
          <w:type w:val="continuous"/>
        </w:sectPr>
      </w:pPr>
    </w:p>
    <w:p>
      <w:pPr>
        <w:spacing w:after="0" w:line="135" w:lineRule="exact"/>
        <w:rPr>
          <w:sz w:val="20"/>
          <w:szCs w:val="20"/>
          <w:color w:val="auto"/>
        </w:rPr>
      </w:pPr>
    </w:p>
    <w:p>
      <w:pPr>
        <w:jc w:val="right"/>
        <w:ind w:right="79"/>
        <w:spacing w:after="0"/>
        <w:tabs>
          <w:tab w:leader="none" w:pos="4540" w:val="left"/>
        </w:tabs>
        <w:rPr>
          <w:sz w:val="20"/>
          <w:szCs w:val="20"/>
          <w:color w:val="auto"/>
        </w:rPr>
      </w:pPr>
      <w:r>
        <w:rPr>
          <w:rFonts w:ascii="Courier New" w:cs="Courier New" w:eastAsia="Courier New" w:hAnsi="Courier New"/>
          <w:sz w:val="15"/>
          <w:szCs w:val="15"/>
          <w:color w:val="auto"/>
        </w:rPr>
        <w:t>/s/ Jack Liu</w:t>
      </w:r>
      <w:r>
        <w:rPr>
          <w:sz w:val="20"/>
          <w:szCs w:val="20"/>
          <w:color w:val="auto"/>
        </w:rPr>
        <w:tab/>
      </w:r>
      <w:r>
        <w:rPr>
          <w:rFonts w:ascii="Courier New" w:cs="Courier New" w:eastAsia="Courier New" w:hAnsi="Courier New"/>
          <w:sz w:val="14"/>
          <w:szCs w:val="14"/>
          <w:color w:val="auto"/>
        </w:rPr>
        <w:t>Executive Vice President and Chief Financial Officer</w:t>
      </w:r>
    </w:p>
    <w:p>
      <w:pPr>
        <w:ind w:left="180" w:hanging="170"/>
        <w:spacing w:after="0" w:line="237" w:lineRule="auto"/>
        <w:tabs>
          <w:tab w:leader="none" w:pos="1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Jack Liu</w:t>
      </w:r>
    </w:p>
    <w:p>
      <w:pPr>
        <w:spacing w:after="0" w:line="335" w:lineRule="exact"/>
        <w:rPr>
          <w:sz w:val="20"/>
          <w:szCs w:val="20"/>
          <w:color w:val="auto"/>
        </w:rPr>
      </w:pPr>
    </w:p>
    <w:p>
      <w:pPr>
        <w:ind w:left="980"/>
        <w:spacing w:after="0"/>
        <w:tabs>
          <w:tab w:leader="none" w:pos="5580" w:val="left"/>
        </w:tabs>
        <w:rPr>
          <w:sz w:val="20"/>
          <w:szCs w:val="20"/>
          <w:color w:val="auto"/>
        </w:rPr>
      </w:pPr>
      <w:r>
        <w:rPr>
          <w:rFonts w:ascii="Courier New" w:cs="Courier New" w:eastAsia="Courier New" w:hAnsi="Courier New"/>
          <w:sz w:val="15"/>
          <w:szCs w:val="15"/>
          <w:color w:val="auto"/>
        </w:rPr>
        <w:t>/s/ Jean-Marc Perraud</w:t>
      </w:r>
      <w:r>
        <w:rPr>
          <w:sz w:val="20"/>
          <w:szCs w:val="20"/>
          <w:color w:val="auto"/>
        </w:rPr>
        <w:tab/>
      </w:r>
      <w:r>
        <w:rPr>
          <w:rFonts w:ascii="Courier New" w:cs="Courier New" w:eastAsia="Courier New" w:hAnsi="Courier New"/>
          <w:sz w:val="14"/>
          <w:szCs w:val="14"/>
          <w:color w:val="auto"/>
        </w:rPr>
        <w:t>Controller and Chief Accounting Officer</w:t>
      </w:r>
    </w:p>
    <w:p>
      <w:pPr>
        <w:ind w:left="180" w:hanging="170"/>
        <w:spacing w:after="0" w:line="237" w:lineRule="auto"/>
        <w:tabs>
          <w:tab w:leader="none" w:pos="1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Jean-Marc Perraud</w:t>
      </w:r>
    </w:p>
    <w:p>
      <w:pPr>
        <w:spacing w:after="0" w:line="167" w:lineRule="exact"/>
        <w:rPr>
          <w:sz w:val="20"/>
          <w:szCs w:val="20"/>
          <w:color w:val="auto"/>
        </w:rPr>
      </w:pPr>
    </w:p>
    <w:p>
      <w:pPr>
        <w:ind w:left="1840"/>
        <w:spacing w:after="0"/>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Don E. Ackerman</w:t>
      </w:r>
    </w:p>
    <w:p>
      <w:pPr>
        <w:spacing w:after="0" w:line="167" w:lineRule="exact"/>
        <w:rPr>
          <w:sz w:val="20"/>
          <w:szCs w:val="20"/>
          <w:color w:val="auto"/>
        </w:rPr>
      </w:pPr>
    </w:p>
    <w:p>
      <w:pPr>
        <w:ind w:left="1840"/>
        <w:spacing w:after="0"/>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Deutch</w:t>
      </w:r>
    </w:p>
    <w:p>
      <w:pPr>
        <w:spacing w:after="0" w:line="167" w:lineRule="exact"/>
        <w:rPr>
          <w:sz w:val="20"/>
          <w:szCs w:val="20"/>
          <w:color w:val="auto"/>
        </w:rPr>
      </w:pPr>
    </w:p>
    <w:p>
      <w:pPr>
        <w:ind w:left="1840"/>
        <w:spacing w:after="0"/>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Andre Levy-Lang</w:t>
      </w:r>
    </w:p>
    <w:p>
      <w:pPr>
        <w:spacing w:after="0" w:line="167" w:lineRule="exact"/>
        <w:rPr>
          <w:sz w:val="20"/>
          <w:szCs w:val="20"/>
          <w:color w:val="auto"/>
        </w:rPr>
      </w:pPr>
    </w:p>
    <w:p>
      <w:pPr>
        <w:ind w:left="1840"/>
        <w:spacing w:after="0"/>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Mayo</w:t>
      </w:r>
    </w:p>
    <w:p>
      <w:pPr>
        <w:spacing w:after="0" w:line="167" w:lineRule="exact"/>
        <w:rPr>
          <w:sz w:val="20"/>
          <w:szCs w:val="20"/>
          <w:color w:val="auto"/>
        </w:rPr>
      </w:pPr>
    </w:p>
    <w:p>
      <w:pPr>
        <w:ind w:left="1840"/>
        <w:spacing w:after="0"/>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William T. McCormick, Jr.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17" w:right="1440" w:bottom="1440" w:gutter="0" w:footer="0" w:header="0"/>
          <w:type w:val="continuous"/>
        </w:sectPr>
      </w:pPr>
    </w:p>
    <w:bookmarkStart w:id="62" w:name="page63"/>
    <w:bookmarkEnd w:id="62"/>
    <w:p>
      <w:pPr>
        <w:ind w:left="308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5060" w:space="720"/>
            <w:col w:w="4459"/>
          </w:cols>
          <w:pgMar w:left="220" w:top="624" w:right="1440" w:bottom="1440" w:gutter="0" w:footer="0" w:header="0"/>
          <w:type w:val="continuous"/>
        </w:sect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9" w:lineRule="exact"/>
        <w:rPr>
          <w:sz w:val="20"/>
          <w:szCs w:val="20"/>
          <w:color w:val="auto"/>
        </w:rPr>
      </w:pPr>
    </w:p>
    <w:p>
      <w:pPr>
        <w:sectPr>
          <w:pgSz w:w="11900" w:h="16838" w:orient="portrait"/>
          <w:cols w:equalWidth="0" w:num="2">
            <w:col w:w="4880" w:space="720"/>
            <w:col w:w="4639"/>
          </w:cols>
          <w:pgMar w:left="220" w:top="624" w:right="1440" w:bottom="1440" w:gutter="0" w:footer="0" w:header="0"/>
          <w:type w:val="continuous"/>
        </w:sectPr>
      </w:pPr>
    </w:p>
    <w:p>
      <w:pPr>
        <w:ind w:left="180" w:hanging="170"/>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Didier Primat</w:t>
      </w:r>
    </w:p>
    <w:p>
      <w:pPr>
        <w:sectPr>
          <w:pgSz w:w="11900" w:h="16838" w:orient="portrait"/>
          <w:cols w:equalWidth="0" w:num="1">
            <w:col w:w="10239"/>
          </w:cols>
          <w:pgMar w:left="220" w:top="624" w:right="1440" w:bottom="1440" w:gutter="0" w:footer="0" w:header="0"/>
          <w:type w:val="continuous"/>
        </w:sectPr>
      </w:pP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46" w:lineRule="exact"/>
        <w:rPr>
          <w:sz w:val="20"/>
          <w:szCs w:val="20"/>
          <w:color w:val="auto"/>
        </w:rPr>
      </w:pPr>
    </w:p>
    <w:p>
      <w:pPr>
        <w:sectPr>
          <w:pgSz w:w="11900" w:h="16838" w:orient="portrait"/>
          <w:cols w:equalWidth="0" w:num="2">
            <w:col w:w="4880" w:space="720"/>
            <w:col w:w="4639"/>
          </w:cols>
          <w:pgMar w:left="220" w:top="624"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Nicolas Seydoux</w:t>
      </w:r>
    </w:p>
    <w:p>
      <w:pPr>
        <w:sectPr>
          <w:pgSz w:w="11900" w:h="16838" w:orient="portrait"/>
          <w:cols w:equalWidth="0" w:num="1">
            <w:col w:w="10239"/>
          </w:cols>
          <w:pgMar w:left="220" w:top="624" w:right="1440" w:bottom="1440" w:gutter="0" w:footer="0" w:header="0"/>
          <w:type w:val="continuous"/>
        </w:sectPr>
      </w:pPr>
    </w:p>
    <w:p>
      <w:pPr>
        <w:spacing w:after="0" w:line="1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46" w:lineRule="exact"/>
        <w:rPr>
          <w:sz w:val="20"/>
          <w:szCs w:val="20"/>
          <w:color w:val="auto"/>
        </w:rPr>
      </w:pPr>
    </w:p>
    <w:p>
      <w:pPr>
        <w:sectPr>
          <w:pgSz w:w="11900" w:h="16838" w:orient="portrait"/>
          <w:cols w:equalWidth="0" w:num="2">
            <w:col w:w="4880" w:space="720"/>
            <w:col w:w="4639"/>
          </w:cols>
          <w:pgMar w:left="220" w:top="624"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Linda G. Stuntz</w:t>
      </w:r>
    </w:p>
    <w:p>
      <w:pPr>
        <w:sectPr>
          <w:pgSz w:w="11900" w:h="16838" w:orient="portrait"/>
          <w:cols w:equalWidth="0" w:num="1">
            <w:col w:w="10239"/>
          </w:cols>
          <w:pgMar w:left="220" w:top="624" w:right="1440" w:bottom="1440" w:gutter="0" w:footer="0" w:header="0"/>
          <w:type w:val="continuous"/>
        </w:sectPr>
      </w:pPr>
    </w:p>
    <w:p>
      <w:pPr>
        <w:spacing w:after="0" w:line="1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46" w:lineRule="exact"/>
        <w:rPr>
          <w:sz w:val="20"/>
          <w:szCs w:val="20"/>
          <w:color w:val="auto"/>
        </w:rPr>
      </w:pPr>
    </w:p>
    <w:p>
      <w:pPr>
        <w:sectPr>
          <w:pgSz w:w="11900" w:h="16838" w:orient="portrait"/>
          <w:cols w:equalWidth="0" w:num="2">
            <w:col w:w="4880" w:space="720"/>
            <w:col w:w="4639"/>
          </w:cols>
          <w:pgMar w:left="220" w:top="624"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Sven Ullring</w:t>
      </w:r>
    </w:p>
    <w:p>
      <w:pPr>
        <w:sectPr>
          <w:pgSz w:w="11900" w:h="16838" w:orient="portrait"/>
          <w:cols w:equalWidth="0" w:num="1">
            <w:col w:w="10239"/>
          </w:cols>
          <w:pgMar w:left="220" w:top="624" w:right="1440" w:bottom="1440" w:gutter="0" w:footer="0" w:header="0"/>
          <w:type w:val="continuous"/>
        </w:sectPr>
      </w:pPr>
    </w:p>
    <w:p>
      <w:pPr>
        <w:spacing w:after="0" w:line="1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46" w:lineRule="exact"/>
        <w:rPr>
          <w:sz w:val="20"/>
          <w:szCs w:val="20"/>
          <w:color w:val="auto"/>
        </w:rPr>
      </w:pPr>
    </w:p>
    <w:p>
      <w:pPr>
        <w:sectPr>
          <w:pgSz w:w="11900" w:h="16838" w:orient="portrait"/>
          <w:cols w:equalWidth="0" w:num="2">
            <w:col w:w="4880" w:space="720"/>
            <w:col w:w="4639"/>
          </w:cols>
          <w:pgMar w:left="220" w:top="624"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4"/>
          <w:szCs w:val="14"/>
          <w:color w:val="auto"/>
        </w:rPr>
        <w:t>Yoshihiko Wakumoto</w:t>
      </w:r>
    </w:p>
    <w:p>
      <w:pPr>
        <w:sectPr>
          <w:pgSz w:w="11900" w:h="16838" w:orient="portrait"/>
          <w:cols w:equalWidth="0" w:num="1">
            <w:col w:w="10239"/>
          </w:cols>
          <w:pgMar w:left="220" w:top="624" w:right="1440" w:bottom="1440" w:gutter="0" w:footer="0" w:header="0"/>
          <w:type w:val="continuous"/>
        </w:sectPr>
      </w:pPr>
    </w:p>
    <w:p>
      <w:pPr>
        <w:spacing w:after="0" w:line="34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/s/James L. Gunderson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*By James L. Gunderson</w:t>
      </w:r>
      <w:r>
        <w:rPr>
          <w:sz w:val="20"/>
          <w:szCs w:val="20"/>
          <w:color w:val="auto"/>
        </w:rPr>
        <w:tab/>
      </w:r>
      <w:r>
        <w:rPr>
          <w:rFonts w:ascii="Courier New" w:cs="Courier New" w:eastAsia="Courier New" w:hAnsi="Courier New"/>
          <w:sz w:val="14"/>
          <w:szCs w:val="14"/>
          <w:color w:val="auto"/>
        </w:rPr>
        <w:t>Attorney-in-Fact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28, 2002</w:t>
      </w:r>
    </w:p>
    <w:p>
      <w:pPr>
        <w:spacing w:after="0" w:line="541" w:lineRule="exact"/>
        <w:rPr>
          <w:sz w:val="20"/>
          <w:szCs w:val="20"/>
          <w:color w:val="auto"/>
        </w:rPr>
      </w:pPr>
    </w:p>
    <w:p>
      <w:pPr>
        <w:sectPr>
          <w:pgSz w:w="11900" w:h="16838" w:orient="portrait"/>
          <w:cols w:equalWidth="0" w:num="2">
            <w:col w:w="4880" w:space="720"/>
            <w:col w:w="4639"/>
          </w:cols>
          <w:pgMar w:left="220" w:top="6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40" w:type="dxa"/>
            <w:vAlign w:val="bottom"/>
          </w:tcPr>
          <w:p>
            <w:pPr>
              <w:ind w:left="1220"/>
              <w:spacing w:after="0"/>
              <w:rPr>
                <w:sz w:val="20"/>
                <w:szCs w:val="20"/>
                <w:color w:val="auto"/>
              </w:rPr>
            </w:pPr>
            <w:r>
              <w:rPr>
                <w:rFonts w:ascii="Courier New" w:cs="Courier New" w:eastAsia="Courier New" w:hAnsi="Courier New"/>
                <w:sz w:val="15"/>
                <w:szCs w:val="15"/>
                <w:color w:val="auto"/>
              </w:rPr>
              <w:t>INDEX TO EXHIBITS</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Exhibit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Deed of Incorporation as last amended on May 4, 2001 incorporated by reference to Form</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3(a)</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10-Q for the</w:t>
            </w:r>
          </w:p>
        </w:tc>
        <w:tc>
          <w:tcPr>
            <w:tcW w:w="6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period ended June 30, 2001</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By-Laws as last amended on April 19, 2001, incorporated by reference to Form 10-Q for</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3(b)</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the period ended June 30, 2001</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as amended on January 5, 1995, incorporated by</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10(a)</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reference to</w:t>
            </w:r>
          </w:p>
        </w:tc>
        <w:tc>
          <w:tcPr>
            <w:tcW w:w="6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Exhibit 10(a) to Form 10-K for year 1995</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 Second Amendment incorporated by reference to</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10(b)</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Exhibit 10(b) to Form 10-K for the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 Third Amendment incorporated by reference to</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10(c)</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Exhibit 10(c) to Form 10-K for the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6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Limited Supplementary Benefit Plan, as amended, on January 1, 1995,</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10(d)</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incorporated</w:t>
            </w:r>
          </w:p>
        </w:tc>
        <w:tc>
          <w:tcPr>
            <w:tcW w:w="6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by reference to Exhibit 10(b) to Form 10K for 1996</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1989</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Incentive Plan, as amended, incorporated by reference to</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10(e)</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Exhibit 10(c) to Form 10-K for year 1995</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1989</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Incentive Plan - Third Amendment incorporated by reference to</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10(f)</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Exhibit 10(f) to Form 10-K for the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6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Restoration Savings Plan, incorporated by reference to Exhibit 10(f) to</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10(g)</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Form 10-K for year 1995</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incorporated by reference to Exhibit 10(g) to Form</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10(h)</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10-K for year 1997</w:t>
            </w:r>
          </w:p>
        </w:tc>
        <w:tc>
          <w:tcPr>
            <w:tcW w:w="6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 First Amendment incorporated by reference to</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10(i)</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Exhibit 10(i) to Form 10-K for the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1997 Long-Term Incentive Plan of Camco International Inc.;</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10(j)</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Long-Term Incentive Plan of Camco International Inc.;</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Production Operators Corp. 1992 Long-Term Incentive Plan;</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Camco 1996 Savings Related Share Option Scheme;</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Camco International Inc. Amended and Restated Stock Option Plan for Nonemployee</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Directors; incorporated by reference to Exhibit 10 to Form S-8</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of August 31, 1998</w:t>
            </w:r>
          </w:p>
        </w:tc>
        <w:tc>
          <w:tcPr>
            <w:tcW w:w="6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incorporated by reference to Form 10Q for the</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10(k)</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period ended</w:t>
            </w:r>
          </w:p>
        </w:tc>
        <w:tc>
          <w:tcPr>
            <w:tcW w:w="6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March 30, 2001</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6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and Deferral Plan for Non-Employee Directors</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10(l)</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Subsidiaries</w:t>
            </w:r>
          </w:p>
        </w:tc>
        <w:tc>
          <w:tcPr>
            <w:tcW w:w="4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3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21</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w:t>
            </w:r>
          </w:p>
        </w:tc>
      </w:tr>
      <w:tr>
        <w:trPr>
          <w:trHeight w:val="336"/>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Consent of Independent Accountants</w:t>
            </w:r>
          </w:p>
        </w:tc>
        <w:tc>
          <w:tcPr>
            <w:tcW w:w="13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w:t>
            </w:r>
          </w:p>
        </w:tc>
      </w:tr>
    </w:tbl>
    <w:p>
      <w:pPr>
        <w:sectPr>
          <w:pgSz w:w="11900" w:h="16838" w:orient="portrait"/>
          <w:cols w:equalWidth="0" w:num="1">
            <w:col w:w="10239"/>
          </w:cols>
          <w:pgMar w:left="220" w:top="617" w:right="1440"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gridSpan w:val="2"/>
          </w:tcPr>
          <w:p>
            <w:pPr>
              <w:ind w:left="2800"/>
              <w:spacing w:after="0"/>
              <w:rPr>
                <w:sz w:val="20"/>
                <w:szCs w:val="20"/>
                <w:color w:val="auto"/>
              </w:rPr>
            </w:pPr>
            <w:r>
              <w:rPr>
                <w:rFonts w:ascii="Courier New" w:cs="Courier New" w:eastAsia="Courier New" w:hAnsi="Courier New"/>
                <w:sz w:val="15"/>
                <w:szCs w:val="15"/>
                <w:color w:val="auto"/>
              </w:rPr>
              <w:t>INDEX TO EXHIBITS</w:t>
            </w: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Exhibit</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w w:val="94"/>
              </w:rPr>
              <w:t>Page</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Powers of Attorney</w:t>
            </w:r>
          </w:p>
        </w:tc>
        <w:tc>
          <w:tcPr>
            <w:tcW w:w="204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dated:</w:t>
            </w: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Don E. Ackerman</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24(a)</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 Euan Baird</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24(b)</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John Deutch</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24(c)</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Victor E Grijalva</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24(d)</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Andre Levy-Lang</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24(e)</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John Mayo</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February 15,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24(f)</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William T. McCormick, Jr.</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24(g)</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Didier Primat</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24(h)</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Nicolas Seydoux</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24(i)</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Linda G. Stuntz</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24(j)</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Sven Ullring</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24(k)</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Yoshihiko Wakumoto</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January 17, 2002</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24(l)</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83</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Additional Exhibits:</w:t>
            </w: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Form S-8 Undertakings</w:t>
            </w:r>
          </w:p>
        </w:tc>
        <w:tc>
          <w:tcPr>
            <w:tcW w:w="2040" w:type="dxa"/>
            <w:vAlign w:val="bottom"/>
          </w:tcPr>
          <w:p>
            <w:pPr>
              <w:spacing w:after="0"/>
              <w:rPr>
                <w:sz w:val="14"/>
                <w:szCs w:val="14"/>
                <w:color w:val="auto"/>
              </w:rPr>
            </w:pP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99</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84</w:t>
            </w:r>
          </w:p>
        </w:tc>
      </w:tr>
    </w:tbl>
    <w:p>
      <w:pPr>
        <w:sectPr>
          <w:pgSz w:w="11900" w:h="16838" w:orient="portrait"/>
          <w:cols w:equalWidth="0" w:num="1">
            <w:col w:w="10239"/>
          </w:cols>
          <w:pgMar w:left="220" w:top="617" w:right="1440" w:bottom="1440" w:gutter="0" w:footer="0" w:header="0"/>
        </w:sectPr>
      </w:pPr>
    </w:p>
    <w:bookmarkStart w:id="65" w:name="page66"/>
    <w:bookmarkEnd w:id="65"/>
    <w:p>
      <w:pPr>
        <w:jc w:val="right"/>
        <w:ind w:right="3239"/>
        <w:spacing w:after="0"/>
        <w:rPr>
          <w:sz w:val="20"/>
          <w:szCs w:val="20"/>
          <w:color w:val="auto"/>
        </w:rPr>
      </w:pPr>
      <w:r>
        <w:rPr>
          <w:rFonts w:ascii="Courier New" w:cs="Courier New" w:eastAsia="Courier New" w:hAnsi="Courier New"/>
          <w:sz w:val="15"/>
          <w:szCs w:val="15"/>
          <w:color w:val="auto"/>
        </w:rPr>
        <w:t>Exhibit 10(l)</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SCHLUMBERGER LIMITED</w:t>
      </w:r>
    </w:p>
    <w:p>
      <w:pPr>
        <w:ind w:left="2540"/>
        <w:spacing w:after="0" w:line="237" w:lineRule="auto"/>
        <w:rPr>
          <w:sz w:val="20"/>
          <w:szCs w:val="20"/>
          <w:color w:val="auto"/>
        </w:rPr>
      </w:pPr>
      <w:r>
        <w:rPr>
          <w:rFonts w:ascii="Courier New" w:cs="Courier New" w:eastAsia="Courier New" w:hAnsi="Courier New"/>
          <w:sz w:val="15"/>
          <w:szCs w:val="15"/>
          <w:color w:val="auto"/>
        </w:rPr>
        <w:t>STOCK AND DEFERRAL PLAN</w:t>
      </w:r>
    </w:p>
    <w:p>
      <w:pPr>
        <w:ind w:left="2380"/>
        <w:spacing w:after="0" w:line="238" w:lineRule="auto"/>
        <w:rPr>
          <w:sz w:val="20"/>
          <w:szCs w:val="20"/>
          <w:color w:val="auto"/>
        </w:rPr>
      </w:pPr>
      <w:r>
        <w:rPr>
          <w:rFonts w:ascii="Courier New" w:cs="Courier New" w:eastAsia="Courier New" w:hAnsi="Courier New"/>
          <w:sz w:val="15"/>
          <w:szCs w:val="15"/>
          <w:color w:val="auto"/>
        </w:rPr>
        <w:t>FOR NON-EMPLOYEE DIRECTORS</w:t>
      </w:r>
    </w:p>
    <w:p>
      <w:pPr>
        <w:ind w:left="1760"/>
        <w:spacing w:after="0" w:line="237" w:lineRule="auto"/>
        <w:rPr>
          <w:sz w:val="20"/>
          <w:szCs w:val="20"/>
          <w:color w:val="auto"/>
        </w:rPr>
      </w:pPr>
      <w:r>
        <w:rPr>
          <w:rFonts w:ascii="Courier New" w:cs="Courier New" w:eastAsia="Courier New" w:hAnsi="Courier New"/>
          <w:sz w:val="15"/>
          <w:szCs w:val="15"/>
          <w:color w:val="auto"/>
        </w:rPr>
        <w:t>(As Established Effective April 19, 2001)</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jc w:val="center"/>
        <w:ind w:right="3239"/>
        <w:spacing w:after="0" w:line="237" w:lineRule="auto"/>
        <w:rPr>
          <w:sz w:val="20"/>
          <w:szCs w:val="20"/>
          <w:color w:val="auto"/>
        </w:rPr>
      </w:pPr>
      <w:r>
        <w:rPr>
          <w:rFonts w:ascii="Courier New" w:cs="Courier New" w:eastAsia="Courier New" w:hAnsi="Courier New"/>
          <w:sz w:val="15"/>
          <w:szCs w:val="15"/>
          <w:color w:val="auto"/>
        </w:rPr>
        <w:t>PURPOSES OF PLAN AND DEFINITIONS</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Purpose. Schlumberger Limited established this Stock and Deferral Plan</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Non-Employee Directors (the "Plan") for the purpose of providing non-employee directors of the Company with regular grants of restricted shares of the common stock of the Company and the opportunity to defer a portion of their compensation, in order to provide greater incentives for those Directors to attain and maintain the highest standards of performance, to attract and retain Directors of outstanding competence and ability, to stimulate the active interest of such persons in the development and financial success of the Company, to further the identity of interests of such Directors with those of the Company's stockholders generally, and to reward such Directors for outstanding performance. The Plan has been established effective April 19, 2001.</w:t>
      </w:r>
    </w:p>
    <w:p>
      <w:pPr>
        <w:spacing w:after="0" w:line="15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Definitions.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759" w:firstLine="437"/>
        <w:spacing w:after="0" w:line="235" w:lineRule="auto"/>
        <w:rPr>
          <w:sz w:val="20"/>
          <w:szCs w:val="20"/>
          <w:color w:val="auto"/>
        </w:rPr>
      </w:pPr>
      <w:r>
        <w:rPr>
          <w:rFonts w:ascii="Courier New" w:cs="Courier New" w:eastAsia="Courier New" w:hAnsi="Courier New"/>
          <w:sz w:val="15"/>
          <w:szCs w:val="15"/>
          <w:color w:val="auto"/>
        </w:rPr>
        <w:t>"Annual Director Award Date" means the last day of the calendar month following the date of the first Board meeting following the regular annual shareholders meeting of the Company.</w:t>
      </w:r>
    </w:p>
    <w:p>
      <w:pPr>
        <w:spacing w:after="0" w:line="174"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"Board of Directors" or "Board" means the Board of Directors of the Company.</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"Committee" means such committee as is designated by the Board to administer the Plan in accordance with Article II.</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"Common Stock" means the Common Stock, par value $.01 per share, of the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means Schlumberger Limited.</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"Determination Date" means the date on which delivery of a Participant's deferred Stock Awards is made or commences, as determined in accordance with Section 5.1.</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 means an individual who is serving as a member of the Board.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"Effective Date" means April 19, 2001.</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"Eligible Director" means each Director who is not an employee of the Company or of any of its subsidiaries.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"Participant" means an Eligible Director who elects to participate in the Plan or is otherwise credited with Stock Units pursuant to Article III.</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"Stock Account" means the bookkeeping account maintained for each Participant to record certain amounts deferred by the Participant in accordance with Article IV hereof.</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Award" means an award of shares of Common Stock pursuant to Article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"Stock Unit" means a unit equal to one share of Common Stock utilized for the purpose of tracking deferrals under Article IV.</w:t>
      </w:r>
    </w:p>
    <w:p>
      <w:pPr>
        <w:sectPr>
          <w:pgSz w:w="11900" w:h="16838" w:orient="portrait"/>
          <w:cols w:equalWidth="0" w:num="1">
            <w:col w:w="10239"/>
          </w:cols>
          <w:pgMar w:left="220" w:top="471" w:right="1440" w:bottom="1440" w:gutter="0" w:footer="0" w:header="0"/>
        </w:sectPr>
      </w:pPr>
    </w:p>
    <w:bookmarkStart w:id="66" w:name="page67"/>
    <w:bookmarkEnd w:id="66"/>
    <w:p>
      <w:pPr>
        <w:jc w:val="center"/>
        <w:ind w:right="3239"/>
        <w:spacing w:after="0"/>
        <w:rPr>
          <w:sz w:val="20"/>
          <w:szCs w:val="20"/>
          <w:color w:val="auto"/>
        </w:rPr>
      </w:pPr>
      <w:r>
        <w:rPr>
          <w:rFonts w:ascii="Courier New" w:cs="Courier New" w:eastAsia="Courier New" w:hAnsi="Courier New"/>
          <w:sz w:val="15"/>
          <w:szCs w:val="15"/>
          <w:color w:val="auto"/>
        </w:rPr>
        <w:t>ARTICLE 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ADMINISTRATION OF THE PLAN</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Committee. This Plan shall be administered by the Committee.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Committee's Powers. Subject to the provisions hereof, the Committee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shall have full and exclusive power and authority to administer this Plan and to take all actions which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shall also have the full and exclusive power to adopt rules, procedures, guidelines and sub-plans to this Plan relating to the operation and administration of the Plan to accommodate the specific requirements of local laws and procedures in foreign jurisdictions. The Committee may, in its discretion, determine the eligibility of individuals to participate herein, determine the amount of Stock Awards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Committee Determinations Conclusive. Any decision of the Committee in</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interpretation and administration of this Plan shall lie within its sole and absolute discretion and shall be final, conclusive and binding on all parties concerned.</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Committee Liability. No member of the Committee or officer of the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Company to whom the Committee has delegated authority in accordance with the provisions of Section 2.5 of this Plan shall be liable for anything done or omitted to be done by him or her, by any member of the Committee or by an officer of the Company in connection with the performance of any duties under this Plan, except for his or her own willful misconduct or as expressly provided by statute.</w:t>
      </w:r>
    </w:p>
    <w:p>
      <w:pPr>
        <w:spacing w:after="0" w:line="168"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Delegation of Authority. The Committee may delegate to the Chief</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Executive Officer and to other senior officers of the Company its duties under this Plan pursuant to such conditions or limitations as the Committee may establish.</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ind w:left="2980"/>
        <w:spacing w:after="0" w:line="237" w:lineRule="auto"/>
        <w:rPr>
          <w:sz w:val="20"/>
          <w:szCs w:val="20"/>
          <w:color w:val="auto"/>
        </w:rPr>
      </w:pPr>
      <w:r>
        <w:rPr>
          <w:rFonts w:ascii="Courier New" w:cs="Courier New" w:eastAsia="Courier New" w:hAnsi="Courier New"/>
          <w:sz w:val="15"/>
          <w:szCs w:val="15"/>
          <w:color w:val="auto"/>
        </w:rPr>
        <w:t>STOCK AWARDS</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Shares Available. There shall be available for Stock Award, during the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term of this Plan an aggregate of 25,000 shares of Common Stock, which shall be made available from treasury shares of the Company.</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Initial Grant. On July 1, 2001, each Eligible Director shall be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granted 500 shares of Common Stock. Directors who do not defer this award pursuant to Section 4.1 will be treated as shareholders with respect to such shares as of the grant date.</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Annual Grants. In addition, on each Annual Director Award Date, each</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Eligible Director shall automatically be granted an additional Stock Award in the form of 500 shares of Common Stock on such date. Directors who do not defer this award pursuant to Section 4.1 will be treated as shareholders with respect to such shares as of the grant date.</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jc w:val="center"/>
        <w:ind w:right="3239"/>
        <w:spacing w:after="0" w:line="237" w:lineRule="auto"/>
        <w:rPr>
          <w:sz w:val="20"/>
          <w:szCs w:val="20"/>
          <w:color w:val="auto"/>
        </w:rPr>
      </w:pPr>
      <w:r>
        <w:rPr>
          <w:rFonts w:ascii="Courier New" w:cs="Courier New" w:eastAsia="Courier New" w:hAnsi="Courier New"/>
          <w:sz w:val="15"/>
          <w:szCs w:val="15"/>
          <w:color w:val="auto"/>
        </w:rPr>
        <w:t>DEFERRAL ELECTION AND ACCOUNTS</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Deferral Election. A Director who would otherwise be subject to U.S.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Federal tax with respect to a Stock Award under this Plan, or in other cases at the discretion of the Committee, may irrevocably elect to defer the receipt of all or part of a Stock Award by submitting a Deferral Election in the manner specified by the Committee. The Deferral Election (i) shall specify the number of shares of Common Stock the receipt of which the Participant elects to</w:t>
      </w:r>
    </w:p>
    <w:p>
      <w:pPr>
        <w:sectPr>
          <w:pgSz w:w="11900" w:h="16838" w:orient="portrait"/>
          <w:cols w:equalWidth="0" w:num="1">
            <w:col w:w="10239"/>
          </w:cols>
          <w:pgMar w:left="220" w:top="617" w:right="1440" w:bottom="1440" w:gutter="0" w:footer="0" w:header="0"/>
        </w:sectPr>
      </w:pPr>
    </w:p>
    <w:bookmarkStart w:id="67" w:name="page68"/>
    <w:bookmarkEnd w:id="67"/>
    <w:p>
      <w:pPr>
        <w:jc w:val="both"/>
        <w:ind w:right="3239"/>
        <w:spacing w:after="0" w:line="235" w:lineRule="auto"/>
        <w:rPr>
          <w:sz w:val="20"/>
          <w:szCs w:val="20"/>
          <w:color w:val="auto"/>
        </w:rPr>
      </w:pPr>
      <w:r>
        <w:rPr>
          <w:rFonts w:ascii="Courier New" w:cs="Courier New" w:eastAsia="Courier New" w:hAnsi="Courier New"/>
          <w:sz w:val="15"/>
          <w:szCs w:val="15"/>
          <w:color w:val="auto"/>
        </w:rPr>
        <w:t>defer, (ii) shall designate the period of deferral among the choices provided in Section 5.1, and (iii) may not be revoked or modified without the prior written approval of the Committee.</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Timing of Elections. For initial grants of Stock Awards pursuant to</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Section 3.1, Deferral Elections must be completed no later than May 31, 2001. For annual grants of Stock Awards pursuant to Section 3.3, Deferral Elections must be made no later than the last day of the calendar year preceding the Annual Director Award Date. For newly appointed directors, Deferral Elections must be completed no later than the date 15 days after commencement of services as a Director. The Committee shall be authorized to adopt such other rules and limitations as it shall determine are necessary or appropriate with respect to the timing of elections to defer Stock Awards under the Plan.</w:t>
      </w:r>
    </w:p>
    <w:p>
      <w:pPr>
        <w:spacing w:after="0" w:line="15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Establishment of Accounts. The Company shall also set up an</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appropriate record (hereinafter called the "Stock Account") which will from time to time reflect the name of each Participant and the number of Stock Units and, if applicable, dividend equivalents credited to such Participant pursuant to Section 4.4.</w:t>
      </w: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Crediting of Deferred Stock Awards. Any Stock Awards deferred pursuant</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 a Deferral Election as described in Section 4.1 shall be credited to the Participant's Stock Account as of the date the shares would otherwise have been delivered pursuant to Article III in the form of a number of Stock Units equal to the number of shares of Common Stock deferred. No interest will be credited to a Participant's Stock Account with respect to any Stock Units. In the event that a dividend is paid on Common Stock during the period of deferral designated by the Participant, an amount equivalent to the amount of the dividend will be credited to the Participant's Stock Account and the accumulated amount will be paid out without interest at the end of the period of deferral.</w:t>
      </w:r>
    </w:p>
    <w:p>
      <w:pPr>
        <w:spacing w:after="0" w:line="15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Adjustments.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80" w:hanging="433"/>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Corporate Powers. The existence of this Plan and any</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outstanding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65" w:lineRule="exact"/>
        <w:rPr>
          <w:sz w:val="20"/>
          <w:szCs w:val="20"/>
          <w:color w:val="auto"/>
        </w:rPr>
      </w:pPr>
    </w:p>
    <w:p>
      <w:pPr>
        <w:ind w:left="880" w:hanging="433"/>
        <w:spacing w:after="0"/>
        <w:tabs>
          <w:tab w:leader="none" w:pos="8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Recapitalizations, Reorganizations and Other Activities. In the event</w:t>
      </w:r>
    </w:p>
    <w:p>
      <w:pPr>
        <w:spacing w:after="0" w:line="4"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of any subdivision or consolidation of outstanding shares of either class of Common Stock, declaration of a dividend payable in shares of either class of Common Stock or other stock split, then (i) the number of Stock Units relating to such class of Common Stock; (ii) the appropriate fair market value and other price determinations for such Stock Units; and (iii) the number of shares designated in Sections 3.1 and 3.3 of this Plan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Stock Units relating to such class of Common Stock; (ii) the appropriate fair market value and other price determinations for such Stock Units; and (iii) the number of shares designated in Sections 3.1 and 3.3 of this Plan to give effect to such transaction; provided that such adjustments shall only be such as are necessary to preserve, without increasing, the value of such items. In the event of a corporate merger, consolidation, acquisition of property or stock, separation, reorganization or liquidation, the Board shall be authorized to issue or assume units by means of substitution of new units, as appropriate, for previously issued units or an assumption of previously issued units as part of such adjustment.</w:t>
      </w:r>
    </w:p>
    <w:p>
      <w:pPr>
        <w:sectPr>
          <w:pgSz w:w="11900" w:h="16838" w:orient="portrait"/>
          <w:cols w:equalWidth="0" w:num="1">
            <w:col w:w="10239"/>
          </w:cols>
          <w:pgMar w:left="220" w:top="624" w:right="1440" w:bottom="1440" w:gutter="0" w:footer="0" w:header="0"/>
        </w:sectPr>
      </w:pPr>
    </w:p>
    <w:bookmarkStart w:id="68" w:name="page69"/>
    <w:bookmarkEnd w:id="68"/>
    <w:p>
      <w:pPr>
        <w:jc w:val="center"/>
        <w:ind w:right="3139"/>
        <w:spacing w:after="0"/>
        <w:rPr>
          <w:sz w:val="20"/>
          <w:szCs w:val="20"/>
          <w:color w:val="auto"/>
        </w:rPr>
      </w:pPr>
      <w:r>
        <w:rPr>
          <w:rFonts w:ascii="Courier New" w:cs="Courier New" w:eastAsia="Courier New" w:hAnsi="Courier New"/>
          <w:sz w:val="15"/>
          <w:szCs w:val="15"/>
          <w:color w:val="auto"/>
        </w:rPr>
        <w:t>ARTICLE V</w:t>
      </w:r>
    </w:p>
    <w:p>
      <w:pPr>
        <w:jc w:val="center"/>
        <w:ind w:right="3139"/>
        <w:spacing w:after="0" w:line="237" w:lineRule="auto"/>
        <w:rPr>
          <w:sz w:val="20"/>
          <w:szCs w:val="20"/>
          <w:color w:val="auto"/>
        </w:rPr>
      </w:pPr>
      <w:r>
        <w:rPr>
          <w:rFonts w:ascii="Courier New" w:cs="Courier New" w:eastAsia="Courier New" w:hAnsi="Courier New"/>
          <w:sz w:val="15"/>
          <w:szCs w:val="15"/>
          <w:color w:val="auto"/>
        </w:rPr>
        <w:t>DELIVERY OF DEFERRED SHARES</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Period of Deferral. A Participant may elect that delivery of Stock</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Awards credited to the Participant under the Plan be made or commence at (a) a date that is one year following the date of the termination of the Participant's status as a Director of the Company, or (b) the date of the termination of the Participant's status as a Director of the Company (either of such dates elected by the Participant to be known as the "Determination Date"). Delivery of shares will be made within 60 days after the Determination Date.</w:t>
      </w:r>
    </w:p>
    <w:p>
      <w:pPr>
        <w:spacing w:after="0" w:line="160"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Delivery of Deferred Stock Awards. As of the Determination Date, the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aggregate number of Stock Units and, if applicable, dividend equivalents credited to a Participant's Stock Account as of such Determination Date shall be calculated. A Participant shall receive delivery of a number of shares of Common Stock equal to the aggregate number of Stock Units and a cash payment equal to the amount of the aggregate dividend equivalents.</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Death Prior to Payment. In the event that a Participant dies prior to</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delivery of all shares and funds deliverable pursuant to the Plan, any remaining shares shall be delivered to the Participant's estate within 60 days following the Company's notification of the Participant's death.</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Delivery to Minors and Incompetents. To the extent allowed under</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applicable law, should the Participant become incompetent, the Company shall be authorized to deliver shares and funds deliverable pursuant to the Plan to a guardian or legal representative of such incompetent, or directly to such incompetent, whichever manner the Committee shall determine in its sole discretion.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ind w:left="298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Unfunded Plan. Nothing contained herein shall be deemed to create a</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trust of any kind or create any fiduciary relationship. This Plan shall be unfunded. To the extent that a Participant acquires a right to receive delivery of shares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Participants, any such accounts shall be used merely as a bookkeeping convenience. The Company shall not be required to segregate any assets that may at any time be represented by stock or rights thereto, nor shall this Plan be construed as providing for such segregation, nor shall the Company, the Board or the Committee be deemed to be a trustee of any stock or rights thereto to be granted under this Plan. Any liability or obligation of the Company to any Participant with respect to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68"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Title to Funds Remains with Company. Amounts credited to each</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Participant's Stock Account shall not be specifically set aside or otherwise segregated, but will be combined with corporate assets. Title to such amounts will remain with the Company and the Company's only obligation will be to make timely delivery to Participants in accordance with the Plan.</w:t>
      </w:r>
    </w:p>
    <w:p>
      <w:pPr>
        <w:spacing w:after="0" w:line="158"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Statement of Account. A statement will be furnished to each</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Participant annually on such date as may be determined by the Committee stating the balance of Stock Account as of a recent date designated by the Committee.</w:t>
      </w:r>
    </w:p>
    <w:p>
      <w:pPr>
        <w:spacing w:after="0" w:line="153"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Assignability. Except as provided in Section 5.3, no right to receive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delivery of shares hereunder shall be transferable or assignable by a Participant except by will or the laws of descent and distribution or pursuant to a qualified domestic relations order as defined by the U.S. Internal Revenue Code of 1986 or Title I of the Employee Retirement Income Security Act of</w:t>
      </w:r>
    </w:p>
    <w:p>
      <w:pPr>
        <w:sectPr>
          <w:pgSz w:w="11900" w:h="16838" w:orient="portrait"/>
          <w:cols w:equalWidth="0" w:num="1">
            <w:col w:w="10239"/>
          </w:cols>
          <w:pgMar w:left="220" w:top="617" w:right="1440" w:bottom="1440" w:gutter="0" w:footer="0" w:header="0"/>
        </w:sectPr>
      </w:pPr>
    </w:p>
    <w:bookmarkStart w:id="69" w:name="page70"/>
    <w:bookmarkEnd w:id="69"/>
    <w:p>
      <w:pPr>
        <w:ind w:right="3239"/>
        <w:spacing w:after="0" w:line="261" w:lineRule="auto"/>
        <w:rPr>
          <w:sz w:val="20"/>
          <w:szCs w:val="20"/>
          <w:color w:val="auto"/>
        </w:rPr>
      </w:pPr>
      <w:r>
        <w:rPr>
          <w:rFonts w:ascii="Courier New" w:cs="Courier New" w:eastAsia="Courier New" w:hAnsi="Courier New"/>
          <w:sz w:val="14"/>
          <w:szCs w:val="14"/>
          <w:color w:val="auto"/>
        </w:rPr>
        <w:t>1974, as amended, or the rules thereunder. Any attempted assignment of any benefit under this Plan in violation of this Section 6.4 shall be null and void.</w:t>
      </w:r>
    </w:p>
    <w:p>
      <w:pPr>
        <w:spacing w:after="0" w:line="153"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Amendment, Modification, Suspension or Termination. The Board may</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amend, modify, suspend or terminate this Plan for the purpose of meeting or addressing any changes in legal requirements or for any other purpose permitted by law, except that no amendment, modification or termination shall, without the consent of the Participant, impair the rights of any Participant to the number of Stock Units credited to such Participant's Stock Account as of the date of such amendment, modification or termination. The Board may at any time and from time to time delegate to the Committee any or all of this authority under this Section 6.5.</w:t>
      </w:r>
    </w:p>
    <w:p>
      <w:pPr>
        <w:spacing w:after="0" w:line="171"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Governing Law. This Plan and all determinations made and actions taken</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hereto, to the extent not otherwise governed by mandatory provisions of the Code or the securities laws of the United States, shall be governed by and construed in accordance with the laws of the State of New York.</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4"/>
          <w:szCs w:val="14"/>
          <w:color w:val="auto"/>
        </w:rPr>
        <w:t>Tax and Social Insurance. Participants are responsible for any and all</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tax or social insurance due on Stock Awards or Stock Units under this Plan. Participants shall pay or make arrangements to satisfy all withholding obligations of the Company related to this Plan. The Company has the authority to satisfy any withholding obligations from funds or shares of Common Stock deliverable pursuant to this Plan or other cash compensation due a Participant, if applicable.</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SCHLUMBERGER LIMITED</w:t>
      </w:r>
    </w:p>
    <w:p>
      <w:pPr>
        <w:sectPr>
          <w:pgSz w:w="11900" w:h="16838" w:orient="portrait"/>
          <w:cols w:equalWidth="0" w:num="1">
            <w:col w:w="10239"/>
          </w:cols>
          <w:pgMar w:left="220" w:top="624" w:right="1440" w:bottom="1440" w:gutter="0" w:footer="0" w:header="0"/>
        </w:sectPr>
      </w:pPr>
    </w:p>
    <w:bookmarkStart w:id="70" w:name="page71"/>
    <w:bookmarkEnd w:id="70"/>
    <w:p>
      <w:pPr>
        <w:jc w:val="right"/>
        <w:ind w:right="3239"/>
        <w:spacing w:after="0"/>
        <w:rPr>
          <w:sz w:val="20"/>
          <w:szCs w:val="20"/>
          <w:color w:val="auto"/>
        </w:rPr>
      </w:pPr>
      <w:r>
        <w:rPr>
          <w:rFonts w:ascii="Courier New" w:cs="Courier New" w:eastAsia="Courier New" w:hAnsi="Courier New"/>
          <w:sz w:val="15"/>
          <w:szCs w:val="15"/>
          <w:color w:val="auto"/>
        </w:rPr>
        <w:t>Exhibit 21</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Significant Subsidiaries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Listed below are the significant first tier subsidiaries of the Registrant, along with the total number of active subsidiaries directly or indirectly owned by each as of February 8, 2002. Certain second, third and fourth tier subsidiaries, though included in the numbers, are also shown by name. Ownership is 100% unless otherwise indicated. The business activities of the subsidiaries have been keyed as follows: (a) Oilfield Services, (b) SchlumbergerSema, (c) General/Multiple (d) Other.</w:t>
      </w:r>
    </w:p>
    <w:p>
      <w:pPr>
        <w:sectPr>
          <w:pgSz w:w="11900" w:h="16838" w:orient="portrait"/>
          <w:cols w:equalWidth="0" w:num="1">
            <w:col w:w="10239"/>
          </w:cols>
          <w:pgMar w:left="220" w:top="471" w:right="1440" w:bottom="1440" w:gutter="0" w:footer="0" w:header="0"/>
        </w:sectPr>
      </w:pPr>
    </w:p>
    <w:p>
      <w:pPr>
        <w:spacing w:after="0" w:line="176"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U.S.</w:t>
      </w:r>
    </w:p>
    <w:p>
      <w:pPr>
        <w:spacing w:after="0" w:line="10"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Non-U.S.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780" w:space="440"/>
            <w:col w:w="4019"/>
          </w:cols>
          <w:pgMar w:left="220" w:top="47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Schlumberger B.V., Netherlands (c)</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39(a)/1/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84(b)/2/</w:t>
      </w:r>
    </w:p>
    <w:p>
      <w:pPr>
        <w:spacing w:after="0" w:line="3" w:lineRule="exact"/>
        <w:rPr>
          <w:sz w:val="20"/>
          <w:szCs w:val="20"/>
          <w:color w:val="auto"/>
        </w:rPr>
      </w:pPr>
    </w:p>
    <w:p>
      <w:pPr>
        <w:sectPr>
          <w:pgSz w:w="11900" w:h="16838" w:orient="portrait"/>
          <w:cols w:equalWidth="0" w:num="3">
            <w:col w:w="4800" w:space="720"/>
            <w:col w:w="340" w:space="360"/>
            <w:col w:w="4019"/>
          </w:cols>
          <w:pgMar w:left="220" w:top="471" w:right="1440" w:bottom="1440" w:gutter="0" w:footer="0" w:header="0"/>
          <w:type w:val="continuous"/>
        </w:sectPr>
      </w:pPr>
    </w:p>
    <w:p>
      <w:pPr>
        <w:ind w:left="6300"/>
        <w:spacing w:after="0"/>
        <w:rPr>
          <w:sz w:val="20"/>
          <w:szCs w:val="20"/>
          <w:color w:val="auto"/>
        </w:rPr>
      </w:pPr>
      <w:r>
        <w:rPr>
          <w:rFonts w:ascii="Courier New" w:cs="Courier New" w:eastAsia="Courier New" w:hAnsi="Courier New"/>
          <w:sz w:val="15"/>
          <w:szCs w:val="15"/>
          <w:color w:val="auto"/>
        </w:rPr>
        <w:t>5(c)</w:t>
      </w:r>
    </w:p>
    <w:p>
      <w:pPr>
        <w:ind w:left="6300"/>
        <w:spacing w:after="0" w:line="237" w:lineRule="auto"/>
        <w:rPr>
          <w:sz w:val="20"/>
          <w:szCs w:val="20"/>
          <w:color w:val="auto"/>
        </w:rPr>
      </w:pPr>
      <w:r>
        <w:rPr>
          <w:rFonts w:ascii="Courier New" w:cs="Courier New" w:eastAsia="Courier New" w:hAnsi="Courier New"/>
          <w:sz w:val="15"/>
          <w:szCs w:val="15"/>
          <w:color w:val="auto"/>
        </w:rPr>
        <w:t>3(d)</w:t>
      </w:r>
    </w:p>
    <w:p>
      <w:pPr>
        <w:ind w:left="800"/>
        <w:spacing w:after="0" w:line="238" w:lineRule="auto"/>
        <w:rPr>
          <w:sz w:val="20"/>
          <w:szCs w:val="20"/>
          <w:color w:val="auto"/>
        </w:rPr>
      </w:pPr>
      <w:r>
        <w:rPr>
          <w:rFonts w:ascii="Courier New" w:cs="Courier New" w:eastAsia="Courier New" w:hAnsi="Courier New"/>
          <w:sz w:val="15"/>
          <w:szCs w:val="15"/>
          <w:color w:val="auto"/>
        </w:rPr>
        <w:t>Schlumberger Canada Limited, Ontario (c)</w:t>
      </w:r>
    </w:p>
    <w:p>
      <w:pPr>
        <w:ind w:left="800"/>
        <w:spacing w:after="0" w:line="237" w:lineRule="auto"/>
        <w:rPr>
          <w:sz w:val="20"/>
          <w:szCs w:val="20"/>
          <w:color w:val="auto"/>
        </w:rPr>
      </w:pPr>
      <w:r>
        <w:rPr>
          <w:rFonts w:ascii="Courier New" w:cs="Courier New" w:eastAsia="Courier New" w:hAnsi="Courier New"/>
          <w:sz w:val="15"/>
          <w:szCs w:val="15"/>
          <w:color w:val="auto"/>
        </w:rPr>
        <w:t>Schlumberger GmbH, Germany (b)</w:t>
      </w:r>
    </w:p>
    <w:p>
      <w:pPr>
        <w:ind w:left="800"/>
        <w:spacing w:after="0" w:line="238" w:lineRule="auto"/>
        <w:rPr>
          <w:sz w:val="20"/>
          <w:szCs w:val="20"/>
          <w:color w:val="auto"/>
        </w:rPr>
      </w:pPr>
      <w:r>
        <w:rPr>
          <w:rFonts w:ascii="Courier New" w:cs="Courier New" w:eastAsia="Courier New" w:hAnsi="Courier New"/>
          <w:sz w:val="15"/>
          <w:szCs w:val="15"/>
          <w:color w:val="auto"/>
        </w:rPr>
        <w:t>Schlumberger Industries, France (b)</w:t>
      </w:r>
    </w:p>
    <w:p>
      <w:pPr>
        <w:ind w:left="1240"/>
        <w:spacing w:after="0" w:line="237" w:lineRule="auto"/>
        <w:rPr>
          <w:sz w:val="20"/>
          <w:szCs w:val="20"/>
          <w:color w:val="auto"/>
        </w:rPr>
      </w:pPr>
      <w:r>
        <w:rPr>
          <w:rFonts w:ascii="Courier New" w:cs="Courier New" w:eastAsia="Courier New" w:hAnsi="Courier New"/>
          <w:sz w:val="15"/>
          <w:szCs w:val="15"/>
          <w:color w:val="auto"/>
        </w:rPr>
        <w:t>Sema SA, France (b)</w:t>
      </w:r>
    </w:p>
    <w:p>
      <w:pPr>
        <w:ind w:left="800"/>
        <w:spacing w:after="0" w:line="238" w:lineRule="auto"/>
        <w:rPr>
          <w:sz w:val="20"/>
          <w:szCs w:val="20"/>
          <w:color w:val="auto"/>
        </w:rPr>
      </w:pPr>
      <w:r>
        <w:rPr>
          <w:rFonts w:ascii="Courier New" w:cs="Courier New" w:eastAsia="Courier New" w:hAnsi="Courier New"/>
          <w:sz w:val="15"/>
          <w:szCs w:val="15"/>
          <w:color w:val="auto"/>
        </w:rPr>
        <w:t>Omnes B.V., Netherlands (a)</w:t>
      </w:r>
    </w:p>
    <w:p>
      <w:pPr>
        <w:ind w:left="800"/>
        <w:spacing w:after="0" w:line="237" w:lineRule="auto"/>
        <w:rPr>
          <w:sz w:val="20"/>
          <w:szCs w:val="20"/>
          <w:color w:val="auto"/>
        </w:rPr>
      </w:pPr>
      <w:r>
        <w:rPr>
          <w:rFonts w:ascii="Courier New" w:cs="Courier New" w:eastAsia="Courier New" w:hAnsi="Courier New"/>
          <w:sz w:val="15"/>
          <w:szCs w:val="15"/>
          <w:color w:val="auto"/>
        </w:rPr>
        <w:t>Services Petroliers Schlumberger, France (a)</w:t>
      </w:r>
    </w:p>
    <w:p>
      <w:pPr>
        <w:ind w:left="800"/>
        <w:spacing w:after="0" w:line="238" w:lineRule="auto"/>
        <w:rPr>
          <w:sz w:val="20"/>
          <w:szCs w:val="20"/>
          <w:color w:val="auto"/>
        </w:rPr>
      </w:pPr>
      <w:r>
        <w:rPr>
          <w:rFonts w:ascii="Courier New" w:cs="Courier New" w:eastAsia="Courier New" w:hAnsi="Courier New"/>
          <w:sz w:val="15"/>
          <w:szCs w:val="15"/>
          <w:color w:val="auto"/>
        </w:rPr>
        <w:t>*WesternGeco B.V., Netherlands (a)</w:t>
      </w:r>
    </w:p>
    <w:tbl>
      <w:tblPr>
        <w:tblLayout w:type="fixed"/>
        <w:tblInd w:w="360" w:type="dxa"/>
        <w:tblCellMar>
          <w:top w:w="0" w:type="dxa"/>
          <w:left w:w="0" w:type="dxa"/>
          <w:bottom w:w="0" w:type="dxa"/>
          <w:right w:w="0" w:type="dxa"/>
        </w:tblCellMar>
      </w:tblPr>
      <w:tr>
        <w:trPr>
          <w:trHeight w:val="169"/>
        </w:trPr>
        <w:tc>
          <w:tcPr>
            <w:tcW w:w="498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WesternGeco A.S., Norway (a)</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4980" w:type="dxa"/>
            <w:vAlign w:val="bottom"/>
          </w:tcPr>
          <w:p>
            <w:pPr>
              <w:spacing w:after="0"/>
              <w:rPr>
                <w:sz w:val="20"/>
                <w:szCs w:val="20"/>
                <w:color w:val="auto"/>
              </w:rPr>
            </w:pPr>
            <w:r>
              <w:rPr>
                <w:rFonts w:ascii="Courier New" w:cs="Courier New" w:eastAsia="Courier New" w:hAnsi="Courier New"/>
                <w:sz w:val="15"/>
                <w:szCs w:val="15"/>
                <w:color w:val="auto"/>
              </w:rPr>
              <w:t>Schlumberger Offshore Services N.V. (Limited),</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Netherlands Antilles (a)</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12(a)</w:t>
            </w:r>
          </w:p>
        </w:tc>
      </w:tr>
      <w:tr>
        <w:trPr>
          <w:trHeight w:val="168"/>
        </w:trPr>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Schlumberger Antilles N.V., Netherlands Antilles (a)</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980" w:type="dxa"/>
            <w:vAlign w:val="bottom"/>
          </w:tcPr>
          <w:p>
            <w:pPr>
              <w:spacing w:after="0"/>
              <w:rPr>
                <w:sz w:val="20"/>
                <w:szCs w:val="20"/>
                <w:color w:val="auto"/>
              </w:rPr>
            </w:pPr>
            <w:r>
              <w:rPr>
                <w:rFonts w:ascii="Courier New" w:cs="Courier New" w:eastAsia="Courier New" w:hAnsi="Courier New"/>
                <w:sz w:val="15"/>
                <w:szCs w:val="15"/>
                <w:color w:val="auto"/>
              </w:rPr>
              <w:t>Schlumberger Overseas, S.A., Panama (c)</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1(a)/3/ 178(a)/4/</w:t>
            </w:r>
          </w:p>
        </w:tc>
      </w:tr>
      <w:tr>
        <w:trPr>
          <w:trHeight w:val="168"/>
        </w:trPr>
        <w:tc>
          <w:tcPr>
            <w:tcW w:w="49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1(b)</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69(b)/5/</w:t>
            </w:r>
          </w:p>
        </w:tc>
      </w:tr>
      <w:tr>
        <w:trPr>
          <w:trHeight w:val="168"/>
        </w:trPr>
        <w:tc>
          <w:tcPr>
            <w:tcW w:w="4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12(c)</w:t>
            </w:r>
          </w:p>
        </w:tc>
      </w:tr>
      <w:tr>
        <w:trPr>
          <w:trHeight w:val="168"/>
        </w:trPr>
        <w:tc>
          <w:tcPr>
            <w:tcW w:w="4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MC&amp;C Holdings Limited, BVI (c)</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Schlumberger Plc, UK (c)</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Sema International Limited, UK (b)</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Sema UK Limited, UK (b)</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*WesternGeco Limited, UK (a)</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Oilfield Holdings Limited, BVI (a)</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Anadrill Holdings Limited, BVI (a)</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Dowell Schlumberger Corporation, BVI (a)</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Schlumberger Holdings Limited, BVI (a)</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Schlumberger Surenco, S.A., Panama (a)</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8"/>
              </w:rPr>
              <w:t>*WesternGeco Seismic Holdings Limited, BVI (a)</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4980" w:type="dxa"/>
            <w:vAlign w:val="bottom"/>
          </w:tcPr>
          <w:p>
            <w:pPr>
              <w:spacing w:after="0"/>
              <w:rPr>
                <w:sz w:val="20"/>
                <w:szCs w:val="20"/>
                <w:color w:val="auto"/>
              </w:rPr>
            </w:pPr>
            <w:r>
              <w:rPr>
                <w:rFonts w:ascii="Courier New" w:cs="Courier New" w:eastAsia="Courier New" w:hAnsi="Courier New"/>
                <w:sz w:val="15"/>
                <w:szCs w:val="15"/>
                <w:color w:val="auto"/>
              </w:rPr>
              <w:t>Schlumberger Technology Corporation, Texas (c)</w:t>
            </w:r>
          </w:p>
        </w:tc>
        <w:tc>
          <w:tcPr>
            <w:tcW w:w="1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11(a)/6/ 12(a)/7/</w:t>
            </w:r>
          </w:p>
        </w:tc>
      </w:tr>
      <w:tr>
        <w:trPr>
          <w:trHeight w:val="168"/>
        </w:trPr>
        <w:tc>
          <w:tcPr>
            <w:tcW w:w="49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14(b)</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5(b)</w:t>
            </w:r>
          </w:p>
        </w:tc>
      </w:tr>
      <w:tr>
        <w:trPr>
          <w:trHeight w:val="168"/>
        </w:trPr>
        <w:tc>
          <w:tcPr>
            <w:tcW w:w="49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3(c)</w:t>
            </w:r>
          </w:p>
        </w:tc>
        <w:tc>
          <w:tcPr>
            <w:tcW w:w="960" w:type="dxa"/>
            <w:vAlign w:val="bottom"/>
          </w:tcPr>
          <w:p>
            <w:pPr>
              <w:spacing w:after="0"/>
              <w:rPr>
                <w:sz w:val="14"/>
                <w:szCs w:val="14"/>
                <w:color w:val="auto"/>
              </w:rPr>
            </w:pPr>
          </w:p>
        </w:tc>
      </w:tr>
      <w:tr>
        <w:trPr>
          <w:trHeight w:val="168"/>
        </w:trPr>
        <w:tc>
          <w:tcPr>
            <w:tcW w:w="49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1(d)</w:t>
            </w:r>
          </w:p>
        </w:tc>
        <w:tc>
          <w:tcPr>
            <w:tcW w:w="960" w:type="dxa"/>
            <w:vAlign w:val="bottom"/>
          </w:tcPr>
          <w:p>
            <w:pPr>
              <w:spacing w:after="0"/>
              <w:rPr>
                <w:sz w:val="14"/>
                <w:szCs w:val="14"/>
                <w:color w:val="auto"/>
              </w:rPr>
            </w:pPr>
          </w:p>
        </w:tc>
      </w:tr>
      <w:tr>
        <w:trPr>
          <w:trHeight w:val="168"/>
        </w:trPr>
        <w:tc>
          <w:tcPr>
            <w:tcW w:w="4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Omnes, Inc., (Delaware) (a)</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ind w:left="800"/>
        <w:spacing w:after="0" w:line="237" w:lineRule="auto"/>
        <w:rPr>
          <w:sz w:val="20"/>
          <w:szCs w:val="20"/>
          <w:color w:val="auto"/>
        </w:rPr>
      </w:pPr>
      <w:r>
        <w:rPr>
          <w:rFonts w:ascii="Courier New" w:cs="Courier New" w:eastAsia="Courier New" w:hAnsi="Courier New"/>
          <w:sz w:val="15"/>
          <w:szCs w:val="15"/>
          <w:color w:val="auto"/>
        </w:rPr>
        <w:t>SchlumbergerSema, Inc., Delaware (b)</w:t>
      </w:r>
    </w:p>
    <w:p>
      <w:pPr>
        <w:ind w:left="800"/>
        <w:spacing w:after="0" w:line="238" w:lineRule="auto"/>
        <w:rPr>
          <w:sz w:val="20"/>
          <w:szCs w:val="20"/>
          <w:color w:val="auto"/>
        </w:rPr>
      </w:pPr>
      <w:r>
        <w:rPr>
          <w:rFonts w:ascii="Courier New" w:cs="Courier New" w:eastAsia="Courier New" w:hAnsi="Courier New"/>
          <w:sz w:val="15"/>
          <w:szCs w:val="15"/>
          <w:color w:val="auto"/>
        </w:rPr>
        <w:t>Schlumberger Technologies, Inc., Delaware (b)</w:t>
      </w:r>
    </w:p>
    <w:p>
      <w:pPr>
        <w:ind w:left="800"/>
        <w:spacing w:after="0" w:line="237" w:lineRule="auto"/>
        <w:rPr>
          <w:sz w:val="20"/>
          <w:szCs w:val="20"/>
          <w:color w:val="auto"/>
        </w:rPr>
      </w:pPr>
      <w:r>
        <w:rPr>
          <w:rFonts w:ascii="Courier New" w:cs="Courier New" w:eastAsia="Courier New" w:hAnsi="Courier New"/>
          <w:sz w:val="15"/>
          <w:szCs w:val="15"/>
          <w:color w:val="auto"/>
        </w:rPr>
        <w:t>*WesternGeco L.L.C., Delaware (a)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 owned by Registrant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w:t>
      </w:r>
    </w:p>
    <w:p>
      <w:pPr>
        <w:spacing w:after="0" w:line="5" w:lineRule="exact"/>
        <w:rPr>
          <w:sz w:val="20"/>
          <w:szCs w:val="20"/>
          <w:color w:val="auto"/>
        </w:rPr>
      </w:pPr>
    </w:p>
    <w:p>
      <w:pPr>
        <w:ind w:left="360" w:right="3499"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/1/</w:t>
        <w:tab/>
        <w:t>Includes four majority-owned subsidiaries, one of which is named, and two 50%-owned subsidiaries, which are not named.</w:t>
      </w:r>
    </w:p>
    <w:p>
      <w:pPr>
        <w:spacing w:after="0" w:line="5" w:lineRule="exact"/>
        <w:rPr>
          <w:sz w:val="20"/>
          <w:szCs w:val="20"/>
          <w:color w:val="auto"/>
        </w:rPr>
      </w:pPr>
    </w:p>
    <w:p>
      <w:pPr>
        <w:ind w:left="360" w:right="3319"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/2/</w:t>
        <w:tab/>
        <w:t>Includes five majority-owned subsidiaries and three 50%-owned subsidiaries, which are not named.</w:t>
      </w:r>
    </w:p>
    <w:p>
      <w:pPr>
        <w:spacing w:after="0" w:line="237" w:lineRule="auto"/>
        <w:rPr>
          <w:sz w:val="20"/>
          <w:szCs w:val="20"/>
          <w:color w:val="auto"/>
        </w:rPr>
      </w:pPr>
      <w:r>
        <w:rPr>
          <w:rFonts w:ascii="Courier New" w:cs="Courier New" w:eastAsia="Courier New" w:hAnsi="Courier New"/>
          <w:sz w:val="15"/>
          <w:szCs w:val="15"/>
          <w:color w:val="auto"/>
        </w:rPr>
        <w:t>/3/ Includes one majority-owned subsidiary, which is not named.</w:t>
      </w:r>
    </w:p>
    <w:p>
      <w:pPr>
        <w:spacing w:after="0" w:line="5" w:lineRule="exact"/>
        <w:rPr>
          <w:sz w:val="20"/>
          <w:szCs w:val="20"/>
          <w:color w:val="auto"/>
        </w:rPr>
      </w:pPr>
    </w:p>
    <w:p>
      <w:pPr>
        <w:ind w:left="360" w:right="3579"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/4/</w:t>
        <w:tab/>
        <w:t>Includes twelve majority-owned subsidiaries, two of which are named, and three 50%-owned subsidiaries, which are not named.</w:t>
      </w:r>
    </w:p>
    <w:p>
      <w:pPr>
        <w:spacing w:after="0" w:line="237" w:lineRule="auto"/>
        <w:rPr>
          <w:sz w:val="20"/>
          <w:szCs w:val="20"/>
          <w:color w:val="auto"/>
        </w:rPr>
      </w:pPr>
      <w:r>
        <w:rPr>
          <w:rFonts w:ascii="Courier New" w:cs="Courier New" w:eastAsia="Courier New" w:hAnsi="Courier New"/>
          <w:sz w:val="15"/>
          <w:szCs w:val="15"/>
          <w:color w:val="auto"/>
        </w:rPr>
        <w:t>/5/ Includes five majority-owned subsidiaries, which are not named.</w:t>
      </w:r>
    </w:p>
    <w:p>
      <w:pPr>
        <w:spacing w:after="0" w:line="5" w:lineRule="exact"/>
        <w:rPr>
          <w:sz w:val="20"/>
          <w:szCs w:val="20"/>
          <w:color w:val="auto"/>
        </w:rPr>
      </w:pPr>
    </w:p>
    <w:p>
      <w:pPr>
        <w:ind w:left="360" w:right="3579"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/6/</w:t>
        <w:tab/>
        <w:t>Includes two majority-owned subsidiaries, one of which is named, and one 50%-owned subsidiary, which is not named.</w:t>
      </w:r>
    </w:p>
    <w:p>
      <w:pPr>
        <w:spacing w:after="0" w:line="237" w:lineRule="auto"/>
        <w:rPr>
          <w:sz w:val="20"/>
          <w:szCs w:val="20"/>
          <w:color w:val="auto"/>
        </w:rPr>
      </w:pPr>
      <w:r>
        <w:rPr>
          <w:rFonts w:ascii="Courier New" w:cs="Courier New" w:eastAsia="Courier New" w:hAnsi="Courier New"/>
          <w:sz w:val="15"/>
          <w:szCs w:val="15"/>
          <w:color w:val="auto"/>
        </w:rPr>
        <w:t>/7/ Includes two majority-owned subsidiaries, which are not named.</w:t>
      </w:r>
    </w:p>
    <w:p>
      <w:pPr>
        <w:sectPr>
          <w:pgSz w:w="11900" w:h="16838" w:orient="portrait"/>
          <w:cols w:equalWidth="0" w:num="1">
            <w:col w:w="10239"/>
          </w:cols>
          <w:pgMar w:left="220" w:top="471" w:right="1440" w:bottom="1440" w:gutter="0" w:footer="0" w:header="0"/>
          <w:type w:val="continuous"/>
        </w:sectPr>
      </w:pPr>
    </w:p>
    <w:bookmarkStart w:id="71" w:name="page72"/>
    <w:bookmarkEnd w:id="71"/>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(Nos. 33-35606; 33-47592; 33-86424; 33-40227; 333-62545; 333-36366; 333-33364; 333-67330) of Schlumberger Limited of our report dated January 22, 2002 relating to the financial statements and financial statement schedules, which appears in this Form 10-K.</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PricewaterhouseCoopers LLP</w:t>
      </w:r>
    </w:p>
    <w:p>
      <w:pPr>
        <w:ind w:left="3860"/>
        <w:spacing w:after="0" w:line="237" w:lineRule="auto"/>
        <w:rPr>
          <w:sz w:val="20"/>
          <w:szCs w:val="20"/>
          <w:color w:val="auto"/>
        </w:rPr>
      </w:pPr>
      <w:r>
        <w:rPr>
          <w:rFonts w:ascii="Courier New" w:cs="Courier New" w:eastAsia="Courier New" w:hAnsi="Courier New"/>
          <w:sz w:val="15"/>
          <w:szCs w:val="15"/>
          <w:color w:val="auto"/>
        </w:rPr>
        <w:t>New York, New York</w:t>
      </w:r>
    </w:p>
    <w:p>
      <w:pPr>
        <w:ind w:left="3860"/>
        <w:spacing w:after="0" w:line="238" w:lineRule="auto"/>
        <w:rPr>
          <w:sz w:val="20"/>
          <w:szCs w:val="20"/>
          <w:color w:val="auto"/>
        </w:rPr>
      </w:pPr>
      <w:r>
        <w:rPr>
          <w:rFonts w:ascii="Courier New" w:cs="Courier New" w:eastAsia="Courier New" w:hAnsi="Courier New"/>
          <w:sz w:val="15"/>
          <w:szCs w:val="15"/>
          <w:color w:val="auto"/>
        </w:rPr>
        <w:t>February 28, 2002</w:t>
      </w:r>
    </w:p>
    <w:p>
      <w:pPr>
        <w:sectPr>
          <w:pgSz w:w="11900" w:h="16838" w:orient="portrait"/>
          <w:cols w:equalWidth="0" w:num="1">
            <w:col w:w="10239"/>
          </w:cols>
          <w:pgMar w:left="220" w:top="471" w:right="1440" w:bottom="1440" w:gutter="0" w:footer="0" w:header="0"/>
        </w:sectPr>
      </w:pPr>
    </w:p>
    <w:bookmarkStart w:id="72" w:name="page73"/>
    <w:bookmarkEnd w:id="72"/>
    <w:p>
      <w:pPr>
        <w:jc w:val="right"/>
        <w:ind w:right="3239"/>
        <w:spacing w:after="0"/>
        <w:rPr>
          <w:sz w:val="20"/>
          <w:szCs w:val="20"/>
          <w:color w:val="auto"/>
        </w:rPr>
      </w:pPr>
      <w:r>
        <w:rPr>
          <w:rFonts w:ascii="Courier New" w:cs="Courier New" w:eastAsia="Courier New" w:hAnsi="Courier New"/>
          <w:sz w:val="15"/>
          <w:szCs w:val="15"/>
          <w:color w:val="auto"/>
        </w:rPr>
        <w:t>Exhibit 24(a)</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2900" w:space="520"/>
            <w:col w:w="68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2900" w:space="520"/>
            <w:col w:w="68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2900" w:space="520"/>
            <w:col w:w="68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2900" w:space="520"/>
            <w:col w:w="68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2900" w:space="520"/>
            <w:col w:w="68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2900" w:space="520"/>
            <w:col w:w="6819"/>
          </w:cols>
          <w:pgMar w:left="220" w:top="471" w:right="1440" w:bottom="1440" w:gutter="0" w:footer="0" w:header="0"/>
          <w:type w:val="continuous"/>
        </w:sectPr>
      </w:pPr>
    </w:p>
    <w:p>
      <w:pPr>
        <w:jc w:val="right"/>
        <w:ind w:right="8039"/>
        <w:spacing w:after="0"/>
        <w:rPr>
          <w:sz w:val="20"/>
          <w:szCs w:val="20"/>
          <w:color w:val="auto"/>
        </w:rPr>
      </w:pPr>
      <w:r>
        <w:rPr>
          <w:rFonts w:ascii="Courier New" w:cs="Courier New" w:eastAsia="Courier New" w:hAnsi="Courier New"/>
          <w:sz w:val="14"/>
          <w:szCs w:val="14"/>
          <w:color w:val="auto"/>
        </w:rPr>
        <w:t>Date: January 17, 2002</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71" w:right="1440" w:bottom="1440" w:gutter="0" w:footer="0" w:header="0"/>
          <w:type w:val="continuous"/>
        </w:sectPr>
      </w:pPr>
    </w:p>
    <w:bookmarkStart w:id="73" w:name="page74"/>
    <w:bookmarkEnd w:id="73"/>
    <w:p>
      <w:pPr>
        <w:ind w:left="5860"/>
        <w:spacing w:after="0"/>
        <w:rPr>
          <w:sz w:val="20"/>
          <w:szCs w:val="20"/>
          <w:color w:val="auto"/>
        </w:rPr>
      </w:pPr>
      <w:r>
        <w:rPr>
          <w:rFonts w:ascii="Courier New" w:cs="Courier New" w:eastAsia="Courier New" w:hAnsi="Courier New"/>
          <w:sz w:val="14"/>
          <w:szCs w:val="14"/>
          <w:color w:val="auto"/>
        </w:rPr>
        <w:t>Exhibit 24(b)</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2900" w:space="700"/>
            <w:col w:w="6639"/>
          </w:cols>
          <w:pgMar w:left="220" w:top="478" w:right="1440" w:bottom="1440" w:gutter="0" w:footer="0" w:header="0"/>
          <w:type w:val="continuous"/>
        </w:sectPr>
      </w:pPr>
    </w:p>
    <w:p>
      <w:pPr>
        <w:spacing w:after="0" w:line="1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36" w:lineRule="exact"/>
        <w:rPr>
          <w:sz w:val="20"/>
          <w:szCs w:val="20"/>
          <w:color w:val="auto"/>
        </w:rPr>
      </w:pPr>
    </w:p>
    <w:p>
      <w:pPr>
        <w:sectPr>
          <w:pgSz w:w="11900" w:h="16838" w:orient="portrait"/>
          <w:cols w:equalWidth="0" w:num="2">
            <w:col w:w="3080" w:space="520"/>
            <w:col w:w="663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2900" w:space="700"/>
            <w:col w:w="663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68" w:lineRule="exact"/>
        <w:rPr>
          <w:sz w:val="20"/>
          <w:szCs w:val="20"/>
          <w:color w:val="auto"/>
        </w:rPr>
      </w:pPr>
    </w:p>
    <w:p>
      <w:pPr>
        <w:sectPr>
          <w:pgSz w:w="11900" w:h="16838" w:orient="portrait"/>
          <w:cols w:equalWidth="0" w:num="2">
            <w:col w:w="2900" w:space="700"/>
            <w:col w:w="6639"/>
          </w:cols>
          <w:pgMar w:left="220" w:top="478"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2900" w:space="700"/>
            <w:col w:w="663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2900" w:space="700"/>
            <w:col w:w="6639"/>
          </w:cols>
          <w:pgMar w:left="220" w:top="478"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17, 2002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00" w:space="180"/>
            <w:col w:w="9359"/>
          </w:cols>
          <w:pgMar w:left="220" w:top="478" w:right="1440" w:bottom="1440" w:gutter="0" w:footer="0" w:header="0"/>
          <w:type w:val="continuous"/>
        </w:sectPr>
      </w:pPr>
    </w:p>
    <w:bookmarkStart w:id="74" w:name="page75"/>
    <w:bookmarkEnd w:id="74"/>
    <w:p>
      <w:pPr>
        <w:jc w:val="right"/>
        <w:ind w:right="3239"/>
        <w:spacing w:after="0"/>
        <w:rPr>
          <w:sz w:val="20"/>
          <w:szCs w:val="20"/>
          <w:color w:val="auto"/>
        </w:rPr>
      </w:pPr>
      <w:r>
        <w:rPr>
          <w:rFonts w:ascii="Courier New" w:cs="Courier New" w:eastAsia="Courier New" w:hAnsi="Courier New"/>
          <w:sz w:val="15"/>
          <w:szCs w:val="15"/>
          <w:color w:val="auto"/>
        </w:rPr>
        <w:t>Exhibit 24(c)</w:t>
      </w:r>
    </w:p>
    <w:p>
      <w:pPr>
        <w:ind w:left="2720"/>
        <w:spacing w:after="0" w:line="237"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2980" w:space="360"/>
            <w:col w:w="689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36" w:lineRule="exact"/>
        <w:rPr>
          <w:sz w:val="20"/>
          <w:szCs w:val="20"/>
          <w:color w:val="auto"/>
        </w:rPr>
      </w:pPr>
    </w:p>
    <w:p>
      <w:pPr>
        <w:sectPr>
          <w:pgSz w:w="11900" w:h="16838" w:orient="portrait"/>
          <w:cols w:equalWidth="0" w:num="2">
            <w:col w:w="2980" w:space="360"/>
            <w:col w:w="6899"/>
          </w:cols>
          <w:pgMar w:left="220" w:top="47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160" w:space="180"/>
            <w:col w:w="689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2980" w:space="360"/>
            <w:col w:w="689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2980" w:space="360"/>
            <w:col w:w="689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2980" w:space="360"/>
            <w:col w:w="6899"/>
          </w:cols>
          <w:pgMar w:left="220" w:top="471" w:right="1440" w:bottom="1440" w:gutter="0" w:footer="0" w:header="0"/>
          <w:type w:val="continuous"/>
        </w:sectPr>
      </w:pPr>
    </w:p>
    <w:p>
      <w:pPr>
        <w:jc w:val="right"/>
        <w:ind w:right="7959"/>
        <w:spacing w:after="0"/>
        <w:rPr>
          <w:sz w:val="20"/>
          <w:szCs w:val="20"/>
          <w:color w:val="auto"/>
        </w:rPr>
      </w:pPr>
      <w:r>
        <w:rPr>
          <w:rFonts w:ascii="Courier New" w:cs="Courier New" w:eastAsia="Courier New" w:hAnsi="Courier New"/>
          <w:sz w:val="14"/>
          <w:szCs w:val="14"/>
          <w:color w:val="auto"/>
        </w:rPr>
        <w:t>Date: January 17, 2002</w:t>
      </w:r>
    </w:p>
    <w:p>
      <w:pPr>
        <w:spacing w:after="0" w:line="3" w:lineRule="exact"/>
        <w:rPr>
          <w:sz w:val="20"/>
          <w:szCs w:val="20"/>
          <w:color w:val="auto"/>
        </w:rPr>
      </w:pPr>
    </w:p>
    <w:p>
      <w:pPr>
        <w:jc w:val="right"/>
        <w:ind w:right="795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71" w:right="1440" w:bottom="1440" w:gutter="0" w:footer="0" w:header="0"/>
          <w:type w:val="continuous"/>
        </w:sectPr>
      </w:pPr>
    </w:p>
    <w:bookmarkStart w:id="75" w:name="page76"/>
    <w:bookmarkEnd w:id="75"/>
    <w:p>
      <w:pPr>
        <w:ind w:left="5780"/>
        <w:spacing w:after="0"/>
        <w:rPr>
          <w:sz w:val="20"/>
          <w:szCs w:val="20"/>
          <w:color w:val="auto"/>
        </w:rPr>
      </w:pPr>
      <w:r>
        <w:rPr>
          <w:rFonts w:ascii="Courier New" w:cs="Courier New" w:eastAsia="Courier New" w:hAnsi="Courier New"/>
          <w:sz w:val="14"/>
          <w:szCs w:val="14"/>
          <w:color w:val="auto"/>
        </w:rPr>
        <w:t>Exhibit 24(d)</w:t>
      </w:r>
    </w:p>
    <w:p>
      <w:pPr>
        <w:spacing w:after="0" w:line="10"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ind w:left="1480"/>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700"/>
            <w:col w:w="6119"/>
          </w:cols>
          <w:pgMar w:left="220" w:top="47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420" w:space="700"/>
            <w:col w:w="6119"/>
          </w:cols>
          <w:pgMar w:left="220" w:top="47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420" w:space="700"/>
            <w:col w:w="6119"/>
          </w:cols>
          <w:pgMar w:left="220" w:top="478"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600" w:space="520"/>
            <w:col w:w="6119"/>
          </w:cols>
          <w:pgMar w:left="220" w:top="47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700"/>
            <w:col w:w="6119"/>
          </w:cols>
          <w:pgMar w:left="220" w:top="47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700"/>
            <w:col w:w="6119"/>
          </w:cols>
          <w:pgMar w:left="220" w:top="478"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17, 2002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00" w:space="180"/>
            <w:col w:w="9359"/>
          </w:cols>
          <w:pgMar w:left="220" w:top="478" w:right="1440" w:bottom="1440" w:gutter="0" w:footer="0" w:header="0"/>
          <w:type w:val="continuous"/>
        </w:sectPr>
      </w:pPr>
    </w:p>
    <w:bookmarkStart w:id="76" w:name="page77"/>
    <w:bookmarkEnd w:id="76"/>
    <w:p>
      <w:pPr>
        <w:ind w:left="5860"/>
        <w:spacing w:after="0"/>
        <w:rPr>
          <w:sz w:val="20"/>
          <w:szCs w:val="20"/>
          <w:color w:val="auto"/>
        </w:rPr>
      </w:pPr>
      <w:r>
        <w:rPr>
          <w:rFonts w:ascii="Courier New" w:cs="Courier New" w:eastAsia="Courier New" w:hAnsi="Courier New"/>
          <w:sz w:val="14"/>
          <w:szCs w:val="14"/>
          <w:color w:val="auto"/>
        </w:rPr>
        <w:t>Exhibit 24(e)</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36"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35"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420" w:space="620"/>
            <w:col w:w="619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jc w:val="right"/>
        <w:ind w:right="7959"/>
        <w:spacing w:after="0"/>
        <w:rPr>
          <w:sz w:val="20"/>
          <w:szCs w:val="20"/>
          <w:color w:val="auto"/>
        </w:rPr>
      </w:pPr>
      <w:r>
        <w:rPr>
          <w:rFonts w:ascii="Courier New" w:cs="Courier New" w:eastAsia="Courier New" w:hAnsi="Courier New"/>
          <w:sz w:val="14"/>
          <w:szCs w:val="14"/>
          <w:color w:val="auto"/>
        </w:rPr>
        <w:t>Date: January 17, 2002</w:t>
      </w:r>
    </w:p>
    <w:p>
      <w:pPr>
        <w:spacing w:after="0" w:line="3" w:lineRule="exact"/>
        <w:rPr>
          <w:sz w:val="20"/>
          <w:szCs w:val="20"/>
          <w:color w:val="auto"/>
        </w:rPr>
      </w:pPr>
    </w:p>
    <w:p>
      <w:pPr>
        <w:jc w:val="right"/>
        <w:ind w:right="795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78" w:right="1440" w:bottom="1440" w:gutter="0" w:footer="0" w:header="0"/>
          <w:type w:val="continuous"/>
        </w:sectPr>
      </w:pPr>
    </w:p>
    <w:bookmarkStart w:id="77" w:name="page78"/>
    <w:bookmarkEnd w:id="77"/>
    <w:p>
      <w:pPr>
        <w:ind w:left="5860"/>
        <w:spacing w:after="0"/>
        <w:rPr>
          <w:sz w:val="20"/>
          <w:szCs w:val="20"/>
          <w:color w:val="auto"/>
        </w:rPr>
      </w:pPr>
      <w:r>
        <w:rPr>
          <w:rFonts w:ascii="Courier New" w:cs="Courier New" w:eastAsia="Courier New" w:hAnsi="Courier New"/>
          <w:sz w:val="14"/>
          <w:szCs w:val="14"/>
          <w:color w:val="auto"/>
        </w:rPr>
        <w:t>Exhibit 24(f)</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00"/>
            <w:col w:w="603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36" w:lineRule="exact"/>
        <w:rPr>
          <w:sz w:val="20"/>
          <w:szCs w:val="20"/>
          <w:color w:val="auto"/>
        </w:rPr>
      </w:pPr>
    </w:p>
    <w:p>
      <w:pPr>
        <w:sectPr>
          <w:pgSz w:w="11900" w:h="16838" w:orient="portrait"/>
          <w:cols w:equalWidth="0" w:num="2">
            <w:col w:w="3500" w:space="700"/>
            <w:col w:w="603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00"/>
            <w:col w:w="603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68" w:lineRule="exact"/>
        <w:rPr>
          <w:sz w:val="20"/>
          <w:szCs w:val="20"/>
          <w:color w:val="auto"/>
        </w:rPr>
      </w:pPr>
    </w:p>
    <w:p>
      <w:pPr>
        <w:sectPr>
          <w:pgSz w:w="11900" w:h="16838" w:orient="portrait"/>
          <w:cols w:equalWidth="0" w:num="2">
            <w:col w:w="3500" w:space="700"/>
            <w:col w:w="6039"/>
          </w:cols>
          <w:pgMar w:left="220" w:top="478"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500" w:space="700"/>
            <w:col w:w="6039"/>
          </w:cols>
          <w:pgMar w:left="220" w:top="478"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680" w:space="520"/>
            <w:col w:w="6039"/>
          </w:cols>
          <w:pgMar w:left="220" w:top="478" w:right="1440" w:bottom="1440" w:gutter="0" w:footer="0" w:header="0"/>
          <w:type w:val="continuous"/>
        </w:sectPr>
      </w:pPr>
    </w:p>
    <w:p>
      <w:pPr>
        <w:jc w:val="right"/>
        <w:ind w:right="8039"/>
        <w:spacing w:after="0"/>
        <w:rPr>
          <w:sz w:val="20"/>
          <w:szCs w:val="20"/>
          <w:color w:val="auto"/>
        </w:rPr>
      </w:pPr>
      <w:r>
        <w:rPr>
          <w:rFonts w:ascii="Courier New" w:cs="Courier New" w:eastAsia="Courier New" w:hAnsi="Courier New"/>
          <w:sz w:val="14"/>
          <w:szCs w:val="14"/>
          <w:color w:val="auto"/>
        </w:rPr>
        <w:t>Date: February 15, 2002</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78" w:right="1440" w:bottom="1440" w:gutter="0" w:footer="0" w:header="0"/>
          <w:type w:val="continuous"/>
        </w:sectPr>
      </w:pPr>
    </w:p>
    <w:bookmarkStart w:id="78" w:name="page79"/>
    <w:bookmarkEnd w:id="78"/>
    <w:p>
      <w:pPr>
        <w:jc w:val="right"/>
        <w:ind w:right="3239"/>
        <w:spacing w:after="0"/>
        <w:rPr>
          <w:sz w:val="20"/>
          <w:szCs w:val="20"/>
          <w:color w:val="auto"/>
        </w:rPr>
      </w:pPr>
      <w:r>
        <w:rPr>
          <w:rFonts w:ascii="Courier New" w:cs="Courier New" w:eastAsia="Courier New" w:hAnsi="Courier New"/>
          <w:sz w:val="15"/>
          <w:szCs w:val="15"/>
          <w:color w:val="auto"/>
        </w:rPr>
        <w:t>Exhibit 24(g)</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240" w:space="540"/>
            <w:col w:w="645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36" w:lineRule="exact"/>
        <w:rPr>
          <w:sz w:val="20"/>
          <w:szCs w:val="20"/>
          <w:color w:val="auto"/>
        </w:rPr>
      </w:pPr>
    </w:p>
    <w:p>
      <w:pPr>
        <w:sectPr>
          <w:pgSz w:w="11900" w:h="16838" w:orient="portrait"/>
          <w:cols w:equalWidth="0" w:num="2">
            <w:col w:w="3240" w:space="540"/>
            <w:col w:w="645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240" w:space="540"/>
            <w:col w:w="645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68" w:lineRule="exact"/>
        <w:rPr>
          <w:sz w:val="20"/>
          <w:szCs w:val="20"/>
          <w:color w:val="auto"/>
        </w:rPr>
      </w:pPr>
    </w:p>
    <w:p>
      <w:pPr>
        <w:sectPr>
          <w:pgSz w:w="11900" w:h="16838" w:orient="portrait"/>
          <w:cols w:equalWidth="0" w:num="2">
            <w:col w:w="3240" w:space="540"/>
            <w:col w:w="6459"/>
          </w:cols>
          <w:pgMar w:left="220" w:top="471"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240" w:space="540"/>
            <w:col w:w="645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40" w:space="540"/>
            <w:col w:w="6459"/>
          </w:cols>
          <w:pgMar w:left="220" w:top="471" w:right="1440" w:bottom="1440" w:gutter="0" w:footer="0" w:header="0"/>
          <w:type w:val="continuous"/>
        </w:sectPr>
      </w:pPr>
    </w:p>
    <w:p>
      <w:pPr>
        <w:jc w:val="right"/>
        <w:ind w:right="8039"/>
        <w:spacing w:after="0"/>
        <w:rPr>
          <w:sz w:val="20"/>
          <w:szCs w:val="20"/>
          <w:color w:val="auto"/>
        </w:rPr>
      </w:pPr>
      <w:r>
        <w:rPr>
          <w:rFonts w:ascii="Courier New" w:cs="Courier New" w:eastAsia="Courier New" w:hAnsi="Courier New"/>
          <w:sz w:val="14"/>
          <w:szCs w:val="14"/>
          <w:color w:val="auto"/>
        </w:rPr>
        <w:t>Date: January 17, 2002</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71" w:right="1440" w:bottom="1440" w:gutter="0" w:footer="0" w:header="0"/>
          <w:type w:val="continuous"/>
        </w:sectPr>
      </w:pPr>
    </w:p>
    <w:bookmarkStart w:id="79" w:name="page80"/>
    <w:bookmarkEnd w:id="79"/>
    <w:p>
      <w:pPr>
        <w:jc w:val="right"/>
        <w:ind w:right="3239"/>
        <w:spacing w:after="0"/>
        <w:rPr>
          <w:sz w:val="20"/>
          <w:szCs w:val="20"/>
          <w:color w:val="auto"/>
        </w:rPr>
      </w:pPr>
      <w:r>
        <w:rPr>
          <w:rFonts w:ascii="Courier New" w:cs="Courier New" w:eastAsia="Courier New" w:hAnsi="Courier New"/>
          <w:sz w:val="15"/>
          <w:szCs w:val="15"/>
          <w:color w:val="auto"/>
        </w:rPr>
        <w:t>Exhibit 24(h)</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2980" w:space="440"/>
            <w:col w:w="6819"/>
          </w:cols>
          <w:pgMar w:left="220" w:top="471" w:right="1440"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36" w:lineRule="exact"/>
        <w:rPr>
          <w:sz w:val="20"/>
          <w:szCs w:val="20"/>
          <w:color w:val="auto"/>
        </w:rPr>
      </w:pPr>
    </w:p>
    <w:p>
      <w:pPr>
        <w:sectPr>
          <w:pgSz w:w="11900" w:h="16838" w:orient="portrait"/>
          <w:cols w:equalWidth="0" w:num="2">
            <w:col w:w="2980" w:space="440"/>
            <w:col w:w="681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2980" w:space="440"/>
            <w:col w:w="681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68" w:lineRule="exact"/>
        <w:rPr>
          <w:sz w:val="20"/>
          <w:szCs w:val="20"/>
          <w:color w:val="auto"/>
        </w:rPr>
      </w:pPr>
    </w:p>
    <w:p>
      <w:pPr>
        <w:sectPr>
          <w:pgSz w:w="11900" w:h="16838" w:orient="portrait"/>
          <w:cols w:equalWidth="0" w:num="2">
            <w:col w:w="2980" w:space="440"/>
            <w:col w:w="6819"/>
          </w:cols>
          <w:pgMar w:left="220" w:top="471"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2980" w:space="440"/>
            <w:col w:w="681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2980" w:space="440"/>
            <w:col w:w="68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17, 2002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440" w:space="180"/>
            <w:col w:w="9619"/>
          </w:cols>
          <w:pgMar w:left="220" w:top="471" w:right="1440" w:bottom="1440" w:gutter="0" w:footer="0" w:header="0"/>
          <w:type w:val="continuous"/>
        </w:sectPr>
      </w:pPr>
    </w:p>
    <w:bookmarkStart w:id="80" w:name="page81"/>
    <w:bookmarkEnd w:id="80"/>
    <w:p>
      <w:pPr>
        <w:jc w:val="right"/>
        <w:ind w:right="3239"/>
        <w:spacing w:after="0"/>
        <w:rPr>
          <w:sz w:val="20"/>
          <w:szCs w:val="20"/>
          <w:color w:val="auto"/>
        </w:rPr>
      </w:pPr>
      <w:r>
        <w:rPr>
          <w:rFonts w:ascii="Courier New" w:cs="Courier New" w:eastAsia="Courier New" w:hAnsi="Courier New"/>
          <w:sz w:val="15"/>
          <w:szCs w:val="15"/>
          <w:color w:val="auto"/>
        </w:rPr>
        <w:t>Exhibit 24(i)</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240" w:space="440"/>
            <w:col w:w="655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3" w:lineRule="exact"/>
        <w:rPr>
          <w:sz w:val="20"/>
          <w:szCs w:val="20"/>
          <w:color w:val="auto"/>
        </w:rPr>
      </w:pPr>
    </w:p>
    <w:p>
      <w:pPr>
        <w:sectPr>
          <w:pgSz w:w="11900" w:h="16838" w:orient="portrait"/>
          <w:cols w:equalWidth="0" w:num="2">
            <w:col w:w="3240" w:space="440"/>
            <w:col w:w="6559"/>
          </w:cols>
          <w:pgMar w:left="220" w:top="471"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ind w:left="14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240" w:space="440"/>
            <w:col w:w="655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68" w:lineRule="exact"/>
        <w:rPr>
          <w:sz w:val="20"/>
          <w:szCs w:val="20"/>
          <w:color w:val="auto"/>
        </w:rPr>
      </w:pPr>
    </w:p>
    <w:p>
      <w:pPr>
        <w:sectPr>
          <w:pgSz w:w="11900" w:h="16838" w:orient="portrait"/>
          <w:cols w:equalWidth="0" w:num="2">
            <w:col w:w="3240" w:space="440"/>
            <w:col w:w="6559"/>
          </w:cols>
          <w:pgMar w:left="220" w:top="471"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240" w:space="440"/>
            <w:col w:w="6559"/>
          </w:cols>
          <w:pgMar w:left="220" w:top="47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40" w:space="440"/>
            <w:col w:w="655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17, 2002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440" w:space="180"/>
            <w:col w:w="9619"/>
          </w:cols>
          <w:pgMar w:left="220" w:top="471" w:right="1440" w:bottom="1440" w:gutter="0" w:footer="0" w:header="0"/>
          <w:type w:val="continuous"/>
        </w:sectPr>
      </w:pPr>
    </w:p>
    <w:bookmarkStart w:id="81" w:name="page82"/>
    <w:bookmarkEnd w:id="81"/>
    <w:p>
      <w:pPr>
        <w:jc w:val="right"/>
        <w:ind w:right="3239"/>
        <w:spacing w:after="0"/>
        <w:rPr>
          <w:sz w:val="20"/>
          <w:szCs w:val="20"/>
          <w:color w:val="auto"/>
        </w:rPr>
      </w:pPr>
      <w:r>
        <w:rPr>
          <w:rFonts w:ascii="Courier New" w:cs="Courier New" w:eastAsia="Courier New" w:hAnsi="Courier New"/>
          <w:sz w:val="15"/>
          <w:szCs w:val="15"/>
          <w:color w:val="auto"/>
        </w:rPr>
        <w:t>Exhibit 24(j)</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239"/>
        <w:spacing w:after="0" w:line="509" w:lineRule="auto"/>
        <w:rPr>
          <w:sz w:val="20"/>
          <w:szCs w:val="20"/>
          <w:color w:val="auto"/>
        </w:rPr>
      </w:pPr>
      <w:r>
        <w:rPr>
          <w:rFonts w:ascii="Courier New" w:cs="Courier New" w:eastAsia="Courier New" w:hAnsi="Courier New"/>
          <w:sz w:val="14"/>
          <w:szCs w:val="14"/>
          <w:color w:val="auto"/>
        </w:rPr>
        <w:t>_________________________________________ William T. McCormick, Jr. Director</w:t>
      </w:r>
    </w:p>
    <w:p>
      <w:pPr>
        <w:spacing w:after="0" w:line="1" w:lineRule="exact"/>
        <w:rPr>
          <w:sz w:val="20"/>
          <w:szCs w:val="20"/>
          <w:color w:val="auto"/>
        </w:rPr>
      </w:pPr>
    </w:p>
    <w:p>
      <w:pPr>
        <w:sectPr>
          <w:pgSz w:w="11900" w:h="16838" w:orient="portrait"/>
          <w:cols w:equalWidth="0" w:num="2">
            <w:col w:w="3080" w:space="340"/>
            <w:col w:w="68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080" w:space="340"/>
            <w:col w:w="68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sectPr>
          <w:pgSz w:w="11900" w:h="16838" w:orient="portrait"/>
          <w:cols w:equalWidth="0" w:num="2">
            <w:col w:w="3080" w:space="340"/>
            <w:col w:w="6819"/>
          </w:cols>
          <w:pgMar w:left="220" w:top="471"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ind w:left="2100"/>
        <w:spacing w:after="0" w:line="238" w:lineRule="auto"/>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080" w:space="340"/>
            <w:col w:w="68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080" w:space="340"/>
            <w:col w:w="68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080" w:space="340"/>
            <w:col w:w="6819"/>
          </w:cols>
          <w:pgMar w:left="220" w:top="471" w:right="1440" w:bottom="1440" w:gutter="0" w:footer="0" w:header="0"/>
          <w:type w:val="continuous"/>
        </w:sectPr>
      </w:pPr>
    </w:p>
    <w:p>
      <w:pPr>
        <w:jc w:val="right"/>
        <w:ind w:right="8039"/>
        <w:spacing w:after="0"/>
        <w:rPr>
          <w:sz w:val="20"/>
          <w:szCs w:val="20"/>
          <w:color w:val="auto"/>
        </w:rPr>
      </w:pPr>
      <w:r>
        <w:rPr>
          <w:rFonts w:ascii="Courier New" w:cs="Courier New" w:eastAsia="Courier New" w:hAnsi="Courier New"/>
          <w:sz w:val="14"/>
          <w:szCs w:val="14"/>
          <w:color w:val="auto"/>
        </w:rPr>
        <w:t>Date: January 17, 2002</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71" w:right="1440" w:bottom="1440" w:gutter="0" w:footer="0" w:header="0"/>
          <w:type w:val="continuous"/>
        </w:sectPr>
      </w:pPr>
    </w:p>
    <w:bookmarkStart w:id="82" w:name="page83"/>
    <w:bookmarkEnd w:id="82"/>
    <w:p>
      <w:pPr>
        <w:jc w:val="right"/>
        <w:ind w:right="3239"/>
        <w:spacing w:after="0"/>
        <w:rPr>
          <w:sz w:val="20"/>
          <w:szCs w:val="20"/>
          <w:color w:val="auto"/>
        </w:rPr>
      </w:pPr>
      <w:r>
        <w:rPr>
          <w:rFonts w:ascii="Courier New" w:cs="Courier New" w:eastAsia="Courier New" w:hAnsi="Courier New"/>
          <w:sz w:val="15"/>
          <w:szCs w:val="15"/>
          <w:color w:val="auto"/>
        </w:rPr>
        <w:t>Exhibit 24(k)</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340" w:space="520"/>
            <w:col w:w="637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340" w:space="520"/>
            <w:col w:w="637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340" w:space="520"/>
            <w:col w:w="637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9" w:lineRule="exact"/>
        <w:rPr>
          <w:sz w:val="20"/>
          <w:szCs w:val="20"/>
          <w:color w:val="auto"/>
        </w:rPr>
      </w:pPr>
    </w:p>
    <w:p>
      <w:pPr>
        <w:sectPr>
          <w:pgSz w:w="11900" w:h="16838" w:orient="portrait"/>
          <w:cols w:equalWidth="0" w:num="2">
            <w:col w:w="3340" w:space="520"/>
            <w:col w:w="6379"/>
          </w:cols>
          <w:pgMar w:left="220" w:top="471"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ind w:left="1220"/>
        <w:spacing w:after="0" w:line="237" w:lineRule="auto"/>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340" w:space="520"/>
            <w:col w:w="637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ind w:left="80"/>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340" w:space="520"/>
            <w:col w:w="6379"/>
          </w:cols>
          <w:pgMar w:left="220" w:top="471" w:right="1440" w:bottom="1440" w:gutter="0" w:footer="0" w:header="0"/>
          <w:type w:val="continuous"/>
        </w:sectPr>
      </w:pPr>
    </w:p>
    <w:p>
      <w:pPr>
        <w:jc w:val="right"/>
        <w:ind w:right="8139"/>
        <w:spacing w:after="0"/>
        <w:rPr>
          <w:sz w:val="20"/>
          <w:szCs w:val="20"/>
          <w:color w:val="auto"/>
        </w:rPr>
      </w:pPr>
      <w:r>
        <w:rPr>
          <w:rFonts w:ascii="Courier New" w:cs="Courier New" w:eastAsia="Courier New" w:hAnsi="Courier New"/>
          <w:sz w:val="14"/>
          <w:szCs w:val="14"/>
          <w:color w:val="auto"/>
        </w:rPr>
        <w:t>Date: January 17, 2002</w:t>
      </w:r>
    </w:p>
    <w:p>
      <w:pPr>
        <w:spacing w:after="0" w:line="3" w:lineRule="exact"/>
        <w:rPr>
          <w:sz w:val="20"/>
          <w:szCs w:val="20"/>
          <w:color w:val="auto"/>
        </w:rPr>
      </w:pPr>
    </w:p>
    <w:p>
      <w:pPr>
        <w:jc w:val="right"/>
        <w:ind w:right="81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71" w:right="1440" w:bottom="1440" w:gutter="0" w:footer="0" w:header="0"/>
          <w:type w:val="continuous"/>
        </w:sectPr>
      </w:pPr>
    </w:p>
    <w:bookmarkStart w:id="83" w:name="page84"/>
    <w:bookmarkEnd w:id="83"/>
    <w:p>
      <w:pPr>
        <w:ind w:left="5780"/>
        <w:spacing w:after="0"/>
        <w:rPr>
          <w:sz w:val="20"/>
          <w:szCs w:val="20"/>
          <w:color w:val="auto"/>
        </w:rPr>
      </w:pPr>
      <w:r>
        <w:rPr>
          <w:rFonts w:ascii="Courier New" w:cs="Courier New" w:eastAsia="Courier New" w:hAnsi="Courier New"/>
          <w:sz w:val="14"/>
          <w:szCs w:val="14"/>
          <w:color w:val="auto"/>
        </w:rPr>
        <w:t>Exhibit 24(l)</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2001,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4880" w:space="720"/>
            <w:col w:w="463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36" w:lineRule="exact"/>
        <w:rPr>
          <w:sz w:val="20"/>
          <w:szCs w:val="20"/>
          <w:color w:val="auto"/>
        </w:rPr>
      </w:pPr>
    </w:p>
    <w:p>
      <w:pPr>
        <w:sectPr>
          <w:pgSz w:w="11900" w:h="16838" w:orient="portrait"/>
          <w:cols w:equalWidth="0" w:num="2">
            <w:col w:w="4880" w:space="720"/>
            <w:col w:w="463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4880" w:space="720"/>
            <w:col w:w="463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68" w:lineRule="exact"/>
        <w:rPr>
          <w:sz w:val="20"/>
          <w:szCs w:val="20"/>
          <w:color w:val="auto"/>
        </w:rPr>
      </w:pPr>
    </w:p>
    <w:p>
      <w:pPr>
        <w:sectPr>
          <w:pgSz w:w="11900" w:h="16838" w:orient="portrait"/>
          <w:cols w:equalWidth="0" w:num="2">
            <w:col w:w="4880" w:space="720"/>
            <w:col w:w="4639"/>
          </w:cols>
          <w:pgMar w:left="220" w:top="478"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4880" w:space="720"/>
            <w:col w:w="4639"/>
          </w:cols>
          <w:pgMar w:left="220" w:top="478" w:right="1440"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4880" w:space="720"/>
            <w:col w:w="4639"/>
          </w:cols>
          <w:pgMar w:left="220" w:top="478" w:right="1440" w:bottom="1440" w:gutter="0" w:footer="0" w:header="0"/>
          <w:type w:val="continuous"/>
        </w:sectPr>
      </w:pPr>
    </w:p>
    <w:p>
      <w:pPr>
        <w:spacing w:after="0" w:line="142"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4"/>
          <w:szCs w:val="14"/>
          <w:color w:val="auto"/>
        </w:rPr>
        <w:t>Date: January 17, 2002</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78" w:right="1440" w:bottom="1440" w:gutter="0" w:footer="0" w:header="0"/>
          <w:type w:val="continuous"/>
        </w:sectPr>
      </w:pPr>
    </w:p>
    <w:bookmarkStart w:id="84" w:name="page85"/>
    <w:bookmarkEnd w:id="84"/>
    <w:p>
      <w:pPr>
        <w:jc w:val="right"/>
        <w:ind w:right="3239"/>
        <w:spacing w:after="0"/>
        <w:rPr>
          <w:sz w:val="20"/>
          <w:szCs w:val="20"/>
          <w:color w:val="auto"/>
        </w:rPr>
      </w:pPr>
      <w:r>
        <w:rPr>
          <w:rFonts w:ascii="Courier New" w:cs="Courier New" w:eastAsia="Courier New" w:hAnsi="Courier New"/>
          <w:sz w:val="15"/>
          <w:szCs w:val="15"/>
          <w:color w:val="auto"/>
        </w:rPr>
        <w:t>Exhibit 99</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w:t>
      </w:r>
    </w:p>
    <w:p>
      <w:pPr>
        <w:spacing w:after="0" w:line="232" w:lineRule="auto"/>
        <w:rPr>
          <w:sz w:val="20"/>
          <w:szCs w:val="20"/>
          <w:color w:val="auto"/>
        </w:rPr>
      </w:pPr>
      <w:r>
        <w:rPr>
          <w:rFonts w:ascii="Courier New" w:cs="Courier New" w:eastAsia="Courier New" w:hAnsi="Courier New"/>
          <w:sz w:val="15"/>
          <w:szCs w:val="15"/>
          <w:color w:val="auto"/>
        </w:rPr>
        <w:t>33-35606; 33-47592; 33-86424; 333-40227; 333-62545; 333-36366; 333-33364 and</w:t>
      </w:r>
    </w:p>
    <w:p>
      <w:pPr>
        <w:spacing w:after="0" w:line="238" w:lineRule="auto"/>
        <w:rPr>
          <w:sz w:val="20"/>
          <w:szCs w:val="20"/>
          <w:color w:val="auto"/>
        </w:rPr>
      </w:pPr>
      <w:r>
        <w:rPr>
          <w:rFonts w:ascii="Courier New" w:cs="Courier New" w:eastAsia="Courier New" w:hAnsi="Courier New"/>
          <w:sz w:val="15"/>
          <w:szCs w:val="15"/>
          <w:color w:val="auto"/>
        </w:rPr>
        <w:t>333-67330.</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X"/>
      <w:numFmt w:val="bullet"/>
      <w:start w:val="1"/>
    </w:lvl>
  </w:abstractNum>
  <w:abstractNum w:abstractNumId="1">
    <w:nsid w:val="2463B9EA"/>
    <w:multiLevelType w:val="hybridMultilevel"/>
    <w:lvl w:ilvl="0">
      <w:lvlJc w:val="left"/>
      <w:lvlText w:val="(%1)"/>
      <w:numFmt w:val="decimal"/>
      <w:start w:val="212"/>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bullet"/>
      <w:start w:val="1"/>
    </w:lvl>
  </w:abstractNum>
  <w:abstractNum w:abstractNumId="10">
    <w:nsid w:val="2A487CB0"/>
    <w:multiLevelType w:val="hybridMultilevel"/>
    <w:lvl w:ilvl="0">
      <w:lvlJc w:val="left"/>
      <w:lvlText w:val="2"/>
      <w:numFmt w:val="bullet"/>
      <w:start w:val="1"/>
    </w:lvl>
  </w:abstractNum>
  <w:abstractNum w:abstractNumId="11">
    <w:nsid w:val="1D4ED43B"/>
    <w:multiLevelType w:val="hybridMultilevel"/>
    <w:lvl w:ilvl="0">
      <w:lvlJc w:val="left"/>
      <w:lvlText w:val="3"/>
      <w:numFmt w:val="bullet"/>
      <w:start w:val="1"/>
    </w:lvl>
  </w:abstractNum>
  <w:abstractNum w:abstractNumId="12">
    <w:nsid w:val="725A06FB"/>
    <w:multiLevelType w:val="hybridMultilevel"/>
    <w:lvl w:ilvl="0">
      <w:lvlJc w:val="left"/>
      <w:lvlText w:val="1"/>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bullet"/>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1"/>
      <w:numFmt w:val="bullet"/>
      <w:start w:val="1"/>
    </w:lvl>
  </w:abstractNum>
  <w:abstractNum w:abstractNumId="60">
    <w:nsid w:val="5DB70AE5"/>
    <w:multiLevelType w:val="hybridMultilevel"/>
    <w:lvl w:ilvl="0">
      <w:lvlJc w:val="left"/>
      <w:lvlText w:val="2"/>
      <w:numFmt w:val="bullet"/>
      <w:start w:val="1"/>
    </w:lvl>
  </w:abstractNum>
  <w:abstractNum w:abstractNumId="61">
    <w:nsid w:val="100F8FCA"/>
    <w:multiLevelType w:val="hybridMultilevel"/>
    <w:lvl w:ilvl="0">
      <w:lvlJc w:val="left"/>
      <w:lvlText w:val="3"/>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lowerLetter"/>
      <w:start w:val="2"/>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2019-12-13T06:30:28Z</dcterms:created>
  <dcterms:modified xsi:type="dcterms:W3CDTF">2019-12-13T06:30:28Z</dcterms:modified>
</cp:coreProperties>
</file>