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171450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3"/>
                <w:szCs w:val="13"/>
                <w:color w:val="auto"/>
              </w:rPr>
            </w:pPr>
          </w:p>
        </w:tc>
        <w:tc>
          <w:tcPr>
            <w:tcW w:w="36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2020 Annual General Meeting of Stockholders (the “Annual Meeting”) of Schlumberger Limited (Schlumberger N.V.), a Curaçao corporation (“Schlumberger”), was held on April 1, 2020. At the Annual Meeting, the stockholders of Schlumberger:</w:t>
      </w:r>
    </w:p>
    <w:p>
      <w:pPr>
        <w:spacing w:after="0" w:line="62" w:lineRule="exact"/>
        <w:rPr>
          <w:sz w:val="20"/>
          <w:szCs w:val="20"/>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nine director nominees;</w:t>
      </w:r>
    </w:p>
    <w:p>
      <w:pPr>
        <w:spacing w:after="0" w:line="117"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17" w:lineRule="exact"/>
        <w:rPr>
          <w:rFonts w:ascii="Arial" w:cs="Arial" w:eastAsia="Arial" w:hAnsi="Arial"/>
          <w:sz w:val="18"/>
          <w:szCs w:val="18"/>
          <w:color w:val="auto"/>
        </w:rPr>
      </w:pPr>
    </w:p>
    <w:p>
      <w:pPr>
        <w:ind w:left="860" w:right="120" w:hanging="324"/>
        <w:spacing w:after="0" w:line="263"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2019, its consolidated statement of income for the year ended December 31, 2019, and the declarations of dividends by Schlumberger’s Board of Directors in 2019 as reflected in its 2019 Annual Report to Stockholders; and</w:t>
      </w:r>
    </w:p>
    <w:p>
      <w:pPr>
        <w:spacing w:after="0" w:line="75"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Schlumberger for 2020.</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21, 2020 (the “Definitive Proxy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results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0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For</w:t>
            </w: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Against</w:t>
            </w:r>
          </w:p>
        </w:tc>
        <w:tc>
          <w:tcPr>
            <w:tcW w:w="11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Abstain</w:t>
            </w:r>
          </w:p>
        </w:tc>
        <w:tc>
          <w:tcPr>
            <w:tcW w:w="1140" w:type="dxa"/>
            <w:vAlign w:val="bottom"/>
          </w:tcPr>
          <w:p>
            <w:pPr>
              <w:jc w:val="right"/>
              <w:ind w:right="73"/>
              <w:spacing w:after="0"/>
              <w:rPr>
                <w:sz w:val="20"/>
                <w:szCs w:val="20"/>
                <w:color w:val="auto"/>
              </w:rPr>
            </w:pPr>
            <w:r>
              <w:rPr>
                <w:rFonts w:ascii="Arial" w:cs="Arial" w:eastAsia="Arial" w:hAnsi="Arial"/>
                <w:sz w:val="14"/>
                <w:szCs w:val="14"/>
                <w:b w:val="1"/>
                <w:bCs w:val="1"/>
                <w:color w:val="auto"/>
              </w:rPr>
              <w:t>Broker Non-</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Patrick de La Chevardière</w:t>
            </w:r>
          </w:p>
        </w:tc>
        <w:tc>
          <w:tcPr>
            <w:tcW w:w="3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969,960,626</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38,651,187</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1,204,939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Miguel M. Galuccio</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976,940,835</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31,771,246</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1,104,671</w:t>
            </w:r>
          </w:p>
        </w:tc>
        <w:tc>
          <w:tcPr>
            <w:tcW w:w="1140" w:type="dxa"/>
            <w:vAlign w:val="bottom"/>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Olivier Le Peuch</w:t>
            </w:r>
          </w:p>
        </w:tc>
        <w:tc>
          <w:tcPr>
            <w:tcW w:w="3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987,812,418</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20,981,123</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1,023,211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Tatiana A. Mitrova</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1,004,079,610</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4,580,173</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1,156,969</w:t>
            </w:r>
          </w:p>
        </w:tc>
        <w:tc>
          <w:tcPr>
            <w:tcW w:w="1140" w:type="dxa"/>
            <w:vAlign w:val="bottom"/>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3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986,417,799</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22,074,855</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1,324,098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Mark G. Papa</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931,719,485</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41,790,990</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36,306,277</w:t>
            </w:r>
          </w:p>
        </w:tc>
        <w:tc>
          <w:tcPr>
            <w:tcW w:w="1140" w:type="dxa"/>
            <w:vAlign w:val="bottom"/>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3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959,613,232</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48,977,409</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1,226,111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Henri Seydoux</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918,600,771</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54,925,617</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36,290,364</w:t>
            </w:r>
          </w:p>
        </w:tc>
        <w:tc>
          <w:tcPr>
            <w:tcW w:w="1140" w:type="dxa"/>
            <w:vAlign w:val="bottom"/>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Jeff W. Sheets</w:t>
            </w:r>
          </w:p>
        </w:tc>
        <w:tc>
          <w:tcPr>
            <w:tcW w:w="3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964,350,607</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44,192,494</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1,273,651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141,743,086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11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87.6% of the votes cast at the Annual Meeting voting in favor of the advisory resolution.</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4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320" w:type="dxa"/>
            <w:vAlign w:val="bottom"/>
          </w:tcPr>
          <w:p>
            <w:pPr>
              <w:jc w:val="right"/>
              <w:ind w:right="639"/>
              <w:spacing w:after="0"/>
              <w:rPr>
                <w:sz w:val="20"/>
                <w:szCs w:val="20"/>
                <w:color w:val="auto"/>
              </w:rPr>
            </w:pPr>
            <w:r>
              <w:rPr>
                <w:rFonts w:ascii="Arial" w:cs="Arial" w:eastAsia="Arial" w:hAnsi="Arial"/>
                <w:sz w:val="18"/>
                <w:szCs w:val="18"/>
                <w:color w:val="auto"/>
              </w:rPr>
              <w:t>880,021,900</w:t>
            </w:r>
          </w:p>
        </w:tc>
        <w:tc>
          <w:tcPr>
            <w:tcW w:w="400" w:type="dxa"/>
            <w:vAlign w:val="bottom"/>
          </w:tcPr>
          <w:p>
            <w:pPr>
              <w:spacing w:after="0"/>
              <w:rPr>
                <w:sz w:val="19"/>
                <w:szCs w:val="19"/>
                <w:color w:val="auto"/>
              </w:rPr>
            </w:pPr>
          </w:p>
        </w:tc>
        <w:tc>
          <w:tcPr>
            <w:tcW w:w="2240" w:type="dxa"/>
            <w:vAlign w:val="bottom"/>
          </w:tcPr>
          <w:p>
            <w:pPr>
              <w:jc w:val="right"/>
              <w:ind w:right="599"/>
              <w:spacing w:after="0"/>
              <w:rPr>
                <w:sz w:val="20"/>
                <w:szCs w:val="20"/>
                <w:color w:val="auto"/>
              </w:rPr>
            </w:pPr>
            <w:r>
              <w:rPr>
                <w:rFonts w:ascii="Arial" w:cs="Arial" w:eastAsia="Arial" w:hAnsi="Arial"/>
                <w:sz w:val="18"/>
                <w:szCs w:val="18"/>
                <w:color w:val="auto"/>
              </w:rPr>
              <w:t>124,648,095</w:t>
            </w:r>
          </w:p>
        </w:tc>
        <w:tc>
          <w:tcPr>
            <w:tcW w:w="80" w:type="dxa"/>
            <w:vAlign w:val="bottom"/>
          </w:tcPr>
          <w:p>
            <w:pPr>
              <w:spacing w:after="0"/>
              <w:rPr>
                <w:sz w:val="19"/>
                <w:szCs w:val="19"/>
                <w:color w:val="auto"/>
              </w:rPr>
            </w:pPr>
          </w:p>
        </w:tc>
        <w:tc>
          <w:tcPr>
            <w:tcW w:w="2320" w:type="dxa"/>
            <w:vAlign w:val="bottom"/>
          </w:tcPr>
          <w:p>
            <w:pPr>
              <w:jc w:val="right"/>
              <w:ind w:right="719"/>
              <w:spacing w:after="0"/>
              <w:rPr>
                <w:sz w:val="20"/>
                <w:szCs w:val="20"/>
                <w:color w:val="auto"/>
              </w:rPr>
            </w:pPr>
            <w:r>
              <w:rPr>
                <w:rFonts w:ascii="Arial" w:cs="Arial" w:eastAsia="Arial" w:hAnsi="Arial"/>
                <w:sz w:val="18"/>
                <w:szCs w:val="18"/>
                <w:color w:val="auto"/>
              </w:rPr>
              <w:t>5,146,757</w:t>
            </w:r>
          </w:p>
        </w:tc>
        <w:tc>
          <w:tcPr>
            <w:tcW w:w="100" w:type="dxa"/>
            <w:vAlign w:val="bottom"/>
          </w:tcPr>
          <w:p>
            <w:pPr>
              <w:spacing w:after="0"/>
              <w:rPr>
                <w:sz w:val="19"/>
                <w:szCs w:val="19"/>
                <w:color w:val="auto"/>
              </w:rPr>
            </w:pPr>
          </w:p>
        </w:tc>
        <w:tc>
          <w:tcPr>
            <w:tcW w:w="2240" w:type="dxa"/>
            <w:vAlign w:val="bottom"/>
          </w:tcPr>
          <w:p>
            <w:pPr>
              <w:jc w:val="right"/>
              <w:ind w:right="599"/>
              <w:spacing w:after="0"/>
              <w:rPr>
                <w:sz w:val="20"/>
                <w:szCs w:val="20"/>
                <w:color w:val="auto"/>
              </w:rPr>
            </w:pPr>
            <w:r>
              <w:rPr>
                <w:rFonts w:ascii="Arial" w:cs="Arial" w:eastAsia="Arial" w:hAnsi="Arial"/>
                <w:sz w:val="18"/>
                <w:szCs w:val="18"/>
                <w:color w:val="auto"/>
              </w:rPr>
              <w:t>141,743,086</w:t>
            </w:r>
          </w:p>
        </w:tc>
      </w:tr>
    </w:tbl>
    <w:p>
      <w:pPr>
        <w:sectPr>
          <w:pgSz w:w="11900" w:h="16838" w:orient="portrait"/>
          <w:cols w:equalWidth="0" w:num="1">
            <w:col w:w="10980"/>
          </w:cols>
          <w:pgMar w:left="440"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3—Financial Statements and Dividends</w:t>
      </w:r>
    </w:p>
    <w:p>
      <w:pPr>
        <w:spacing w:after="0" w:line="11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2019, its consolidated statement of income for the year ended December 31, 2019, and the declarations of dividends by Schlumberger’s Board of Directors in 2019 as reflected in its 2019 Annual Report to Stockholders, as described in the Definitive Proxy Statement, was approved with approximately 99.7% of the votes cast at the Annual Meeting voting for the proposal.</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4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00" w:type="dxa"/>
            <w:vAlign w:val="bottom"/>
          </w:tcPr>
          <w:p>
            <w:pPr>
              <w:spacing w:after="0"/>
              <w:rPr>
                <w:sz w:val="14"/>
                <w:szCs w:val="14"/>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320" w:type="dxa"/>
            <w:vAlign w:val="bottom"/>
          </w:tcPr>
          <w:p>
            <w:pPr>
              <w:jc w:val="right"/>
              <w:ind w:right="559"/>
              <w:spacing w:after="0"/>
              <w:rPr>
                <w:sz w:val="20"/>
                <w:szCs w:val="20"/>
                <w:color w:val="auto"/>
              </w:rPr>
            </w:pPr>
            <w:r>
              <w:rPr>
                <w:rFonts w:ascii="Arial" w:cs="Arial" w:eastAsia="Arial" w:hAnsi="Arial"/>
                <w:sz w:val="18"/>
                <w:szCs w:val="18"/>
                <w:color w:val="auto"/>
              </w:rPr>
              <w:t>1,143,923,225</w:t>
            </w:r>
          </w:p>
        </w:tc>
        <w:tc>
          <w:tcPr>
            <w:tcW w:w="400" w:type="dxa"/>
            <w:vAlign w:val="bottom"/>
          </w:tcPr>
          <w:p>
            <w:pPr>
              <w:spacing w:after="0"/>
              <w:rPr>
                <w:sz w:val="19"/>
                <w:szCs w:val="19"/>
                <w:color w:val="auto"/>
              </w:rPr>
            </w:pPr>
          </w:p>
        </w:tc>
        <w:tc>
          <w:tcPr>
            <w:tcW w:w="2240" w:type="dxa"/>
            <w:vAlign w:val="bottom"/>
          </w:tcPr>
          <w:p>
            <w:pPr>
              <w:jc w:val="right"/>
              <w:ind w:right="679"/>
              <w:spacing w:after="0"/>
              <w:rPr>
                <w:sz w:val="20"/>
                <w:szCs w:val="20"/>
                <w:color w:val="auto"/>
              </w:rPr>
            </w:pPr>
            <w:r>
              <w:rPr>
                <w:rFonts w:ascii="Arial" w:cs="Arial" w:eastAsia="Arial" w:hAnsi="Arial"/>
                <w:sz w:val="18"/>
                <w:szCs w:val="18"/>
                <w:color w:val="auto"/>
              </w:rPr>
              <w:t>3,483,991</w:t>
            </w:r>
          </w:p>
        </w:tc>
        <w:tc>
          <w:tcPr>
            <w:tcW w:w="80" w:type="dxa"/>
            <w:vAlign w:val="bottom"/>
          </w:tcPr>
          <w:p>
            <w:pPr>
              <w:spacing w:after="0"/>
              <w:rPr>
                <w:sz w:val="19"/>
                <w:szCs w:val="19"/>
                <w:color w:val="auto"/>
              </w:rPr>
            </w:pPr>
          </w:p>
        </w:tc>
        <w:tc>
          <w:tcPr>
            <w:tcW w:w="2320" w:type="dxa"/>
            <w:vAlign w:val="bottom"/>
          </w:tcPr>
          <w:p>
            <w:pPr>
              <w:jc w:val="right"/>
              <w:ind w:right="719"/>
              <w:spacing w:after="0"/>
              <w:rPr>
                <w:sz w:val="20"/>
                <w:szCs w:val="20"/>
                <w:color w:val="auto"/>
              </w:rPr>
            </w:pPr>
            <w:r>
              <w:rPr>
                <w:rFonts w:ascii="Arial" w:cs="Arial" w:eastAsia="Arial" w:hAnsi="Arial"/>
                <w:sz w:val="18"/>
                <w:szCs w:val="18"/>
                <w:color w:val="auto"/>
              </w:rPr>
              <w:t>4,152,622</w:t>
            </w:r>
          </w:p>
        </w:tc>
        <w:tc>
          <w:tcPr>
            <w:tcW w:w="100" w:type="dxa"/>
            <w:vAlign w:val="bottom"/>
          </w:tcPr>
          <w:p>
            <w:pPr>
              <w:spacing w:after="0"/>
              <w:rPr>
                <w:sz w:val="19"/>
                <w:szCs w:val="19"/>
                <w:color w:val="auto"/>
              </w:rPr>
            </w:pP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proposal to ratify the appointment of PricewaterhouseCoopers LLP as the independent auditors of Schlumberger for 2020, as described in the Definitive Proxy Statement, was approved with approximately 95.9% of the votes cast at the Annual Meeting voting for the proposal.</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4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00" w:type="dxa"/>
            <w:vAlign w:val="bottom"/>
          </w:tcPr>
          <w:p>
            <w:pPr>
              <w:spacing w:after="0"/>
              <w:rPr>
                <w:sz w:val="14"/>
                <w:szCs w:val="14"/>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Broker Non-votes</w:t>
            </w:r>
          </w:p>
        </w:tc>
      </w:tr>
      <w:tr>
        <w:trPr>
          <w:trHeight w:val="224"/>
        </w:trPr>
        <w:tc>
          <w:tcPr>
            <w:tcW w:w="2320" w:type="dxa"/>
            <w:vAlign w:val="bottom"/>
          </w:tcPr>
          <w:p>
            <w:pPr>
              <w:jc w:val="right"/>
              <w:ind w:right="559"/>
              <w:spacing w:after="0"/>
              <w:rPr>
                <w:sz w:val="20"/>
                <w:szCs w:val="20"/>
                <w:color w:val="auto"/>
              </w:rPr>
            </w:pPr>
            <w:r>
              <w:rPr>
                <w:rFonts w:ascii="Arial" w:cs="Arial" w:eastAsia="Arial" w:hAnsi="Arial"/>
                <w:sz w:val="18"/>
                <w:szCs w:val="18"/>
                <w:color w:val="auto"/>
              </w:rPr>
              <w:t>1,103,443,756</w:t>
            </w:r>
          </w:p>
        </w:tc>
        <w:tc>
          <w:tcPr>
            <w:tcW w:w="400" w:type="dxa"/>
            <w:vAlign w:val="bottom"/>
          </w:tcPr>
          <w:p>
            <w:pPr>
              <w:spacing w:after="0"/>
              <w:rPr>
                <w:sz w:val="19"/>
                <w:szCs w:val="19"/>
                <w:color w:val="auto"/>
              </w:rPr>
            </w:pPr>
          </w:p>
        </w:tc>
        <w:tc>
          <w:tcPr>
            <w:tcW w:w="2240" w:type="dxa"/>
            <w:vAlign w:val="bottom"/>
          </w:tcPr>
          <w:p>
            <w:pPr>
              <w:jc w:val="right"/>
              <w:ind w:right="639"/>
              <w:spacing w:after="0"/>
              <w:rPr>
                <w:sz w:val="20"/>
                <w:szCs w:val="20"/>
                <w:color w:val="auto"/>
              </w:rPr>
            </w:pPr>
            <w:r>
              <w:rPr>
                <w:rFonts w:ascii="Arial" w:cs="Arial" w:eastAsia="Arial" w:hAnsi="Arial"/>
                <w:sz w:val="18"/>
                <w:szCs w:val="18"/>
                <w:color w:val="auto"/>
              </w:rPr>
              <w:t>46,862,514</w:t>
            </w:r>
          </w:p>
        </w:tc>
        <w:tc>
          <w:tcPr>
            <w:tcW w:w="80" w:type="dxa"/>
            <w:vAlign w:val="bottom"/>
          </w:tcPr>
          <w:p>
            <w:pPr>
              <w:spacing w:after="0"/>
              <w:rPr>
                <w:sz w:val="19"/>
                <w:szCs w:val="19"/>
                <w:color w:val="auto"/>
              </w:rPr>
            </w:pPr>
          </w:p>
        </w:tc>
        <w:tc>
          <w:tcPr>
            <w:tcW w:w="2320" w:type="dxa"/>
            <w:vAlign w:val="bottom"/>
          </w:tcPr>
          <w:p>
            <w:pPr>
              <w:jc w:val="right"/>
              <w:ind w:right="719"/>
              <w:spacing w:after="0"/>
              <w:rPr>
                <w:sz w:val="20"/>
                <w:szCs w:val="20"/>
                <w:color w:val="auto"/>
              </w:rPr>
            </w:pPr>
            <w:r>
              <w:rPr>
                <w:rFonts w:ascii="Arial" w:cs="Arial" w:eastAsia="Arial" w:hAnsi="Arial"/>
                <w:sz w:val="18"/>
                <w:szCs w:val="18"/>
                <w:color w:val="auto"/>
              </w:rPr>
              <w:t>1,253,568</w:t>
            </w:r>
          </w:p>
        </w:tc>
        <w:tc>
          <w:tcPr>
            <w:tcW w:w="100" w:type="dxa"/>
            <w:vAlign w:val="bottom"/>
          </w:tcPr>
          <w:p>
            <w:pPr>
              <w:spacing w:after="0"/>
              <w:rPr>
                <w:sz w:val="19"/>
                <w:szCs w:val="19"/>
                <w:color w:val="auto"/>
              </w:rPr>
            </w:pP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940"/>
          </w:cols>
          <w:pgMar w:left="440" w:top="301" w:right="5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2020-04-01T16:19:47Z</dcterms:created>
  <dcterms:modified xsi:type="dcterms:W3CDTF">2020-04-01T16:19:47Z</dcterms:modified>
</cp:coreProperties>
</file>