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5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September 30, 2007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3"/>
              </w:rPr>
              <w:t>5599 SAN FELIPE, 17</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 w:lineRule="exact"/>
        <w:rPr>
          <w:sz w:val="24"/>
          <w:szCs w:val="24"/>
          <w:color w:val="auto"/>
        </w:rPr>
      </w:pPr>
    </w:p>
    <w:p>
      <w:pPr>
        <w:ind w:left="1060"/>
        <w:spacing w:after="0" w:line="207" w:lineRule="exact"/>
        <w:tabs>
          <w:tab w:leader="none" w:pos="5140" w:val="left"/>
          <w:tab w:leader="none" w:pos="8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jc w:val="center"/>
              <w:ind w:right="542"/>
              <w:spacing w:after="0"/>
              <w:rPr>
                <w:sz w:val="20"/>
                <w:szCs w:val="20"/>
                <w:color w:val="auto"/>
              </w:rPr>
            </w:pPr>
            <w:r>
              <w:rPr>
                <w:rFonts w:ascii="Arial" w:cs="Arial" w:eastAsia="Arial" w:hAnsi="Arial"/>
                <w:sz w:val="14"/>
                <w:szCs w:val="14"/>
                <w:b w:val="1"/>
                <w:bCs w:val="1"/>
                <w:color w:val="auto"/>
                <w:w w:val="80"/>
              </w:rPr>
              <w:t>Class</w:t>
            </w:r>
          </w:p>
        </w:tc>
        <w:tc>
          <w:tcPr>
            <w:tcW w:w="5180" w:type="dxa"/>
            <w:vAlign w:val="bottom"/>
          </w:tcPr>
          <w:p>
            <w:pPr>
              <w:jc w:val="center"/>
              <w:ind w:right="102"/>
              <w:spacing w:after="0"/>
              <w:rPr>
                <w:sz w:val="20"/>
                <w:szCs w:val="20"/>
                <w:color w:val="auto"/>
              </w:rPr>
            </w:pPr>
            <w:r>
              <w:rPr>
                <w:rFonts w:ascii="Arial" w:cs="Arial" w:eastAsia="Arial" w:hAnsi="Arial"/>
                <w:sz w:val="14"/>
                <w:szCs w:val="14"/>
                <w:b w:val="1"/>
                <w:bCs w:val="1"/>
                <w:color w:val="auto"/>
                <w:w w:val="87"/>
              </w:rPr>
              <w:t>Outstanding at September 30, 2007</w:t>
            </w:r>
          </w:p>
        </w:tc>
      </w:tr>
      <w:tr>
        <w:trPr>
          <w:trHeight w:val="222"/>
        </w:trPr>
        <w:tc>
          <w:tcPr>
            <w:tcW w:w="6240" w:type="dxa"/>
            <w:vAlign w:val="bottom"/>
          </w:tcPr>
          <w:p>
            <w:pPr>
              <w:jc w:val="center"/>
              <w:ind w:right="522"/>
              <w:spacing w:after="0"/>
              <w:rPr>
                <w:sz w:val="20"/>
                <w:szCs w:val="20"/>
                <w:color w:val="auto"/>
              </w:rPr>
            </w:pPr>
            <w:r>
              <w:rPr>
                <w:rFonts w:ascii="Arial" w:cs="Arial" w:eastAsia="Arial" w:hAnsi="Arial"/>
                <w:sz w:val="18"/>
                <w:szCs w:val="18"/>
                <w:color w:val="auto"/>
                <w:w w:val="92"/>
              </w:rPr>
              <w:t>COMMON STOCK, $0.01 PAR VALUE PER SHARE</w:t>
            </w:r>
          </w:p>
        </w:tc>
        <w:tc>
          <w:tcPr>
            <w:tcW w:w="5180" w:type="dxa"/>
            <w:vAlign w:val="bottom"/>
          </w:tcPr>
          <w:p>
            <w:pPr>
              <w:jc w:val="right"/>
              <w:ind w:right="2102"/>
              <w:spacing w:after="0"/>
              <w:rPr>
                <w:sz w:val="20"/>
                <w:szCs w:val="20"/>
                <w:color w:val="auto"/>
              </w:rPr>
            </w:pPr>
            <w:r>
              <w:rPr>
                <w:rFonts w:ascii="Arial" w:cs="Arial" w:eastAsia="Arial" w:hAnsi="Arial"/>
                <w:sz w:val="18"/>
                <w:szCs w:val="18"/>
                <w:color w:val="auto"/>
              </w:rPr>
              <w:t>1,195,867,465</w:t>
            </w:r>
          </w:p>
        </w:tc>
      </w:tr>
      <w:tr>
        <w:trPr>
          <w:trHeight w:val="282"/>
        </w:trPr>
        <w:tc>
          <w:tcPr>
            <w:tcW w:w="62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2007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2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7"/>
                <w:szCs w:val="17"/>
                <w:color w:val="auto"/>
              </w:rPr>
            </w:pPr>
          </w:p>
        </w:tc>
        <w:tc>
          <w:tcPr>
            <w:tcW w:w="6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2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720" w:type="dxa"/>
            <w:vAlign w:val="bottom"/>
            <w:gridSpan w:val="11"/>
          </w:tcPr>
          <w:p>
            <w:pPr>
              <w:jc w:val="right"/>
              <w:ind w:right="16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380" w:type="dxa"/>
            <w:vAlign w:val="bottom"/>
            <w:gridSpan w:val="4"/>
          </w:tcPr>
          <w:p>
            <w:pPr>
              <w:jc w:val="center"/>
              <w:ind w:left="63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380" w:type="dxa"/>
            <w:vAlign w:val="bottom"/>
            <w:gridSpan w:val="4"/>
          </w:tcPr>
          <w:p>
            <w:pPr>
              <w:jc w:val="center"/>
              <w:ind w:left="632"/>
              <w:spacing w:after="0"/>
              <w:rPr>
                <w:sz w:val="20"/>
                <w:szCs w:val="20"/>
                <w:color w:val="auto"/>
              </w:rPr>
            </w:pPr>
            <w:r>
              <w:rPr>
                <w:rFonts w:ascii="Arial" w:cs="Arial" w:eastAsia="Arial" w:hAnsi="Arial"/>
                <w:sz w:val="18"/>
                <w:szCs w:val="18"/>
                <w:b w:val="1"/>
                <w:bCs w:val="1"/>
                <w:color w:val="auto"/>
              </w:rPr>
              <w:t>SCHLUMBERGER LIMITED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6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89"/>
              </w:rPr>
              <w:t>(Schlumberger N.V., Incorporated in the Netherlands Antilles)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380" w:type="dxa"/>
            <w:vAlign w:val="bottom"/>
            <w:gridSpan w:val="4"/>
          </w:tcPr>
          <w:p>
            <w:pPr>
              <w:jc w:val="center"/>
              <w:ind w:left="632"/>
              <w:spacing w:after="0"/>
              <w:rPr>
                <w:sz w:val="20"/>
                <w:szCs w:val="20"/>
                <w:color w:val="auto"/>
              </w:rPr>
            </w:pPr>
            <w:r>
              <w:rPr>
                <w:rFonts w:ascii="Arial" w:cs="Arial" w:eastAsia="Arial" w:hAnsi="Arial"/>
                <w:sz w:val="18"/>
                <w:szCs w:val="18"/>
                <w:b w:val="1"/>
                <w:bCs w:val="1"/>
                <w:color w:val="auto"/>
                <w:w w:val="87"/>
              </w:rPr>
              <w:t>and Subsidiary Companies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380" w:type="dxa"/>
            <w:vAlign w:val="bottom"/>
            <w:gridSpan w:val="4"/>
          </w:tcPr>
          <w:p>
            <w:pPr>
              <w:jc w:val="center"/>
              <w:ind w:left="652"/>
              <w:spacing w:after="0"/>
              <w:rPr>
                <w:sz w:val="20"/>
                <w:szCs w:val="20"/>
                <w:color w:val="auto"/>
              </w:rPr>
            </w:pPr>
            <w:r>
              <w:rPr>
                <w:rFonts w:ascii="Arial" w:cs="Arial" w:eastAsia="Arial" w:hAnsi="Arial"/>
                <w:sz w:val="18"/>
                <w:szCs w:val="18"/>
                <w:b w:val="1"/>
                <w:bCs w:val="1"/>
                <w:color w:val="auto"/>
                <w:w w:val="98"/>
              </w:rPr>
              <w:t>CONSOLIDATED STATEMENT OF INCOME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60" w:type="dxa"/>
            <w:vAlign w:val="bottom"/>
            <w:gridSpan w:val="2"/>
          </w:tcPr>
          <w:p>
            <w:pPr>
              <w:jc w:val="center"/>
              <w:ind w:left="1552"/>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w w:val="84"/>
              </w:rPr>
              <w:t>(Stated in thousands except per share amounts)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5,925,662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4,954,818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17,028,829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13,880,610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107,578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288,685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1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3,905,095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3,361,555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11,264,310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9,605,372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190,194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531,971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21,904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58,585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137,260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375,576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2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203,039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before taxes and minority interest</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1,710,165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1,317,265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4,884,033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3,480,480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356,168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317,434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1,090,730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852,504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1,353,997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3,793,303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2,627,976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1,353,997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999,824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3,793,303</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2,579,235</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3"/>
            <w:vMerge w:val="continue"/>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32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1,194,175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1,183,683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1,185,624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1,182,795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1,243,808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1,243,966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1,238,675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1,243,579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Sept. 30, 2007</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162,010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3,076,109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2,833,056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(2007—$99,763; 2006—$114,654)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5,301,612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1,584,412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179,054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632,532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10,935,729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9,185,662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382,582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IN AFFILIATED COMPANIES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1,359,169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1,208,323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6,686,750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223,100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5,079,953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909,194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347,898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382,139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26,306,514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22,832,138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4,158,374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3,848,017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1,026,290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210,660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148,720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151,878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491,609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618,898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6,657,709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6,454,795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443,015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3,598,761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3,238,952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951,394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637,915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12,288,794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12,412,255</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4,041,343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retained for use in the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14,287,758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11,118,479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5"/>
              </w:rPr>
              <w:t>(3,129,057)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(2,911,793)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(1,182,324)</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14,017,720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10,419,883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26,306,514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22,832,138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38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3,793,303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2,579,235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1,399,570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1,122,410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Charges and credits, net of tax &amp; minority interest </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(127,889)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102,542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w w:val="89"/>
              </w:rPr>
              <w:t>(1,029,225)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(320,986)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(92,345)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in accounts payable and accrued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314,272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213,926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(Decrease) increase in postretirement benefits</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(89,833)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(79,234)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4,111,270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3,123,859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w w:val="89"/>
              </w:rPr>
              <w:t>(2,013,053)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(1,619,912)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(194,415)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80" w:type="dxa"/>
            <w:vAlign w:val="bottom"/>
          </w:tcPr>
          <w:p>
            <w:pPr>
              <w:spacing w:after="0"/>
              <w:rPr>
                <w:sz w:val="18"/>
                <w:szCs w:val="18"/>
                <w:color w:val="auto"/>
              </w:rPr>
            </w:pPr>
          </w:p>
        </w:tc>
        <w:tc>
          <w:tcPr>
            <w:tcW w:w="106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minority interest in WesternGeco</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(2,405,927)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 business acquisitions and related payments</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(192,258)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sale of investments,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(456,342)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1,843,364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(193,972)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(136,675)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w w:val="89"/>
              </w:rPr>
              <w:t>(3,050,040)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(2,789,574)</w:t>
            </w:r>
          </w:p>
        </w:tc>
        <w:tc>
          <w:tcPr>
            <w:tcW w:w="0" w:type="dxa"/>
            <w:vAlign w:val="bottom"/>
          </w:tcPr>
          <w:p>
            <w:pPr>
              <w:spacing w:after="0"/>
              <w:rPr>
                <w:sz w:val="1"/>
                <w:szCs w:val="1"/>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(562,085)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Distribution to joint venture partner</w:t>
            </w:r>
          </w:p>
        </w:tc>
        <w:tc>
          <w:tcPr>
            <w:tcW w:w="80" w:type="dxa"/>
            <w:vAlign w:val="bottom"/>
          </w:tcPr>
          <w:p>
            <w:pPr>
              <w:spacing w:after="0"/>
              <w:rPr>
                <w:sz w:val="18"/>
                <w:szCs w:val="18"/>
                <w:color w:val="auto"/>
              </w:rPr>
            </w:pPr>
          </w:p>
        </w:tc>
        <w:tc>
          <w:tcPr>
            <w:tcW w:w="1060" w:type="dxa"/>
            <w:vAlign w:val="bottom"/>
            <w:gridSpan w:val="2"/>
          </w:tcPr>
          <w:p>
            <w:pPr>
              <w:jc w:val="right"/>
              <w:ind w:right="305"/>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437,264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 windfall tax benefit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(797,804)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271,755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106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(451,041)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increase in short-term debt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(128,475)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8"/>
              </w:rPr>
              <w:t>(1,069,059</w:t>
            </w:r>
          </w:p>
        </w:tc>
        <w:tc>
          <w:tcPr>
            <w:tcW w:w="2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(369,012)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(7,829)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165,817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162,010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multiclient seismic data costs.</w:t>
      </w:r>
    </w:p>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 xml:space="preserve">See Note 3 – </w:t>
      </w:r>
      <w:r>
        <w:rPr>
          <w:rFonts w:ascii="Arial" w:cs="Arial" w:eastAsia="Arial" w:hAnsi="Arial"/>
          <w:sz w:val="15"/>
          <w:szCs w:val="15"/>
          <w:i w:val="1"/>
          <w:iCs w:val="1"/>
          <w:color w:val="auto"/>
        </w:rPr>
        <w:t>Charges and Credits</w:t>
      </w:r>
      <w:r>
        <w:rPr>
          <w:rFonts w:ascii="Arial" w:cs="Arial" w:eastAsia="Arial" w:hAnsi="Arial"/>
          <w:sz w:val="15"/>
          <w:szCs w:val="15"/>
          <w:color w:val="auto"/>
        </w:rPr>
        <w:t>.</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Net of the effect of business acquisitions.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Accumulated Other 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214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Marked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80" w:type="dxa"/>
            <w:vAlign w:val="bottom"/>
          </w:tcPr>
          <w:p>
            <w:pPr>
              <w:spacing w:after="0"/>
              <w:rPr>
                <w:sz w:val="6"/>
                <w:szCs w:val="6"/>
                <w:color w:val="auto"/>
              </w:rPr>
            </w:pPr>
          </w:p>
        </w:tc>
        <w:tc>
          <w:tcPr>
            <w:tcW w:w="214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restart"/>
          </w:tcPr>
          <w:p>
            <w:pPr>
              <w:jc w:val="right"/>
              <w:ind w:right="429"/>
              <w:spacing w:after="0" w:line="149" w:lineRule="exact"/>
              <w:rPr>
                <w:sz w:val="20"/>
                <w:szCs w:val="20"/>
                <w:color w:val="auto"/>
              </w:rPr>
            </w:pPr>
            <w:r>
              <w:rPr>
                <w:rFonts w:ascii="Arial" w:cs="Arial" w:eastAsia="Arial" w:hAnsi="Arial"/>
                <w:sz w:val="14"/>
                <w:szCs w:val="14"/>
                <w:b w:val="1"/>
                <w:bCs w:val="1"/>
                <w:color w:val="auto"/>
              </w:rPr>
              <w:t>Retained</w:t>
            </w: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6"/>
                <w:szCs w:val="6"/>
                <w:color w:val="auto"/>
              </w:rPr>
            </w:pP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6"/>
                <w:szCs w:val="6"/>
                <w:color w:val="auto"/>
              </w:rPr>
            </w:pPr>
          </w:p>
        </w:tc>
        <w:tc>
          <w:tcPr>
            <w:tcW w:w="9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6"/>
                <w:szCs w:val="6"/>
                <w:color w:val="auto"/>
              </w:rPr>
            </w:pPr>
          </w:p>
        </w:tc>
        <w:tc>
          <w:tcPr>
            <w:tcW w:w="104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48"/>
        </w:trPr>
        <w:tc>
          <w:tcPr>
            <w:tcW w:w="38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Issued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76"/>
              </w:rPr>
              <w:t>(Stated</w:t>
            </w:r>
          </w:p>
        </w:tc>
        <w:tc>
          <w:tcPr>
            <w:tcW w:w="9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$ 3,381,946</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(2,911,793)</w:t>
            </w:r>
          </w:p>
        </w:tc>
        <w:tc>
          <w:tcPr>
            <w:tcW w:w="1320" w:type="dxa"/>
            <w:vAlign w:val="bottom"/>
            <w:gridSpan w:val="3"/>
            <w:shd w:val="clear" w:color="auto" w:fill="CCEEFF"/>
          </w:tcPr>
          <w:p>
            <w:pPr>
              <w:jc w:val="right"/>
              <w:ind w:right="229"/>
              <w:spacing w:after="0"/>
              <w:rPr>
                <w:sz w:val="20"/>
                <w:szCs w:val="20"/>
                <w:color w:val="auto"/>
              </w:rPr>
            </w:pPr>
            <w:r>
              <w:rPr>
                <w:rFonts w:ascii="Arial" w:cs="Arial" w:eastAsia="Arial" w:hAnsi="Arial"/>
                <w:sz w:val="18"/>
                <w:szCs w:val="18"/>
                <w:color w:val="auto"/>
                <w:w w:val="97"/>
              </w:rPr>
              <w:t>$ 11,118,479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$ 20,712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(401,648)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(787,813)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29"/>
              <w:spacing w:after="0"/>
              <w:rPr>
                <w:sz w:val="20"/>
                <w:szCs w:val="20"/>
                <w:color w:val="auto"/>
              </w:rPr>
            </w:pPr>
            <w:r>
              <w:rPr>
                <w:rFonts w:ascii="Arial" w:cs="Arial" w:eastAsia="Arial" w:hAnsi="Arial"/>
                <w:sz w:val="18"/>
                <w:szCs w:val="18"/>
                <w:color w:val="auto"/>
              </w:rPr>
              <w:t>3,793,303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3,793,303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 net of tax</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(41,429)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(41,429)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net of tax</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Amortization of actuarial net loss, net of tax</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26,714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Dividends declared ($0.525 per share)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9"/>
              <w:spacing w:after="0"/>
              <w:rPr>
                <w:sz w:val="20"/>
                <w:szCs w:val="20"/>
                <w:color w:val="auto"/>
              </w:rPr>
            </w:pPr>
            <w:r>
              <w:rPr>
                <w:rFonts w:ascii="Arial" w:cs="Arial" w:eastAsia="Arial" w:hAnsi="Arial"/>
                <w:sz w:val="18"/>
                <w:szCs w:val="18"/>
                <w:color w:val="auto"/>
              </w:rPr>
              <w:t>(624,024)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(797,804)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800" w:type="dxa"/>
            <w:vAlign w:val="bottom"/>
          </w:tcPr>
          <w:p>
            <w:pPr>
              <w:jc w:val="right"/>
              <w:spacing w:after="0"/>
              <w:rPr>
                <w:sz w:val="20"/>
                <w:szCs w:val="20"/>
                <w:color w:val="auto"/>
              </w:rPr>
            </w:pPr>
            <w:r>
              <w:rPr>
                <w:rFonts w:ascii="Arial" w:cs="Arial" w:eastAsia="Arial" w:hAnsi="Arial"/>
                <w:sz w:val="18"/>
                <w:szCs w:val="18"/>
                <w:color w:val="auto"/>
              </w:rPr>
              <w:t>86,588</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shares sold to optionees, less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183,742</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800" w:type="dxa"/>
            <w:vAlign w:val="bottom"/>
          </w:tcPr>
          <w:p>
            <w:pPr>
              <w:jc w:val="right"/>
              <w:spacing w:after="0"/>
              <w:rPr>
                <w:sz w:val="20"/>
                <w:szCs w:val="20"/>
                <w:color w:val="auto"/>
              </w:rPr>
            </w:pPr>
            <w:r>
              <w:rPr>
                <w:rFonts w:ascii="Arial" w:cs="Arial" w:eastAsia="Arial" w:hAnsi="Arial"/>
                <w:sz w:val="18"/>
                <w:szCs w:val="18"/>
                <w:color w:val="auto"/>
              </w:rPr>
              <w:t>209,788</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Balance, September 30, 2007</w:t>
            </w: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4,041,343</w:t>
            </w:r>
          </w:p>
        </w:tc>
        <w:tc>
          <w:tcPr>
            <w:tcW w:w="1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(3,129,057)</w:t>
            </w:r>
          </w:p>
        </w:tc>
        <w:tc>
          <w:tcPr>
            <w:tcW w:w="1320" w:type="dxa"/>
            <w:vAlign w:val="bottom"/>
            <w:gridSpan w:val="3"/>
          </w:tcPr>
          <w:p>
            <w:pPr>
              <w:jc w:val="right"/>
              <w:ind w:right="229"/>
              <w:spacing w:after="0"/>
              <w:rPr>
                <w:sz w:val="20"/>
                <w:szCs w:val="20"/>
                <w:color w:val="auto"/>
              </w:rPr>
            </w:pPr>
            <w:r>
              <w:rPr>
                <w:rFonts w:ascii="Arial" w:cs="Arial" w:eastAsia="Arial" w:hAnsi="Arial"/>
                <w:sz w:val="18"/>
                <w:szCs w:val="18"/>
                <w:color w:val="auto"/>
                <w:w w:val="97"/>
              </w:rPr>
              <w:t>$ 14,287,758</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$ 35,669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(388,751)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(829,242)</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3,779,728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2007</w:t>
            </w: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1,334,212,164</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(156,318,705)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1,177,893,459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2,305,594</w:t>
            </w:r>
          </w:p>
        </w:tc>
        <w:tc>
          <w:tcPr>
            <w:tcW w:w="1320" w:type="dxa"/>
            <w:vAlign w:val="bottom"/>
          </w:tcPr>
          <w:p>
            <w:pPr>
              <w:jc w:val="right"/>
              <w:spacing w:after="0"/>
              <w:rPr>
                <w:sz w:val="20"/>
                <w:szCs w:val="20"/>
                <w:color w:val="auto"/>
              </w:rPr>
            </w:pPr>
            <w:r>
              <w:rPr>
                <w:rFonts w:ascii="Arial" w:cs="Arial" w:eastAsia="Arial" w:hAnsi="Arial"/>
                <w:sz w:val="18"/>
                <w:szCs w:val="18"/>
                <w:color w:val="auto"/>
              </w:rPr>
              <w:t>2,305,594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(10,511,700)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12,619,537</w:t>
            </w:r>
          </w:p>
        </w:tc>
        <w:tc>
          <w:tcPr>
            <w:tcW w:w="1320" w:type="dxa"/>
            <w:vAlign w:val="bottom"/>
          </w:tcPr>
          <w:p>
            <w:pPr>
              <w:jc w:val="right"/>
              <w:spacing w:after="0"/>
              <w:rPr>
                <w:sz w:val="20"/>
                <w:szCs w:val="20"/>
                <w:color w:val="auto"/>
              </w:rPr>
            </w:pPr>
            <w:r>
              <w:rPr>
                <w:rFonts w:ascii="Arial" w:cs="Arial" w:eastAsia="Arial" w:hAnsi="Arial"/>
                <w:sz w:val="18"/>
                <w:szCs w:val="18"/>
                <w:color w:val="auto"/>
              </w:rPr>
              <w:t>12,619,537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13,540,575</w:t>
            </w:r>
          </w:p>
        </w:tc>
        <w:tc>
          <w:tcPr>
            <w:tcW w:w="1320" w:type="dxa"/>
            <w:vAlign w:val="bottom"/>
          </w:tcPr>
          <w:p>
            <w:pPr>
              <w:jc w:val="right"/>
              <w:spacing w:after="0"/>
              <w:rPr>
                <w:sz w:val="20"/>
                <w:szCs w:val="20"/>
                <w:color w:val="auto"/>
              </w:rPr>
            </w:pPr>
            <w:r>
              <w:rPr>
                <w:rFonts w:ascii="Arial" w:cs="Arial" w:eastAsia="Arial" w:hAnsi="Arial"/>
                <w:sz w:val="18"/>
                <w:szCs w:val="18"/>
                <w:color w:val="auto"/>
              </w:rPr>
              <w:t>13,540,575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2007</w:t>
            </w:r>
          </w:p>
        </w:tc>
        <w:tc>
          <w:tcPr>
            <w:tcW w:w="1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5"/>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(138,344,699)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1,195,867,465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nine-month period ended September 30, 2007 are not necessarily indicative of the results that may be expected for the full year ending December 31, 2007. The December 31, 2006 balance sheet information has been derived from the audited 2006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fiscal year ended December 31, 2006, filed with the Securities and Exchange Commission on February 16, 2007.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Earnings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48"/>
        </w:trPr>
        <w:tc>
          <w:tcPr>
            <w:tcW w:w="5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Net Income</w:t>
            </w:r>
          </w:p>
        </w:tc>
        <w:tc>
          <w:tcPr>
            <w:tcW w:w="1000" w:type="dxa"/>
            <w:vAlign w:val="bottom"/>
            <w:gridSpan w:val="2"/>
          </w:tcPr>
          <w:p>
            <w:pPr>
              <w:jc w:val="center"/>
              <w:ind w:right="52"/>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(Stated</w:t>
            </w:r>
          </w:p>
        </w:tc>
        <w:tc>
          <w:tcPr>
            <w:tcW w:w="220" w:type="dxa"/>
            <w:vAlign w:val="bottom"/>
            <w:gridSpan w:val="2"/>
            <w:vMerge w:val="continue"/>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1"/>
              </w:rPr>
              <w:t>thousands</w:t>
            </w:r>
          </w:p>
        </w:tc>
        <w:tc>
          <w:tcPr>
            <w:tcW w:w="1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1"/>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1,353,997</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1,194,175</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13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1,183,683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20" w:type="dxa"/>
            <w:vAlign w:val="bottom"/>
          </w:tcPr>
          <w:p>
            <w:pPr>
              <w:spacing w:after="0" w:line="20" w:lineRule="exact"/>
              <w:rPr>
                <w:sz w:val="1"/>
                <w:szCs w:val="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5,204</w:t>
            </w:r>
          </w:p>
        </w:tc>
        <w:tc>
          <w:tcPr>
            <w:tcW w:w="10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24,669</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7,197</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1,359,201</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1,243,808</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1,243,966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Earnings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48"/>
        </w:trPr>
        <w:tc>
          <w:tcPr>
            <w:tcW w:w="5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Net Income</w:t>
            </w:r>
          </w:p>
        </w:tc>
        <w:tc>
          <w:tcPr>
            <w:tcW w:w="1000" w:type="dxa"/>
            <w:vAlign w:val="bottom"/>
            <w:gridSpan w:val="2"/>
          </w:tcPr>
          <w:p>
            <w:pPr>
              <w:jc w:val="center"/>
              <w:ind w:right="52"/>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(Stated</w:t>
            </w:r>
          </w:p>
        </w:tc>
        <w:tc>
          <w:tcPr>
            <w:tcW w:w="220" w:type="dxa"/>
            <w:vAlign w:val="bottom"/>
            <w:gridSpan w:val="2"/>
            <w:vMerge w:val="continue"/>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1"/>
              </w:rPr>
              <w:t>thousands</w:t>
            </w:r>
          </w:p>
        </w:tc>
        <w:tc>
          <w:tcPr>
            <w:tcW w:w="14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81"/>
              </w:rPr>
              <w:t>except per share amounts)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3,793,303</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1,185,624</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1,182,795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20" w:type="dxa"/>
            <w:vAlign w:val="bottom"/>
          </w:tcPr>
          <w:p>
            <w:pPr>
              <w:spacing w:after="0" w:line="20" w:lineRule="exact"/>
              <w:rPr>
                <w:sz w:val="1"/>
                <w:szCs w:val="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18,969</w:t>
            </w:r>
          </w:p>
        </w:tc>
        <w:tc>
          <w:tcPr>
            <w:tcW w:w="10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30,042</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21,591</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3,812,272</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1,238,675</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08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2,600,826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1,243,579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35"/>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During 2007, certain holders of Schlumberger Limited’s 1.5% Series A Convertible Debentures due June 1, 2023 and 2.125% Series B Convertible Debentures due June 1, 2023 converted their debentures into Schlumberger common stock. The following table summarizes these conversions: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right"/>
              <w:ind w:right="666"/>
              <w:spacing w:after="0"/>
              <w:rPr>
                <w:sz w:val="20"/>
                <w:szCs w:val="20"/>
                <w:color w:val="auto"/>
              </w:rPr>
            </w:pPr>
            <w:r>
              <w:rPr>
                <w:rFonts w:ascii="Arial" w:cs="Arial" w:eastAsia="Arial" w:hAnsi="Arial"/>
                <w:sz w:val="14"/>
                <w:szCs w:val="14"/>
                <w:b w:val="1"/>
                <w:bCs w:val="1"/>
                <w:color w:val="auto"/>
                <w:w w:val="96"/>
              </w:rPr>
              <w:t>Third Quarter</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Conversions</w:t>
            </w: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8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Conversions</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w w:val="98"/>
              </w:rPr>
              <w:t>(Stated in millions)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1.5% Series A debentures</w:t>
            </w:r>
          </w:p>
        </w:tc>
        <w:tc>
          <w:tcPr>
            <w:tcW w:w="18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2.125% Series B debentures</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at September 30, 2007, there were $492 million of the 1.5% Series A debentures and $443 million of the 2.125% Series B debentures outstanding.</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168" w:lineRule="exact"/>
        <w:rPr>
          <w:sz w:val="20"/>
          <w:szCs w:val="20"/>
          <w:color w:val="auto"/>
        </w:rPr>
      </w:pPr>
    </w:p>
    <w:p>
      <w:pPr>
        <w:ind w:left="9480"/>
        <w:spacing w:after="0"/>
        <w:tabs>
          <w:tab w:leader="none" w:pos="1056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0</wp:posOffset>
            </wp:positionV>
            <wp:extent cx="308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0</wp:posOffset>
            </wp:positionV>
            <wp:extent cx="317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9620"/>
        <w:spacing w:after="0"/>
        <w:rPr>
          <w:sz w:val="20"/>
          <w:szCs w:val="20"/>
          <w:color w:val="auto"/>
        </w:rPr>
      </w:pPr>
      <w:r>
        <w:rPr>
          <w:rFonts w:ascii="Arial" w:cs="Arial" w:eastAsia="Arial" w:hAnsi="Arial"/>
          <w:sz w:val="14"/>
          <w:szCs w:val="14"/>
          <w:b w:val="1"/>
          <w:bCs w:val="1"/>
          <w:color w:val="auto"/>
        </w:rPr>
        <w:t>(Stated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5040" w:type="dxa"/>
            <w:vAlign w:val="bottom"/>
          </w:tcPr>
          <w:p>
            <w:pPr>
              <w:spacing w:after="0"/>
              <w:rPr>
                <w:sz w:val="20"/>
                <w:szCs w:val="20"/>
                <w:color w:val="auto"/>
              </w:rPr>
            </w:pPr>
            <w:r>
              <w:rPr>
                <w:rFonts w:ascii="Arial" w:cs="Arial" w:eastAsia="Arial" w:hAnsi="Arial"/>
                <w:sz w:val="18"/>
                <w:szCs w:val="18"/>
                <w:color w:val="auto"/>
              </w:rPr>
              <w:t>Nine months</w:t>
            </w:r>
          </w:p>
        </w:tc>
        <w:tc>
          <w:tcPr>
            <w:tcW w:w="4800" w:type="dxa"/>
            <w:vAlign w:val="bottom"/>
          </w:tcPr>
          <w:p>
            <w:pPr>
              <w:jc w:val="right"/>
              <w:ind w:right="352"/>
              <w:spacing w:after="0"/>
              <w:rPr>
                <w:sz w:val="20"/>
                <w:szCs w:val="20"/>
                <w:color w:val="auto"/>
              </w:rPr>
            </w:pPr>
            <w:r>
              <w:rPr>
                <w:rFonts w:ascii="Arial" w:cs="Arial" w:eastAsia="Arial" w:hAnsi="Arial"/>
                <w:sz w:val="18"/>
                <w:szCs w:val="18"/>
                <w:b w:val="1"/>
                <w:bCs w:val="1"/>
                <w:color w:val="auto"/>
              </w:rPr>
              <w:t>0.5</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2006</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Second quarter of 2006:</w:t>
      </w:r>
    </w:p>
    <w:p>
      <w:pPr>
        <w:spacing w:after="0" w:line="90" w:lineRule="exact"/>
        <w:rPr>
          <w:rFonts w:ascii="Arial" w:cs="Arial" w:eastAsia="Arial" w:hAnsi="Arial"/>
          <w:sz w:val="18"/>
          <w:szCs w:val="18"/>
          <w:b w:val="1"/>
          <w:bCs w:val="1"/>
          <w:color w:val="auto"/>
        </w:rPr>
      </w:pPr>
    </w:p>
    <w:p>
      <w:pPr>
        <w:ind w:left="900" w:right="40" w:hanging="325"/>
        <w:spacing w:after="0" w:line="291"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Schlumberger acquired the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39" w:lineRule="exact"/>
        <w:rPr>
          <w:rFonts w:ascii="Arial" w:cs="Arial" w:eastAsia="Arial" w:hAnsi="Arial"/>
          <w:sz w:val="16"/>
          <w:szCs w:val="16"/>
          <w:color w:val="auto"/>
        </w:rPr>
      </w:pPr>
    </w:p>
    <w:p>
      <w:pPr>
        <w:ind w:left="90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In connection with the settlement of the WesternGeco visa matter described in Note 13, a pretax charge of $10 million ($7 million after-tax and minority interest) was recorded and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Charges and Credits during the first nine months of 2006:</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Minority</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48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1"/>
              </w:rPr>
              <w:t>(Stated</w:t>
            </w: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9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—WesternGeco in-process R&amp;D charges</w:t>
            </w:r>
          </w:p>
        </w:tc>
        <w:tc>
          <w:tcPr>
            <w:tcW w:w="266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on liquidation of investments to fund</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WesternGeco transaction</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—WesternGeco visa settlement</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in-process R&amp;D charges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Charges</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and Credits during the first nine months of 2007.</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nine months of 2007, Schlumberger made certain acquisitions and minority interest investments, none of which were significant on an individual basis, for an aggregate amount of $193 million.</w:t>
      </w:r>
    </w:p>
    <w:p>
      <w:pPr>
        <w:spacing w:after="0" w:line="24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MI-SWACO drilling fluids joint venture is owned 40% by Schlumberger and 60% by Smith International, Inc. Schlumberger records income from this joint venture using the equity method of accounting. The Schlumberger investment in the joint venture at September 30, 2007 was $1.107 billion and at December 31, 2006 was $970 million. Schlumberger’s equity income from this joint venture, which is recorded one month in arrears, was as follows:</w:t>
      </w:r>
    </w:p>
    <w:p>
      <w:pPr>
        <w:spacing w:after="0" w:line="291" w:lineRule="exact"/>
        <w:rPr>
          <w:sz w:val="20"/>
          <w:szCs w:val="20"/>
          <w:color w:val="auto"/>
        </w:rPr>
      </w:pPr>
    </w:p>
    <w:p>
      <w:pPr>
        <w:ind w:left="9500"/>
        <w:spacing w:after="0"/>
        <w:tabs>
          <w:tab w:leader="none" w:pos="1058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0</wp:posOffset>
            </wp:positionV>
            <wp:extent cx="360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0</wp:posOffset>
            </wp:positionV>
            <wp:extent cx="274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9600"/>
        <w:spacing w:after="0"/>
        <w:rPr>
          <w:sz w:val="20"/>
          <w:szCs w:val="20"/>
          <w:color w:val="auto"/>
        </w:rPr>
      </w:pPr>
      <w:r>
        <w:rPr>
          <w:rFonts w:ascii="Arial" w:cs="Arial" w:eastAsia="Arial" w:hAnsi="Arial"/>
          <w:sz w:val="14"/>
          <w:szCs w:val="14"/>
          <w:b w:val="1"/>
          <w:bCs w:val="1"/>
          <w:color w:val="auto"/>
        </w:rPr>
        <w:t>(Stated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1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4940" w:type="dxa"/>
            <w:vAlign w:val="bottom"/>
          </w:tcPr>
          <w:p>
            <w:pPr>
              <w:spacing w:after="0"/>
              <w:rPr>
                <w:sz w:val="20"/>
                <w:szCs w:val="20"/>
                <w:color w:val="auto"/>
              </w:rPr>
            </w:pPr>
            <w:r>
              <w:rPr>
                <w:rFonts w:ascii="Arial" w:cs="Arial" w:eastAsia="Arial" w:hAnsi="Arial"/>
                <w:sz w:val="18"/>
                <w:szCs w:val="18"/>
                <w:color w:val="auto"/>
              </w:rPr>
              <w:t>Nine Months</w:t>
            </w:r>
          </w:p>
        </w:tc>
        <w:tc>
          <w:tcPr>
            <w:tcW w:w="41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rPr>
              <w:t>126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Schlumberger received cash distributions from the joint venture of $40 million in the first nine months of 2007. There were no cash distributions from the joint venture in the first nine months of 2006.</w:t>
      </w:r>
    </w:p>
    <w:p>
      <w:pPr>
        <w:spacing w:after="0" w:line="13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Schlumberger joint venture agreement with Smith International, Inc. contains a provision under which either party to the joint venture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 specified in the offer notice.</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w w:val="73"/>
              </w:rPr>
              <w:t>(Stated</w:t>
            </w:r>
          </w:p>
        </w:tc>
        <w:tc>
          <w:tcPr>
            <w:tcW w:w="100" w:type="dxa"/>
            <w:vAlign w:val="bottom"/>
          </w:tcPr>
          <w:p>
            <w:pPr>
              <w:spacing w:after="0"/>
              <w:rPr>
                <w:sz w:val="12"/>
                <w:szCs w:val="12"/>
                <w:color w:val="auto"/>
              </w:rPr>
            </w:pPr>
          </w:p>
        </w:tc>
        <w:tc>
          <w:tcPr>
            <w:tcW w:w="86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26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$ 1,466</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Work in process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reserves for obsolescence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3"/>
              </w:rPr>
              <w:t>$ 1,584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71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712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2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gridSpan w:val="7"/>
          </w:tcPr>
          <w:p>
            <w:pPr>
              <w:ind w:left="8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5"/>
              </w:rPr>
              <w:t>(Stated</w:t>
            </w:r>
          </w:p>
        </w:tc>
        <w:tc>
          <w:tcPr>
            <w:tcW w:w="1060" w:type="dxa"/>
            <w:vAlign w:val="bottom"/>
            <w:gridSpan w:val="6"/>
          </w:tcPr>
          <w:p>
            <w:pPr>
              <w:jc w:val="right"/>
              <w:ind w:right="232"/>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$ 15,788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60" w:type="dxa"/>
            <w:vAlign w:val="bottom"/>
          </w:tcPr>
          <w:p>
            <w:pPr>
              <w:spacing w:after="0"/>
              <w:rPr>
                <w:sz w:val="19"/>
                <w:szCs w:val="19"/>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9,101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6,687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Depreciation and amortization expense relating to fixed assets were as follows:</w:t>
            </w:r>
          </w:p>
        </w:tc>
        <w:tc>
          <w:tcPr>
            <w:tcW w:w="1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2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w w:val="79"/>
              </w:rPr>
              <w:t>(Stated</w:t>
            </w:r>
          </w:p>
        </w:tc>
        <w:tc>
          <w:tcPr>
            <w:tcW w:w="86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4"/>
            <w:shd w:val="clear" w:color="auto" w:fill="CCEEFF"/>
          </w:tcPr>
          <w:p>
            <w:pPr>
              <w:ind w:left="210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Nine Months</w:t>
            </w:r>
          </w:p>
        </w:tc>
        <w:tc>
          <w:tcPr>
            <w:tcW w:w="2180" w:type="dxa"/>
            <w:vAlign w:val="bottom"/>
            <w:gridSpan w:val="4"/>
          </w:tcPr>
          <w:p>
            <w:pPr>
              <w:ind w:left="210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1,108</w:t>
            </w:r>
          </w:p>
        </w:tc>
        <w:tc>
          <w:tcPr>
            <w:tcW w:w="2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740" w:type="dxa"/>
            <w:vAlign w:val="bottom"/>
            <w:gridSpan w:val="2"/>
            <w:shd w:val="clear" w:color="auto" w:fill="CCEEFF"/>
          </w:tcPr>
          <w:p>
            <w:pPr>
              <w:ind w:left="5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Capitalized in period</w:t>
            </w:r>
          </w:p>
        </w:tc>
        <w:tc>
          <w:tcPr>
            <w:tcW w:w="5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5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8"/>
                <w:szCs w:val="18"/>
                <w:color w:val="auto"/>
              </w:rPr>
              <w:t>Balance at September 30, 2007</w:t>
            </w:r>
          </w:p>
        </w:tc>
        <w:tc>
          <w:tcPr>
            <w:tcW w:w="53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300" w:type="dxa"/>
            <w:vAlign w:val="bottom"/>
            <w:vMerge w:val="restart"/>
          </w:tcPr>
          <w:p>
            <w:pPr>
              <w:jc w:val="right"/>
              <w:ind w:right="3892"/>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2007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Oilfield</w:t>
            </w:r>
          </w:p>
        </w:tc>
        <w:tc>
          <w:tcPr>
            <w:tcW w:w="6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Western</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60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73"/>
              </w:rPr>
              <w:t>(Stated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9"/>
              </w:rPr>
              <w:t>Geco</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Balance at September 30, 2007</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4,123</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5,080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Sept. 30, 2007</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2006</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73</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1,264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1,335</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2007</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2006</w:t>
            </w:r>
          </w:p>
        </w:tc>
      </w:tr>
      <w:tr>
        <w:trPr>
          <w:trHeight w:val="142"/>
        </w:trPr>
        <w:tc>
          <w:tcPr>
            <w:tcW w:w="49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(Stated in millions)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Nine Months</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2007, amortization charged to income for the subsequent five years is estimated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2007—$31 million; 2008—$116 million; 2009—$95 million; 2010—$84 million; 2011—$79 million and 2012—$77 million.</w:t>
      </w:r>
    </w:p>
    <w:p>
      <w:pPr>
        <w:spacing w:after="0" w:line="28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8"/>
          </w:tcPr>
          <w:p>
            <w:pPr>
              <w:ind w:left="40"/>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5"/>
              </w:rPr>
              <w:t>(Stated</w:t>
            </w:r>
          </w:p>
        </w:tc>
        <w:tc>
          <w:tcPr>
            <w:tcW w:w="7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4"/>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50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Restricted stock</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w w:val="79"/>
              </w:rPr>
              <w:t>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c>
          <w:tcPr>
            <w:tcW w:w="3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3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102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w:t>
            </w: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6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0" w:type="dxa"/>
            <w:vAlign w:val="bottom"/>
            <w:gridSpan w:val="2"/>
          </w:tcPr>
          <w:p>
            <w:pPr>
              <w:spacing w:after="0"/>
              <w:rPr>
                <w:sz w:val="20"/>
                <w:szCs w:val="20"/>
                <w:color w:val="auto"/>
              </w:rPr>
            </w:pPr>
            <w:r>
              <w:rPr>
                <w:rFonts w:ascii="Arial" w:cs="Arial" w:eastAsia="Arial" w:hAnsi="Arial"/>
                <w:sz w:val="18"/>
                <w:szCs w:val="18"/>
                <w:color w:val="auto"/>
              </w:rPr>
              <w:t>Pretax book income subject to US and non-US income taxes was as follows: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480" w:type="dxa"/>
            <w:vAlign w:val="bottom"/>
            <w:gridSpan w:val="8"/>
          </w:tcPr>
          <w:p>
            <w:pPr>
              <w:ind w:left="300"/>
              <w:spacing w:after="0"/>
              <w:rPr>
                <w:sz w:val="20"/>
                <w:szCs w:val="20"/>
                <w:color w:val="auto"/>
              </w:rPr>
            </w:pPr>
            <w:r>
              <w:rPr>
                <w:rFonts w:ascii="Arial" w:cs="Arial" w:eastAsia="Arial" w:hAnsi="Arial"/>
                <w:sz w:val="14"/>
                <w:szCs w:val="14"/>
                <w:b w:val="1"/>
                <w:bCs w:val="1"/>
                <w:color w:val="auto"/>
              </w:rPr>
              <w:t>Third Quarter</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78"/>
              </w:rPr>
              <w:t>(Stated</w:t>
            </w:r>
          </w:p>
        </w:tc>
        <w:tc>
          <w:tcPr>
            <w:tcW w:w="94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  362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$ 1,321</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Outside United States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3,563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1,317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$ 4,884</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$ 3,480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5"/>
              </w:rPr>
              <w:t>Sept. 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10"/>
          </w:tcPr>
          <w:p>
            <w:pPr>
              <w:ind w:left="60"/>
              <w:spacing w:after="0" w:line="143"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and other long-term benefits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employee benefits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inventory and other</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operating losses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deferred tax assets relating to net operating losses at both September 30, 2007 and December 31, 2006 are net of valuation allowances in certain countries of $218 million. The deferred tax assets presented above are also net of valuation allowances relating to a capital loss carryforward of $147 million at September 30, 2007 ($151 million at December 31, 2006) which expires in 2009 and 2010, and a foreign tax credit carryforward of $55 million, at both September 30, 2007 and December 31, 2006, which expires in 2009 through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gridSpan w:val="9"/>
          </w:tcPr>
          <w:p>
            <w:pPr>
              <w:jc w:val="right"/>
              <w:ind w:right="500"/>
              <w:spacing w:after="0" w:line="142" w:lineRule="exact"/>
              <w:rPr>
                <w:sz w:val="20"/>
                <w:szCs w:val="20"/>
                <w:color w:val="auto"/>
              </w:rPr>
            </w:pPr>
            <w:r>
              <w:rPr>
                <w:rFonts w:ascii="Arial" w:cs="Arial" w:eastAsia="Arial" w:hAnsi="Arial"/>
                <w:sz w:val="14"/>
                <w:szCs w:val="14"/>
                <w:b w:val="1"/>
                <w:bCs w:val="1"/>
                <w:color w:val="auto"/>
                <w:w w:val="97"/>
              </w:rPr>
              <w:t>(Stated in millions)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81</w:t>
            </w:r>
          </w:p>
        </w:tc>
        <w:tc>
          <w:tcPr>
            <w:tcW w:w="4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w w:val="75"/>
              </w:rPr>
              <w:t>$ 162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409</w:t>
            </w:r>
          </w:p>
        </w:tc>
        <w:tc>
          <w:tcPr>
            <w:tcW w:w="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4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218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622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5"/>
              </w:rPr>
              <w:t>$ 350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1,072</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w:t>
            </w:r>
          </w:p>
        </w:tc>
        <w:tc>
          <w:tcPr>
            <w:tcW w:w="4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 (13)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tcPr>
          <w:p>
            <w:pPr>
              <w:spacing w:after="0"/>
              <w:rPr>
                <w:sz w:val="18"/>
                <w:szCs w:val="18"/>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4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18"/>
                <w:szCs w:val="18"/>
                <w:color w:val="auto"/>
              </w:rPr>
            </w:pPr>
          </w:p>
        </w:tc>
        <w:tc>
          <w:tcPr>
            <w:tcW w:w="9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 (33)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60"/>
              <w:spacing w:after="0"/>
              <w:rPr>
                <w:sz w:val="20"/>
                <w:szCs w:val="20"/>
                <w:color w:val="auto"/>
              </w:rPr>
            </w:pPr>
            <w:r>
              <w:rPr>
                <w:rFonts w:ascii="Arial" w:cs="Arial" w:eastAsia="Arial" w:hAnsi="Arial"/>
                <w:sz w:val="18"/>
                <w:szCs w:val="18"/>
                <w:color w:val="auto"/>
              </w:rPr>
              <w:t>Consolidated taxes on income</w:t>
            </w: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356</w:t>
            </w:r>
          </w:p>
        </w:tc>
        <w:tc>
          <w:tcPr>
            <w:tcW w:w="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w w:val="75"/>
              </w:rPr>
              <w:t>$ 317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1,091</w:t>
            </w: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4"/>
              </w:rPr>
              <w:t>A reconciliation of the US statutory federal tax rate (35%) to the consolidated effective tax rate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w:t>
            </w: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US state income taxes</w:t>
            </w:r>
          </w:p>
        </w:tc>
        <w:tc>
          <w:tcPr>
            <w:tcW w:w="1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w:t>
            </w:r>
          </w:p>
        </w:tc>
        <w:tc>
          <w:tcPr>
            <w:tcW w:w="9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100" w:type="dxa"/>
            <w:vAlign w:val="bottom"/>
          </w:tcPr>
          <w:p>
            <w:pPr>
              <w:spacing w:after="0"/>
              <w:rPr>
                <w:sz w:val="18"/>
                <w:szCs w:val="18"/>
                <w:color w:val="auto"/>
              </w:rPr>
            </w:pPr>
          </w:p>
        </w:tc>
        <w:tc>
          <w:tcPr>
            <w:tcW w:w="8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4"/>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Domestic production and other deductions/credits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460"/>
              <w:spacing w:after="0"/>
              <w:rPr>
                <w:sz w:val="20"/>
                <w:szCs w:val="20"/>
                <w:color w:val="auto"/>
              </w:rPr>
            </w:pPr>
            <w:r>
              <w:rPr>
                <w:rFonts w:ascii="Arial" w:cs="Arial" w:eastAsia="Arial" w:hAnsi="Arial"/>
                <w:sz w:val="18"/>
                <w:szCs w:val="18"/>
                <w:color w:val="auto"/>
              </w:rPr>
              <w:t>Effective income tax rate</w:t>
            </w: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21%</w:t>
            </w: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2006, the Financial Accounting Standards Board (FASB) issued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Interpretation of FASB Statement No. 109 </w:t>
      </w:r>
      <w:r>
        <w:rPr>
          <w:rFonts w:ascii="Arial" w:cs="Arial" w:eastAsia="Arial" w:hAnsi="Arial"/>
          <w:sz w:val="18"/>
          <w:szCs w:val="18"/>
          <w:color w:val="auto"/>
        </w:rPr>
        <w:t>(FIN 48), which clarifies the accounting for uncertain tax positions. This interpretation requires companies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financial statements the impact of a tax position, if that position is more likely than not of being sustained on audit, based on the technical merits of the position. Schlumberger adopted the provisions of FIN 48 effective January 1, 2007. The adoption of FIN 48 did not have any impact on the total liabilities or stockholders’ equity of Schlumberger.</w:t>
      </w:r>
    </w:p>
    <w:p>
      <w:pPr>
        <w:spacing w:after="0" w:line="14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January 1, 2007 is approximately $764 million of liabilities associated with uncertain tax positions in the over 100 jurisdictions in which Schlumberger conducts business. This amount includes $94 million of accrued interest and penalties. Approximately $739 million of unrecognized tax benefits, if recognized, would impact the Schlumberger effective tax rate.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classifies interest and penalties relating to uncertain tax positions within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2002 - 2006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Mexico</w:t>
            </w:r>
          </w:p>
        </w:tc>
        <w:tc>
          <w:tcPr>
            <w:tcW w:w="5080" w:type="dxa"/>
            <w:vAlign w:val="bottom"/>
          </w:tcPr>
          <w:p>
            <w:pPr>
              <w:jc w:val="right"/>
              <w:spacing w:after="0"/>
              <w:rPr>
                <w:sz w:val="20"/>
                <w:szCs w:val="20"/>
                <w:color w:val="auto"/>
              </w:rPr>
            </w:pPr>
            <w:r>
              <w:rPr>
                <w:rFonts w:ascii="Arial" w:cs="Arial" w:eastAsia="Arial" w:hAnsi="Arial"/>
                <w:sz w:val="18"/>
                <w:szCs w:val="18"/>
                <w:color w:val="auto"/>
              </w:rPr>
              <w:t>2002 - 2006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2004 - 2006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Saudi Arabia</w:t>
            </w:r>
          </w:p>
        </w:tc>
        <w:tc>
          <w:tcPr>
            <w:tcW w:w="5080" w:type="dxa"/>
            <w:vAlign w:val="bottom"/>
          </w:tcPr>
          <w:p>
            <w:pPr>
              <w:jc w:val="right"/>
              <w:spacing w:after="0"/>
              <w:rPr>
                <w:sz w:val="20"/>
                <w:szCs w:val="20"/>
                <w:color w:val="auto"/>
              </w:rPr>
            </w:pPr>
            <w:r>
              <w:rPr>
                <w:rFonts w:ascii="Arial" w:cs="Arial" w:eastAsia="Arial" w:hAnsi="Arial"/>
                <w:sz w:val="18"/>
                <w:szCs w:val="18"/>
                <w:color w:val="auto"/>
              </w:rPr>
              <w:t>2001 - 2006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2004 - 2006</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United States</w:t>
            </w:r>
          </w:p>
        </w:tc>
        <w:tc>
          <w:tcPr>
            <w:tcW w:w="5080" w:type="dxa"/>
            <w:vAlign w:val="bottom"/>
          </w:tcPr>
          <w:p>
            <w:pPr>
              <w:jc w:val="right"/>
              <w:spacing w:after="0"/>
              <w:rPr>
                <w:sz w:val="20"/>
                <w:szCs w:val="20"/>
                <w:color w:val="auto"/>
              </w:rPr>
            </w:pPr>
            <w:r>
              <w:rPr>
                <w:rFonts w:ascii="Arial" w:cs="Arial" w:eastAsia="Arial" w:hAnsi="Arial"/>
                <w:sz w:val="18"/>
                <w:szCs w:val="18"/>
                <w:color w:val="auto"/>
              </w:rPr>
              <w:t>2003 - 2006</w:t>
            </w:r>
          </w:p>
        </w:tc>
      </w:tr>
    </w:tbl>
    <w:p>
      <w:pPr>
        <w:spacing w:after="0" w:line="14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years are technically not closed until the statute of limitations in each jurisdiction expires. In the jurisdictions noted above, the statute of limitations can extend beyond the open years subject to examination.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Due to the breadth of the operations of Schlumberger,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w:t>
      </w:r>
    </w:p>
    <w:p>
      <w:pPr>
        <w:spacing w:after="0" w:line="22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Schlumberger’s consolidated liquidity, financial position or future results of operations.</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Additionally, WesternGeco L.L.C. entered into a twelve-month Deferred Prosecution Agreement (“DPA”), during which time its Gulf of Mexico activities were subject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monitoring by the United States Government. At the conclusion of this twelve-month period on June 16, 2007, WesternGeco L.L.C. was determined to have complied with the terms of the DPA. As a result, the DPA expired and no prosecution arising from the investigation will be brought. Moreover, WesternGeco has developed and implemented a comprehensive visa and immigration compliance program designed to prevent a recurrence of improper visa practices.</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presently determinable and therefore, it is not possible to estimate the amount of loss or range of possible losses that might result from an adverse judgment or settlement in any of these matters. However, in the opinion of management, no liability that might ensue would be material in relation to Schlumberger’s consolidated liquidity, financial position or future results of operations.</w:t>
      </w:r>
    </w:p>
    <w:p>
      <w:pPr>
        <w:spacing w:after="0" w:line="22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rPr>
              <w:t>THIRD QUARTER 2007</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 xml:space="preserve">THIRD QUARTER 2006 </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&amp; MI</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420" w:type="dxa"/>
            <w:vAlign w:val="bottom"/>
            <w:gridSpan w:val="2"/>
          </w:tcPr>
          <w:p>
            <w:pPr>
              <w:ind w:left="1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1,300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2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350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1,346</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Europe/CIS/Africa</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1,693</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495</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302</w:t>
            </w: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1,227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438</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278</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Elims/Other</w:t>
            </w: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5,129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964</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20"/>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WesternGeco</w:t>
            </w: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3"/>
            <w:vMerge w:val="continue"/>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794</w:t>
            </w: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228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306</w:t>
            </w:r>
          </w:p>
        </w:tc>
        <w:tc>
          <w:tcPr>
            <w:tcW w:w="1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661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158</w:t>
            </w:r>
          </w:p>
        </w:tc>
        <w:tc>
          <w:tcPr>
            <w:tcW w:w="180" w:type="dxa"/>
            <w:vAlign w:val="bottom"/>
          </w:tcPr>
          <w:p>
            <w:pPr>
              <w:spacing w:after="0"/>
              <w:rPr>
                <w:sz w:val="13"/>
                <w:szCs w:val="13"/>
                <w:color w:val="auto"/>
              </w:rPr>
            </w:pPr>
          </w:p>
        </w:tc>
        <w:tc>
          <w:tcPr>
            <w:tcW w:w="3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96"/>
              </w:rPr>
              <w:t>5,926</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1,376</w:t>
            </w:r>
          </w:p>
        </w:tc>
        <w:tc>
          <w:tcPr>
            <w:tcW w:w="2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4,955</w:t>
            </w:r>
          </w:p>
        </w:tc>
        <w:tc>
          <w:tcPr>
            <w:tcW w:w="16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1,037</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Interest Income</w:t>
            </w: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(2)</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1,710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8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January 1, 2007, a GeoMarket* that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2007; $1 million in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NINE MONTHS 2007</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 xml:space="preserve">NINE MONTHS 2006 </w:t>
            </w:r>
            <w:r>
              <w:rPr>
                <w:rFonts w:ascii="Arial" w:cs="Arial" w:eastAsia="Arial" w:hAnsi="Arial"/>
                <w:sz w:val="22"/>
                <w:szCs w:val="22"/>
                <w:b w:val="1"/>
                <w:bCs w:val="1"/>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1"/>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Tax</w:t>
            </w: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76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&amp; MI</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&amp; MI</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0" w:type="dxa"/>
            <w:vAlign w:val="bottom"/>
          </w:tcPr>
          <w:p>
            <w:pPr>
              <w:spacing w:after="0"/>
              <w:rPr>
                <w:sz w:val="12"/>
                <w:szCs w:val="12"/>
                <w:color w:val="auto"/>
              </w:rPr>
            </w:pPr>
          </w:p>
        </w:tc>
        <w:tc>
          <w:tcPr>
            <w:tcW w:w="2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4,012</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809</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1,198</w:t>
            </w:r>
          </w:p>
        </w:tc>
        <w:tc>
          <w:tcPr>
            <w:tcW w:w="2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3,837</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761</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287</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Europe/CIS/Africa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1,146</w:t>
            </w: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1,107</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Elims/Other</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14,862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12,134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2,579</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WesternGeco</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2,165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575</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788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1,754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339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17,029</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3,880</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1,091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13,881</w:t>
            </w:r>
          </w:p>
        </w:tc>
        <w:tc>
          <w:tcPr>
            <w:tcW w:w="16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2,704</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853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112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Charges and Credits </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4,884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January 1, 2007, a GeoMarket that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($4 million in 2007; $5 million in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28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US plans included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(Stated in millions)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$ 15</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$ 14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52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(37)</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5"/>
              </w:rPr>
              <w:t>(110)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52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pension cost</w:t>
            </w:r>
          </w:p>
        </w:tc>
        <w:tc>
          <w:tcPr>
            <w:tcW w:w="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$ 18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$ 15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$ 53</w:t>
            </w: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2007, Schlumberger made contributions of $150 million to its US pension plans.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and Subsidiary Companies</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UK plan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Third Quarter</w:t>
            </w:r>
          </w:p>
        </w:tc>
        <w:tc>
          <w:tcPr>
            <w:tcW w:w="20" w:type="dxa"/>
            <w:vAlign w:val="bottom"/>
          </w:tcPr>
          <w:p>
            <w:pPr>
              <w:spacing w:after="0"/>
              <w:rPr>
                <w:sz w:val="14"/>
                <w:szCs w:val="14"/>
                <w:color w:val="auto"/>
              </w:rPr>
            </w:pPr>
          </w:p>
        </w:tc>
        <w:tc>
          <w:tcPr>
            <w:tcW w:w="98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Borders>
              <w:top w:val="single" w:sz="8" w:color="auto"/>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spacing w:after="0"/>
              <w:rPr>
                <w:sz w:val="12"/>
                <w:szCs w:val="12"/>
                <w:color w:val="auto"/>
              </w:rPr>
            </w:pPr>
          </w:p>
        </w:tc>
        <w:tc>
          <w:tcPr>
            <w:tcW w:w="3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8"/>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(Stated in millions)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$ 26</w:t>
            </w:r>
          </w:p>
        </w:tc>
        <w:tc>
          <w:tcPr>
            <w:tcW w:w="2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8"/>
                <w:szCs w:val="18"/>
                <w:color w:val="auto"/>
              </w:rPr>
              <w:t>10</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7"/>
              </w:rPr>
              <w:t>(13)</w:t>
            </w:r>
          </w:p>
        </w:tc>
        <w:tc>
          <w:tcPr>
            <w:tcW w:w="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Amortization of net loss &amp; other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$ 28</w:t>
            </w:r>
          </w:p>
        </w:tc>
        <w:tc>
          <w:tcPr>
            <w:tcW w:w="2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352"/>
              <w:spacing w:after="0"/>
              <w:rPr>
                <w:sz w:val="20"/>
                <w:szCs w:val="20"/>
                <w:color w:val="auto"/>
              </w:rPr>
            </w:pPr>
            <w:r>
              <w:rPr>
                <w:rFonts w:ascii="Arial" w:cs="Arial" w:eastAsia="Arial" w:hAnsi="Arial"/>
                <w:sz w:val="18"/>
                <w:szCs w:val="18"/>
                <w:color w:val="auto"/>
                <w:w w:val="88"/>
              </w:rPr>
              <w:t>Net postretirement benefit cost for the Schlumberger US plans included the following components:</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Third Quarter</w:t>
            </w: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w:t>
            </w:r>
          </w:p>
        </w:tc>
        <w:tc>
          <w:tcPr>
            <w:tcW w:w="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8"/>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62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9"/>
              </w:rPr>
              <w:t>13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w:t>
            </w:r>
          </w:p>
        </w:tc>
        <w:tc>
          <w:tcPr>
            <w:tcW w:w="5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9"/>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6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2"/>
        </w:trPr>
        <w:tc>
          <w:tcPr>
            <w:tcW w:w="7400" w:type="dxa"/>
            <w:vAlign w:val="bottom"/>
            <w:gridSpan w:val="2"/>
          </w:tcPr>
          <w:p>
            <w:pPr>
              <w:ind w:left="460"/>
              <w:spacing w:after="0"/>
              <w:rPr>
                <w:sz w:val="20"/>
                <w:szCs w:val="20"/>
                <w:color w:val="auto"/>
              </w:rPr>
            </w:pPr>
            <w:r>
              <w:rPr>
                <w:rFonts w:ascii="Arial" w:cs="Arial" w:eastAsia="Arial" w:hAnsi="Arial"/>
                <w:sz w:val="18"/>
                <w:szCs w:val="18"/>
                <w:color w:val="auto"/>
              </w:rPr>
              <w:t>Net postretirement benefit cost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13</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$ 40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512"/>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660" w:type="dxa"/>
            <w:vAlign w:val="bottom"/>
            <w:gridSpan w:val="11"/>
          </w:tcPr>
          <w:p>
            <w:pPr>
              <w:jc w:val="right"/>
              <w:ind w:right="740"/>
              <w:spacing w:after="0"/>
              <w:rPr>
                <w:sz w:val="20"/>
                <w:szCs w:val="20"/>
                <w:color w:val="auto"/>
              </w:rPr>
            </w:pPr>
            <w:r>
              <w:rPr>
                <w:rFonts w:ascii="Arial" w:cs="Arial" w:eastAsia="Arial" w:hAnsi="Arial"/>
                <w:sz w:val="18"/>
                <w:szCs w:val="18"/>
                <w:b w:val="1"/>
                <w:bCs w:val="1"/>
                <w:color w:val="auto"/>
                <w:w w:val="90"/>
              </w:rPr>
              <w:t>Management’s Discussion and Analysis of Financial Condition and Results of Operations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7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BUSINESS REVIEW</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2"/>
                <w:szCs w:val="12"/>
                <w:b w:val="1"/>
                <w:bCs w:val="1"/>
                <w:color w:val="auto"/>
                <w:w w:val="96"/>
              </w:rPr>
              <w:t xml:space="preserve">2006 </w:t>
            </w:r>
            <w:r>
              <w:rPr>
                <w:rFonts w:ascii="Arial" w:cs="Arial" w:eastAsia="Arial" w:hAnsi="Arial"/>
                <w:sz w:val="19"/>
                <w:szCs w:val="19"/>
                <w:b w:val="1"/>
                <w:bCs w:val="1"/>
                <w:color w:val="auto"/>
                <w:w w:val="96"/>
                <w:vertAlign w:val="superscript"/>
              </w:rPr>
              <w:t>(1)</w:t>
            </w:r>
          </w:p>
        </w:tc>
        <w:tc>
          <w:tcPr>
            <w:tcW w:w="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 chg</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2"/>
                <w:szCs w:val="12"/>
                <w:b w:val="1"/>
                <w:bCs w:val="1"/>
                <w:color w:val="auto"/>
              </w:rPr>
              <w:t xml:space="preserve">2006 </w:t>
            </w:r>
            <w:r>
              <w:rPr>
                <w:rFonts w:ascii="Arial" w:cs="Arial" w:eastAsia="Arial" w:hAnsi="Arial"/>
                <w:sz w:val="19"/>
                <w:szCs w:val="19"/>
                <w:b w:val="1"/>
                <w:bCs w:val="1"/>
                <w:color w:val="auto"/>
                <w:vertAlign w:val="superscript"/>
              </w:rPr>
              <w:t>(1)</w:t>
            </w: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4"/>
          </w:tcPr>
          <w:p>
            <w:pPr>
              <w:jc w:val="right"/>
              <w:ind w:right="96"/>
              <w:spacing w:after="0" w:line="142" w:lineRule="exact"/>
              <w:rPr>
                <w:sz w:val="20"/>
                <w:szCs w:val="20"/>
                <w:color w:val="auto"/>
              </w:rPr>
            </w:pPr>
            <w:r>
              <w:rPr>
                <w:rFonts w:ascii="Arial" w:cs="Arial" w:eastAsia="Arial" w:hAnsi="Arial"/>
                <w:sz w:val="14"/>
                <w:szCs w:val="14"/>
                <w:b w:val="1"/>
                <w:bCs w:val="1"/>
                <w:color w:val="auto"/>
                <w:w w:val="97"/>
              </w:rPr>
              <w:t>(Stated 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5,128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4,297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14,862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12,134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4"/>
              </w:rPr>
              <w:t>1,505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1,223</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46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Pretax Operating Income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232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9" w:lineRule="exact"/>
        <w:rPr>
          <w:sz w:val="20"/>
          <w:szCs w:val="20"/>
          <w:color w:val="auto"/>
        </w:rPr>
      </w:pPr>
    </w:p>
    <w:p>
      <w:pPr>
        <w:ind w:left="460" w:right="3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January 1, 2007, a GeoMarket that had been included in the Middle East &amp; Asia Area was reassigned to the Europe/CIS/Africa Area. Certain activities have also been reallocated between Oilfield Services and WesternGeco. Prior period data has been reclassified to conform to the current organizational structure.</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and the </w:t>
      </w:r>
      <w:r>
        <w:rPr>
          <w:rFonts w:ascii="Arial" w:cs="Arial" w:eastAsia="Arial" w:hAnsi="Arial"/>
          <w:sz w:val="16"/>
          <w:szCs w:val="16"/>
          <w:i w:val="1"/>
          <w:iCs w:val="1"/>
          <w:color w:val="auto"/>
        </w:rPr>
        <w:t xml:space="preserve">Charges and Credits </w:t>
      </w:r>
      <w:r>
        <w:rPr>
          <w:rFonts w:ascii="Arial" w:cs="Arial" w:eastAsia="Arial" w:hAnsi="Arial"/>
          <w:sz w:val="16"/>
          <w:szCs w:val="16"/>
          <w:color w:val="auto"/>
        </w:rPr>
        <w:t>described in detail in Note 3 to the</w:t>
      </w:r>
      <w:r>
        <w:rPr>
          <w:rFonts w:ascii="Arial" w:cs="Arial" w:eastAsia="Arial" w:hAnsi="Arial"/>
          <w:sz w:val="16"/>
          <w:szCs w:val="16"/>
          <w:i w:val="1"/>
          <w:iCs w:val="1"/>
          <w:color w:val="auto"/>
        </w:rPr>
        <w:t xml:space="preserve"> Consolidated Financial Statements</w:t>
      </w:r>
      <w:r>
        <w:rPr>
          <w:rFonts w:ascii="Arial" w:cs="Arial" w:eastAsia="Arial" w:hAnsi="Arial"/>
          <w:sz w:val="16"/>
          <w:szCs w:val="16"/>
          <w:color w:val="auto"/>
        </w:rPr>
        <w:t>, as these items are not allocated to the segments.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2007 Compared to Third Quarter 2006</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for the third quarter of 2007 was $5.93 billion versus $4.95 billion for the same period last year. Income before income taxes and minority interest was $1.71 billion for the three-month period ending September 30, 2007 compared to $1.32 billion for 2006.</w:t>
      </w:r>
    </w:p>
    <w:p>
      <w:pPr>
        <w:spacing w:after="0" w:line="28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OILFIELD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Oilfield Services revenue of $5.13 billion increased 3% sequentially and 19% year-on-year.</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Pretax operating income of $1.51 billion was essentially flat sequentially, but increased 23% year-on-year. Sequentially, growth through stronger demand for Well Services and Wireline technologies in Canada; a more favorable activity mix in the Mexico/Central America GeoMarket; higher activity levels and a favorable technology mix in Peru/Colombia/Ecuador; and increased high-margin Drilling &amp; Measurements activity in China/Japan/Korea and Eastern Russia was experienced. However, this growth was offset by the weather-related effects in the US Gulf of Mexico and the pressure-pumping pricing erosion on land in the US. The overall Oilfield Services pretax operating margin was 29.4%, a sequential decrease of 107 basis points.</w:t>
      </w:r>
    </w:p>
    <w:p>
      <w:pPr>
        <w:spacing w:after="0" w:line="1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Year-on-year growth for both revenue and pretax operating income was driven by higher activity in Latin America, followed by the Middle East &amp; Asia and Europe/CIS/Africa Areas. This growth was partially offset by a decline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$1.30 billion decreased 3% sequentially and 3% year-on-year. Pretax operating income of $350 million decreased 16% sequentially and 15% year-on-year.</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Sequentially, revenue in the Canada GeoMarket rebounded on the higher rig count led by demand for Well Services and Wireline technologies following the seasonal spring break-up. However, this growth was more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offset by a slowdown in the US Gulf Coast due to operator caution during the hurricane season; lower exploration-driven activity associated with seasonal facilities and rig maintenance in Alaska; and the pricing erosion in pressure-pumping stimulation services in all three US land GeoMarkets.</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Year-on-year revenue increases were registered in the US Land Central GeoMarket driven by higher rig count and increased demand for Drilling &amp; Measurements technologies; in US Land North resulting from higher rig count; and in Alaska driven by higher demand for new technology applications. However, these increases were more than offset by a decline in rig count in Canada, lower rig count and operator caution during the hurricane season in the US Gulf Coast, together with lower activity in US Land West.</w:t>
      </w:r>
    </w:p>
    <w:p>
      <w:pPr>
        <w:spacing w:after="0" w:line="143" w:lineRule="exact"/>
        <w:rPr>
          <w:sz w:val="20"/>
          <w:szCs w:val="20"/>
          <w:color w:val="auto"/>
        </w:rPr>
      </w:pPr>
    </w:p>
    <w:p>
      <w:pPr>
        <w:ind w:right="540"/>
        <w:spacing w:after="0" w:line="335" w:lineRule="auto"/>
        <w:rPr>
          <w:sz w:val="20"/>
          <w:szCs w:val="20"/>
          <w:color w:val="auto"/>
        </w:rPr>
      </w:pPr>
      <w:r>
        <w:rPr>
          <w:rFonts w:ascii="Arial" w:cs="Arial" w:eastAsia="Arial" w:hAnsi="Arial"/>
          <w:sz w:val="15"/>
          <w:szCs w:val="15"/>
          <w:color w:val="auto"/>
        </w:rPr>
        <w:t>Pretax operating margin for the Area declined 427 basis points sequentially to 26.9% primarily due to the weather-related effects on activity in the US, particularly in the Gulf of Mexico; lower high-margin exploration activity in Alaska; and the lower pricing environment for pressure-pumping stimulation services in the US land GeoMarkets. In Canada, however, margins grew as a result of improved utilization of people and equipment as activity rebounded.</w:t>
      </w:r>
    </w:p>
    <w:p>
      <w:pPr>
        <w:spacing w:after="0" w:line="8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Pretax operating margin reduced year-on-year by 360 basis points. During the period, an improvement in margins in Alaska was more than offset by a decline in the US land GeoMarkets together with a decline in the US Gulf Coast and in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$863 million increased 13% sequentially and 37% year-on-year. Pretax operating income of $204 million increased 14% sequentially and 58% year-on-year.</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Sequential revenue growth was primarily driven by a continuing ramp-up in Integrated Project Management (IPM) activity in Mexico/Central America. A higher rig count coupled with stronger demand for Drilling &amp; Measurements, Artificial Lift Systems and Schlumberger Information Solutions technologies in the Peru/Colombia/Ecuador GeoMarket also contributed to growth.</w:t>
      </w:r>
    </w:p>
    <w:p>
      <w:pPr>
        <w:spacing w:after="0" w:line="14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Year-on-year revenue growth in the Area resulted from higher activity in IPM projects in Mexico/Central America, together with higher rig counts in the Peru/Colombia/Ecuador and Venezuela/Trinidad &amp; Tobago GeoMarkets. In addition, Latin America South also contributed to growth through increases in exploration-related activities.</w:t>
      </w:r>
    </w:p>
    <w:p>
      <w:pPr>
        <w:spacing w:after="0" w:line="140"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Sequentially, pretax operating margin increased by 10 basis points to 23.7% as a result of an increase in exploration-related higher-margin Drilling &amp; Measurements services in Peru/Colombia/Ecuador and a more favorable activity mix on IPM projects in Mexico/Central America.</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Pretax operating margin increased year-on-year by 307 basis points, driven by demand for higher-margin services in Peru/Colombia/Ecuador and Latin America South, and an improved activity mix in the Mexico/Central America and Venezuela/Trinidad &amp; Tobago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of $1.69 billion increased 5% sequentially and 28% year-on-year. Pretax operating income of $495 million increased 7% sequentially and 38%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 revenue growth was driven by seasonally higher activity levels on land and offshore in the East Russia GeoMarket; increased demand for IPM services and for Artificial Lift Systems products in South Russia; higher demand for Drilling &amp; Measurements technologies in North Russia; and the impact of the consolidation of Tyumenpromgeofizika. Increased demand for Well Services and Drilling &amp; Measurements technologies in North Africa; higher demand for Artificial Lift Systems products in Continental Europe; and stronger demand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Wireline and Well Testing technologies in West and South Africa also contributed to growth. However, this was partially offset by project slowdowns in Nigeria and the Caspian, and by lower activity in Libya.</w:t>
      </w:r>
    </w:p>
    <w:p>
      <w:pPr>
        <w:spacing w:after="0" w:line="1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Year-on-year revenue growth in the Area was driven by higher rig count and increased demand for Well Services and Drilling &amp; Measurements technologies in North Africa; higher demand for Drilling &amp; Measurements technologies in North Russia, increased demand for Artificial Lift Systems products in South Russia together with the impact of the consolidation of Tyumenpromgeofizika. Increased exploration-driven activity in the North Sea, Continental Europe and West and South Africa and higher rig count in Libya also contributed to growth.</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Area pretax operating margin increased by 50 basis points sequentially to reach 29.2% driven primarily by increased demand for higher-margin Well Services and Drilling &amp; Measurements technologies in North Africa and a more favorable activity mix in the Russia GeoMarkets. This performance was partially offset by the project slowdowns in Nigeria and the Caspian and by lower demand for higher-margin Wireline and Drilling &amp; Measurements technologies in Libya.</w:t>
      </w:r>
    </w:p>
    <w:p>
      <w:pPr>
        <w:spacing w:after="0" w:line="107"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Pretax operating margin increased year-on-year by 218 basis points as a result of efficiency gains in IPM projects across Russia, demand for higher-margin exploration related services in the North Sea, Continental Europe and West &amp; South Africa GeoMarkets, and a favorable activity mix in North Africa. This increase was partially offset by pricing erosion in Libya.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$1.23 billion increased 1% sequentially and 28% year-on-year. Pretax operating income of $438 million increased 2% sequentially and 42% year-on-year.</w:t>
      </w:r>
    </w:p>
    <w:p>
      <w:pPr>
        <w:spacing w:after="0" w:line="132" w:lineRule="exact"/>
        <w:rPr>
          <w:sz w:val="20"/>
          <w:szCs w:val="20"/>
          <w:color w:val="auto"/>
        </w:rPr>
      </w:pPr>
    </w:p>
    <w:p>
      <w:pPr>
        <w:ind w:right="1780"/>
        <w:spacing w:after="0" w:line="332" w:lineRule="auto"/>
        <w:rPr>
          <w:sz w:val="20"/>
          <w:szCs w:val="20"/>
          <w:color w:val="auto"/>
        </w:rPr>
      </w:pPr>
      <w:r>
        <w:rPr>
          <w:rFonts w:ascii="Arial" w:cs="Arial" w:eastAsia="Arial" w:hAnsi="Arial"/>
          <w:sz w:val="16"/>
          <w:szCs w:val="16"/>
          <w:color w:val="auto"/>
        </w:rPr>
        <w:t>The sequential growth in revenue resulted from higher activity in the China/Japan/Korea, Indonesia, Australia/Papua New Guinea, India, Brunei/Malaysia/Philippines and Gulf GeoMarkets. This growth was partially offset by lower activity in Qatar and Thailand/Vietnam.</w:t>
      </w:r>
    </w:p>
    <w:p>
      <w:pPr>
        <w:spacing w:after="0" w:line="8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year-on-year revenue increased from higher demand for Drilling &amp; Measurements and Wireline technologies together with increased Completions and Artificial Lift Systems product sales in Australia/Papua New Guinea; higher land activity in China/Japan/Korea; higher rig count in India; higher rig count and increased demand for Drilling &amp; Measurements technologies in Qatar; and higher demand for Well Testing services in Brunei/Malaysia/Philippines. In addition, revenue increases were also recorded in the East Mediterranean with strong demand for IPM and Wireline technologies, and in the Arabian and Indonesia GeoMarkets driven by higher demand for Well Services technologies.</w:t>
      </w:r>
    </w:p>
    <w:p>
      <w:pPr>
        <w:spacing w:after="0" w:line="1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Pretax operating margin increased by 39 basis points sequentially to 35.7% driven by the activity mix in China/Japan/Korea; increased demand for higher-margin Drilling &amp; Measurements and Well Testing technologies in Australia/Papua New Guinea; and higher demand for Wireline and Well Testing technologies in Brunei/Malaysia/Philippines. This performance was partially offset by the slowdown in the Thailand/Vietnam GeoMarket.</w:t>
      </w:r>
    </w:p>
    <w:p>
      <w:pPr>
        <w:spacing w:after="0" w:line="10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Pretax operating margin increased by 353 basis points year-on-year driven by exploration-related higher-margin activities in the Australia/Papua New Guinea, Eastern Mediterranean and China/Japan/Korea GeoMarkets, an increased demand for high-margin Wireline and Drilling &amp; Measurements technologies in the Gulf and Qatar GeoMarkets, together with an increased demand for high-margin Well Services technologies in Indonesia.</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Third-quarter revenue of $794 million increased 19% sequentially and was 20% higher compared to the same period last year. Pretax operating income of $306 million increased 42% sequentially and 32% year-on-year.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Sequentially, Marine revenue increased due to higher vessel utilization following seasonal transits and scheduled dry dock inspections in the prior quarter, full-quarter utilization of the seventh Q* vessel, and improved pricing for conventional and Q-Marine* surveys. Data Processing revenue also increased driven primarily by higher sales in Europe, North America and Asia. These increases were partially offset by lower Multiclient sales while Land activity was flat.</w:t>
      </w:r>
    </w:p>
    <w:p>
      <w:pPr>
        <w:spacing w:after="0" w:line="10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Year-on-year Marine revenue increased primarily due to significantly higher pricing on both Q and conventional surveys. Data Processing revenue increased driven by higher demand and better pricing across all regions. In addition, Land revenue increased due to higher demand in the Middle East, North Africa and Latin America. These increases were partially offset by lower Multiclient sales in North America.</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Pretax operating margins increased sequentially by 611 basis points to reach 38.6% driven by higher operating leverage in Marine and higher-margin Data Processing activities.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Increase in pretax income year-on-year was led by higher operating leverage in Marine and increased efficiency in Data Processing. However, these increases were partially offset by lower demand for Multiclient sales while Land activity remained essentially flat.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Nine Months 2007 Compared to Nine Months 2006</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Revenue for the nine-month period ended September 30, 2007 was $17.03 billion versus $13.88 billion for the same period last year. Income before income taxes and minority interest was $4.88 billion for the nine-month period ended September 30, 2007 compared to $3.48 billion for the nine-month period ended September 30, 2006. The 2006 results included pretax charges of $46 million. These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are described in detail in Note 3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Nine-month revenue of $14.86 billion increased 22% year-on-year. Pretax operating income of $4.42 billion increased 33% year-on-year. Year-on-year revenue growth was strongest in the Australia/Papua New Guinea, Thailand/Vietnam, Qatar, North Africa, West &amp; South Africa, and East Mediterranean GeoMarkets. In addition, double-digit growth was achieved in all Technologies.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Revenue of $4.01 billion increased 5% year-on-year and pretax operating income of $1.20 billion increased 3% versus the same period last year. Year-on-year growth was driven by a strong exploration season in Alaska, and by increased application of higher-margin Drilling &amp; Measurements technologies and Well Testing services in the deep-water environment of the US Gulf Coast. In addition, US Land North grew on rig count increases promoting robust Wireline open hole and Well Services activities, while growth in US Land Central was driven by an increased volume of horizontal well drilling in unconventional gas plays. This was partially offset by declines in Canada with an extended spring break-up period together with the effect of weak gas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 of $2.35 billion was 25% higher year-on-year. Pretax operating income of $546 million increased 54% versus the same period last year. Increases were highest in Venezuela/Trinidad &amp; Tobago with strong demand for Drilling &amp; Measurements technologies, Well Testing services, increased Completion and Artificial Lift product sales, and the recognition of revenues related to the drilling barges projects. Strong growth was also generated in Mexico/Central America with higher demand for Well Services and Drilling &amp; Measurements technologies associated with IPM projects. Peru/Colombia/Ecuador increased on a higher exploration activity together with</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strong performance on IPM projects and further enhanced by Artificial Lift Systems product sales. Growth in Latin America South was driven by rising offshore exploration activity in Brazil.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$4.82 billion increased 33% year-on-year. Pretax operating income of $1.39 billion increased 53% year-on-year. Growth in the Area was driven by rising offshore activity with higher application of premium technologies in North Africa; higher rig count and improved activity mix together with pricing gains in West &amp; South Africa; increased exploration activity in Continental Europe; and higher IPM activity across Russia together with the impact of the consolidation of Tyumenpromgeofizika. In addition, growth was also recorded in the North Sea and Nigeria GeoMarkets. Year-on-year double-digit growth was achieved across all Technologies.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Revenue of $3.53 billion was 31% higher year-on-year. Pretax operating income of $1.24 billion was 45% higher versus the same period last year. Growth in the Area resulted from higher activity, an improved technology mix together with higher Completions product sales in Australia/Papua New Guinea; exploration-driven demand for services in Thailand/Vietnam and Qatar; higher demand for Well Services and Wireline technologies in East Mediterranean; and increased rig count together with higher demand for Drilling &amp; Measurements services and Completions systems product sales in India. In addition, higher rig count together with stronger demand for Artificial Lift Systems and Completions products in the Arabian GeoMarket together with exploration-driven activity growth in China/Japan/Korea and the Gulf GeoMarkets contributed to this growth. Across the Area, all Technologies recorded double digit growth.</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Nine-month revenue of $2.17 billion was 23% higher compared to the same period last year. Pretax income of $788 million increased 43% year-on-year. Growth was driven primarily by higher conventional and Q-Marine pricing and by the addition of the seventh Q vessel, higher Multiclient sales predominantly in North America together with higher pricing and increased demand for Data Processing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third quarter and nine months ended September 30,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Pr>
          <w:p>
            <w:pPr>
              <w:spacing w:after="0"/>
              <w:rPr>
                <w:sz w:val="14"/>
                <w:szCs w:val="14"/>
                <w:color w:val="auto"/>
              </w:rPr>
            </w:pPr>
          </w:p>
        </w:tc>
        <w:tc>
          <w:tcPr>
            <w:tcW w:w="130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(Stated 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$ 114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Equity in net earnings of affiliated companies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860" w:type="dxa"/>
            <w:vAlign w:val="bottom"/>
            <w:gridSpan w:val="3"/>
          </w:tcPr>
          <w:p>
            <w:pPr>
              <w:ind w:left="340"/>
              <w:spacing w:after="0"/>
              <w:rPr>
                <w:sz w:val="20"/>
                <w:szCs w:val="20"/>
                <w:color w:val="auto"/>
              </w:rPr>
            </w:pPr>
            <w:r>
              <w:rPr>
                <w:rFonts w:ascii="Arial" w:cs="Arial" w:eastAsia="Arial" w:hAnsi="Arial"/>
                <w:sz w:val="18"/>
                <w:szCs w:val="18"/>
                <w:b w:val="1"/>
                <w:bCs w:val="1"/>
                <w:color w:val="auto"/>
              </w:rPr>
              <w:t>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Loss on liquidation of investment to fund the WesternGeco transaction </w:t>
            </w:r>
            <w:r>
              <w:rPr>
                <w:rFonts w:ascii="Arial" w:cs="Arial" w:eastAsia="Arial" w:hAnsi="Arial"/>
                <w:sz w:val="22"/>
                <w:szCs w:val="22"/>
                <w:color w:val="auto"/>
                <w:vertAlign w:val="superscript"/>
              </w:rPr>
              <w:t>(1)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108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24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289</w:t>
            </w:r>
          </w:p>
        </w:tc>
        <w:tc>
          <w:tcPr>
            <w:tcW w:w="260" w:type="dxa"/>
            <w:vAlign w:val="bottom"/>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5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6460" w:type="dxa"/>
            <w:vAlign w:val="bottom"/>
            <w:gridSpan w:val="3"/>
          </w:tcPr>
          <w:p>
            <w:pPr>
              <w:ind w:left="160"/>
              <w:spacing w:after="0"/>
              <w:rPr>
                <w:sz w:val="20"/>
                <w:szCs w:val="20"/>
                <w:color w:val="auto"/>
              </w:rPr>
            </w:pPr>
            <w:r>
              <w:rPr>
                <w:rFonts w:ascii="Arial" w:cs="Arial" w:eastAsia="Arial" w:hAnsi="Arial"/>
                <w:sz w:val="18"/>
                <w:szCs w:val="18"/>
                <w:color w:val="auto"/>
              </w:rPr>
              <w:t xml:space="preserve">Refer to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increased $19 million in the third quarter of 2007 as compared to the third quarter of 2006 and by $24 million for the nine months ended September 30, 2007 as compared to the same period last year. These increases were primarily attributable to increases in the average investment balances year-on-year.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Earnings of Affiliated Companies</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increase in net earnings of affiliated companies is primarily due to the results of the drilling fluids joint venture that Schlumberger operates with Smith International,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Interest expense of $69 million in the third quarter of 2007 increased by $6 million compared to the same period last year and by $31 million in the first nine months of 2007 compared to the same period last year. The increases were primarily attributable to the increases in the average debt balance year-on-year.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margin was 34.1% and 32.2% in the third quarter of 2007 and 2006, respectively, and 33.9% and 30.8% in the nine-month periods ended September 30, 2007 and 2006, respectively. The increase in gross margin was driven by higher overall activity, a favorable technology mix and efficiency gains in Oilfield Services, together with higher Marine pricing and utilization in WesternGeco.</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percentage of revenue, research &amp; engineering, marketing and general &amp; administrative expenses for the third quarter and nine months ended September 30, 2007 and 2006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3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6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Marketing</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0.4%</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7"/>
              </w:rPr>
              <w:t>0.4%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2.3%</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third quarter and nine months ended September 30, 2007 and 2006, were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4"/>
                <w:szCs w:val="14"/>
                <w:color w:val="auto"/>
              </w:rPr>
            </w:pPr>
          </w:p>
        </w:tc>
        <w:tc>
          <w:tcPr>
            <w:tcW w:w="114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(Stated</w:t>
            </w: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$151</w:t>
            </w:r>
          </w:p>
        </w:tc>
        <w:tc>
          <w:tcPr>
            <w:tcW w:w="9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WesternGeco</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980" w:type="dxa"/>
            <w:vAlign w:val="bottom"/>
            <w:gridSpan w:val="3"/>
          </w:tcPr>
          <w:p>
            <w:pPr>
              <w:jc w:val="right"/>
              <w:ind w:right="132"/>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190</w:t>
            </w:r>
          </w:p>
        </w:tc>
        <w:tc>
          <w:tcPr>
            <w:tcW w:w="980" w:type="dxa"/>
            <w:vAlign w:val="bottom"/>
            <w:gridSpan w:val="3"/>
          </w:tcPr>
          <w:p>
            <w:pPr>
              <w:jc w:val="right"/>
              <w:ind w:right="1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532</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effective tax rate in the third quarter of 2007 was 20.8% compared to 24.1% in the third quarter of 2006. The effective tax rate for the nine months ended September 30, 2007 was 22.3% compared to 24.5% in the same period of 2006. The decreases in the effective tax rate compared to prior year periods were primarily attributable to the geographic mix of earnings. Both Oilfield Services and WesternGeco had a lower proportion of pretax earnings in North America. Outside North America, various GeoMarkets with lower tax rates contributed a greater percentage to pretax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Minority interest decreased in 2007 compared to 2006 reflecting the acquisition, on April 28, 2006, of the 30% minority interest in WesternGeco from Baker Hughes 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Stock-based compensation expense was $32 million in the third quarter of 2007 compared to $30 million in the third quarter of the prior year, and $102 million for the nine months ended September 30, 2007 compared to $84</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million for the nine months ended September 30, 2006. Total stock-based compensation expense for all of fiscal 2006 was $114 million, and it is currently estimated to be $135 million in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Net Debt follow: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Sept.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3,793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and credits, net of tax</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(128)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Increase in working capital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(856)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pension plan contributions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(2,207)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Stock repurchase program</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(798)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Acquisition of minority interest in WesternGeco</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business acquisitions and related payments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Conversion of debentures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490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Distribution to joint venture partner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Arial" w:cs="Arial" w:eastAsia="Arial" w:hAnsi="Arial"/>
                <w:sz w:val="18"/>
                <w:szCs w:val="18"/>
                <w:color w:val="auto"/>
              </w:rPr>
              <w:t>Translation effect on Net Debt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Debt, end of period</w:t>
            </w: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(1,683</w:t>
            </w:r>
          </w:p>
        </w:tc>
        <w:tc>
          <w:tcPr>
            <w:tcW w:w="580" w:type="dxa"/>
            <w:vAlign w:val="bottom"/>
            <w:gridSpan w:val="2"/>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(3,170)</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gridSpan w:val="2"/>
          </w:tcPr>
          <w:p>
            <w:pPr>
              <w:spacing w:after="0"/>
              <w:rPr>
                <w:sz w:val="8"/>
                <w:szCs w:val="8"/>
                <w:color w:val="auto"/>
              </w:rPr>
            </w:pPr>
          </w:p>
        </w:tc>
        <w:tc>
          <w:tcPr>
            <w:tcW w:w="6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480" w:type="dxa"/>
            <w:vAlign w:val="bottom"/>
            <w:gridSpan w:val="3"/>
          </w:tcPr>
          <w:p>
            <w:pPr>
              <w:spacing w:after="0"/>
              <w:rPr>
                <w:sz w:val="20"/>
                <w:szCs w:val="20"/>
                <w:color w:val="auto"/>
              </w:rPr>
            </w:pPr>
            <w:r>
              <w:rPr>
                <w:rFonts w:ascii="Arial" w:cs="Arial" w:eastAsia="Arial" w:hAnsi="Arial"/>
                <w:sz w:val="18"/>
                <w:szCs w:val="18"/>
                <w:color w:val="auto"/>
              </w:rPr>
              <w:t>(1)   Includes Multiclient seismic data costs.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Sept.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Sept. 30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55"/>
        </w:trPr>
        <w:tc>
          <w:tcPr>
            <w:tcW w:w="460" w:type="dxa"/>
            <w:vAlign w:val="bottom"/>
            <w:vMerge w:val="continue"/>
          </w:tcPr>
          <w:p>
            <w:pPr>
              <w:spacing w:after="0"/>
              <w:rPr>
                <w:sz w:val="13"/>
                <w:szCs w:val="13"/>
                <w:color w:val="auto"/>
              </w:rPr>
            </w:pPr>
          </w:p>
        </w:tc>
        <w:tc>
          <w:tcPr>
            <w:tcW w:w="7020" w:type="dxa"/>
            <w:vAlign w:val="bottom"/>
            <w:tcBorders>
              <w:bottom w:val="single" w:sz="8" w:color="auto"/>
            </w:tcBorders>
            <w:gridSpan w:val="2"/>
            <w:vMerge w:val="continue"/>
          </w:tcPr>
          <w:p>
            <w:pPr>
              <w:spacing w:after="0"/>
              <w:rPr>
                <w:sz w:val="13"/>
                <w:szCs w:val="13"/>
                <w:color w:val="auto"/>
              </w:rPr>
            </w:pPr>
          </w:p>
        </w:tc>
        <w:tc>
          <w:tcPr>
            <w:tcW w:w="640" w:type="dxa"/>
            <w:vAlign w:val="bottom"/>
            <w:gridSpan w:val="2"/>
          </w:tcPr>
          <w:p>
            <w:pPr>
              <w:spacing w:after="0"/>
              <w:rPr>
                <w:sz w:val="13"/>
                <w:szCs w:val="13"/>
                <w:color w:val="auto"/>
              </w:rPr>
            </w:pPr>
          </w:p>
        </w:tc>
        <w:tc>
          <w:tcPr>
            <w:tcW w:w="540" w:type="dxa"/>
            <w:vAlign w:val="bottom"/>
            <w:tcBorders>
              <w:bottom w:val="single" w:sz="8" w:color="auto"/>
            </w:tcBorders>
          </w:tcPr>
          <w:p>
            <w:pPr>
              <w:jc w:val="right"/>
              <w:ind w:right="82"/>
              <w:spacing w:after="0" w:line="148"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5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3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$ 3,238</w:t>
            </w:r>
          </w:p>
        </w:tc>
        <w:tc>
          <w:tcPr>
            <w:tcW w:w="152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$ 1,901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13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383</w:t>
            </w:r>
          </w:p>
        </w:tc>
        <w:tc>
          <w:tcPr>
            <w:tcW w:w="1520" w:type="dxa"/>
            <w:vAlign w:val="bottom"/>
            <w:gridSpan w:val="5"/>
          </w:tcPr>
          <w:p>
            <w:pPr>
              <w:jc w:val="right"/>
              <w:ind w:right="560"/>
              <w:spacing w:after="0"/>
              <w:rPr>
                <w:sz w:val="20"/>
                <w:szCs w:val="20"/>
                <w:color w:val="auto"/>
              </w:rPr>
            </w:pPr>
            <w:r>
              <w:rPr>
                <w:rFonts w:ascii="Arial" w:cs="Arial" w:eastAsia="Arial" w:hAnsi="Arial"/>
                <w:sz w:val="18"/>
                <w:szCs w:val="18"/>
                <w:color w:val="auto"/>
              </w:rPr>
              <w:t>95</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13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(771)</w:t>
            </w:r>
          </w:p>
        </w:tc>
        <w:tc>
          <w:tcPr>
            <w:tcW w:w="15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(1,235)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Convertible debentures</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(934)</w:t>
            </w:r>
          </w:p>
        </w:tc>
        <w:tc>
          <w:tcPr>
            <w:tcW w:w="1520" w:type="dxa"/>
            <w:vAlign w:val="bottom"/>
            <w:gridSpan w:val="5"/>
          </w:tcPr>
          <w:p>
            <w:pPr>
              <w:jc w:val="right"/>
              <w:ind w:right="500"/>
              <w:spacing w:after="0"/>
              <w:rPr>
                <w:sz w:val="20"/>
                <w:szCs w:val="20"/>
                <w:color w:val="auto"/>
              </w:rPr>
            </w:pPr>
            <w:r>
              <w:rPr>
                <w:rFonts w:ascii="Arial" w:cs="Arial" w:eastAsia="Arial" w:hAnsi="Arial"/>
                <w:sz w:val="18"/>
                <w:szCs w:val="18"/>
                <w:color w:val="auto"/>
              </w:rPr>
              <w:t>(1,425)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64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(3,599)</w:t>
            </w:r>
          </w:p>
        </w:tc>
        <w:tc>
          <w:tcPr>
            <w:tcW w:w="15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(2,506)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40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(1,683</w:t>
            </w:r>
          </w:p>
        </w:tc>
        <w:tc>
          <w:tcPr>
            <w:tcW w:w="160" w:type="dxa"/>
            <w:vAlign w:val="bottom"/>
            <w:gridSpan w:val="2"/>
            <w:vMerge w:val="continue"/>
          </w:tcPr>
          <w:p>
            <w:pPr>
              <w:spacing w:after="0"/>
              <w:rPr>
                <w:sz w:val="19"/>
                <w:szCs w:val="19"/>
                <w:color w:val="auto"/>
              </w:rPr>
            </w:pPr>
          </w:p>
        </w:tc>
        <w:tc>
          <w:tcPr>
            <w:tcW w:w="1520" w:type="dxa"/>
            <w:vAlign w:val="bottom"/>
            <w:gridSpan w:val="5"/>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(3,170)</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2007, $483 million of the $975 million 1.5% Series A Convertible Debentures due June 1, 2023 were converted by holders into approximately 13 million shares of Schlumberger common stock and $7 million of the $450 million 2.125% Series B Convertible Debentures due June 1, 2023 were converted by holders into approximately 175,000 shares of Schlumberger common stock.</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nine months of 2007, cash provided by operations was $4.11 billion, as net income plus non-cash items were partially offset by an increase in working capital requirements. Cash used by investing activities was $3.05 billion due mainly to the purchase of fixed assets ($2.01 billion). Cash used by financing activities was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$1.07 billion as the net repayments of debt ($308 million), payment of dividends to shareholders ($562 million) and stock repurchase program ($798 million) were partially offset by the proceeds from employee stock plans ($521 million).</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28, 2006, Schlumberger acquired the 30% minority interest in WesternGeco from Baker Hughes Incorporated for $2.4 billion in cash. Approximately 50% of the purchase price was funded from Schlumberger cash and investments. The remaining 50% was financed through existing Schlumberger credit facilities.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nine months of 2006, cash provided by operations was $3.12 billion, as net income, depreciation/amortization and deferred income taxes were partially offset by increases in customer receivables and a decrease in accounts payable and accrued liabilities, which included a US pension funding contribution of $203 million. Cash used by investing activities of $2.79 billion primarily was due to capital expenditures ($1.62 billion), the acquisition of the 30% minority interest in WesternGeco ($2.40 billion) and the sales of investments ($1.84 billion). Cash used in financing activities was $369 million as the payment of dividends to shareholders ($420 million) and stock repurchase plan ($949 million) were only partially offset by the proceeds from employee stock plans ($346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security laws,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the Schlumberger effective tax rate; the business strategies of Schlumberger customers; stock-based compensation expense; the Schlumberger stock repurchase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most recent Form10-K,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year ended December 31, 2006. Schlumberger’s exposure to market risk has not changed materially since December 31, 2006.</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as of the end of the period covered by this quarterly report, pursuant to Rule 13a-15 of the Securities Exchange Act of 1934, as amended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“Exchange Act”). Based on that evaluation, the CEO and CFO have concluded that Schlumberger’s disclosure controls and procedures were effective as of September 30, 2007 to ensure that information required to be disclosed by Schlumberger in the reports that it files or submits under the Exchange Act is recorded, processed, summarized and reported within the time periods specified in the Securities and Exchange Commission’s rules and forms and that information required to be disclosed is accumulated and communicated to management, including the CEO and CFO, to allow timely decisions regarding required disclosure. There has been no change in Schlumberger’s internal control over financial reporting that occurred during the quarter ended September 30, 2007 that has materially affected, or is reasonably likely to materially affect, Schlumberger’s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urge you to carefully consider the risks described below and in the information contained in our Annual Report on Form 10-K for the year ended</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December 31, 2006, as well as other reports and materials that we file with the Securities and Exchange Commission. If any of the risks described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currently known to us or that we currently deem immaterial may also adversely affect our business and operations.</w:t>
      </w:r>
    </w:p>
    <w:p>
      <w:pPr>
        <w:spacing w:after="0" w:line="138"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operating revenue.</w:t>
      </w:r>
    </w:p>
    <w:p>
      <w:pPr>
        <w:spacing w:after="0" w:line="8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adversely impact our operating results.</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1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non-United States operations accounted for approximately 75% of our consolidated revenue in the first nine months of 2007 and 73% for the same period in 2006. Operations in countries other than the United States are subject to various risks, including: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We are also subject to risks related to investment in our stock in connection with certain US state divestment or investment limitation legislation applicable to companies with operations in these countries, and similar actions by some private investors, which could adversely affect the market for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expensive, complex and stringent. These laws may provide for “strict liability” for damages to natural resources or threats to public health and safety. Strict liability can render a party liable for damage without regard to negligence or fault on the part of the party. Some environmental laws provide for joint and several strict liability for remediation of spills and releases of hazardous substances.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 failure of a product can cause personal injury, loss of life, damage to property, equipment or the environment,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maintain technology leadership in the form of services and products could affect any competitive advantage we hold.</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we are unable to develop and produce competitive technology or deliver it to our clients in the form of services and products in a timely and cost-competitive manner in the various markets we serve, it could materially reduce our operating revenue and net income.</w:t>
      </w:r>
    </w:p>
    <w:p>
      <w:pPr>
        <w:spacing w:after="0" w:line="12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12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operating revenue. Additionally, developing non-infringing technologies would increase our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7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Our business may be materially affected by severe weather conditions in certain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may have a material adverse effect on our operating revenue.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quarter ended September 30, 2007, Schlumberger issued 2,404,551 shares of its common stock upon conversion by holders of $87 million aggregate principal amount of its 1.5% Series A Convertible Debentures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due June 1, 2023 and 174,625 shares of its common stock upon conversion by holders of $7 million aggregate principal amount of its 2.125% Series B Convertible Debentures due June 1, 2023. Such shares were issued in transactions exempt from registration under Section 3(a)(9) of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April 20, 2006, the Board of Directors of Schlumberger approved a share repurchase program of up to 40 million shares of Schlumberger common stock to be acquired in the open market before April 2010, subject to market conditions.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certain information with respect to the Schlumberger common stock repurchase program activity for the three months ended September 30,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Total number of</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9"/>
              </w:rPr>
              <w:t>Maximum number of</w:t>
            </w:r>
          </w:p>
        </w:tc>
      </w:tr>
      <w:tr>
        <w:trPr>
          <w:trHeight w:val="149"/>
        </w:trPr>
        <w:tc>
          <w:tcPr>
            <w:tcW w:w="5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that may yet</w:t>
            </w:r>
          </w:p>
        </w:tc>
      </w:tr>
      <w:tr>
        <w:trPr>
          <w:trHeight w:val="149"/>
        </w:trPr>
        <w:tc>
          <w:tcPr>
            <w:tcW w:w="5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72"/>
              <w:spacing w:after="0" w:line="149" w:lineRule="exact"/>
              <w:rPr>
                <w:sz w:val="20"/>
                <w:szCs w:val="20"/>
                <w:color w:val="auto"/>
              </w:rPr>
            </w:pPr>
            <w:r>
              <w:rPr>
                <w:rFonts w:ascii="Arial" w:cs="Arial" w:eastAsia="Arial" w:hAnsi="Arial"/>
                <w:sz w:val="14"/>
                <w:szCs w:val="14"/>
                <w:b w:val="1"/>
                <w:bCs w:val="1"/>
                <w:color w:val="auto"/>
                <w:w w:val="91"/>
              </w:rPr>
              <w:t>paid per</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part of publicly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purchased under</w:t>
            </w:r>
          </w:p>
        </w:tc>
      </w:tr>
      <w:tr>
        <w:trPr>
          <w:trHeight w:val="161"/>
        </w:trPr>
        <w:tc>
          <w:tcPr>
            <w:tcW w:w="5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share</w:t>
            </w:r>
          </w:p>
        </w:tc>
        <w:tc>
          <w:tcPr>
            <w:tcW w:w="780" w:type="dxa"/>
            <w:vAlign w:val="bottom"/>
          </w:tcPr>
          <w:p>
            <w:pPr>
              <w:spacing w:after="0"/>
              <w:rPr>
                <w:sz w:val="14"/>
                <w:szCs w:val="14"/>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announced program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the program</w:t>
            </w:r>
          </w:p>
        </w:tc>
      </w:tr>
      <w:tr>
        <w:trPr>
          <w:trHeight w:val="20"/>
        </w:trPr>
        <w:tc>
          <w:tcPr>
            <w:tcW w:w="5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42"/>
        </w:trPr>
        <w:tc>
          <w:tcPr>
            <w:tcW w:w="5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w w:val="84"/>
              </w:rPr>
              <w:t>(Stated in</w:t>
            </w:r>
          </w:p>
        </w:tc>
        <w:tc>
          <w:tcPr>
            <w:tcW w:w="27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thousands except per share amounts)</w:t>
            </w:r>
          </w:p>
        </w:tc>
        <w:tc>
          <w:tcPr>
            <w:tcW w:w="12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90.10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18,018.2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August 1 through August 31, 2007</w:t>
            </w:r>
          </w:p>
        </w:tc>
        <w:tc>
          <w:tcPr>
            <w:tcW w:w="800" w:type="dxa"/>
            <w:vAlign w:val="bottom"/>
          </w:tcPr>
          <w:p>
            <w:pPr>
              <w:jc w:val="right"/>
              <w:spacing w:after="0"/>
              <w:rPr>
                <w:sz w:val="20"/>
                <w:szCs w:val="20"/>
                <w:color w:val="auto"/>
              </w:rPr>
            </w:pPr>
            <w:r>
              <w:rPr>
                <w:rFonts w:ascii="Arial" w:cs="Arial" w:eastAsia="Arial" w:hAnsi="Arial"/>
                <w:sz w:val="18"/>
                <w:szCs w:val="18"/>
                <w:color w:val="auto"/>
              </w:rPr>
              <w:t>1,148.3</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91.18</w:t>
            </w:r>
          </w:p>
        </w:tc>
        <w:tc>
          <w:tcPr>
            <w:tcW w:w="1160" w:type="dxa"/>
            <w:vAlign w:val="bottom"/>
          </w:tcPr>
          <w:p>
            <w:pPr>
              <w:jc w:val="right"/>
              <w:spacing w:after="0"/>
              <w:rPr>
                <w:sz w:val="20"/>
                <w:szCs w:val="20"/>
                <w:color w:val="auto"/>
              </w:rPr>
            </w:pPr>
            <w:r>
              <w:rPr>
                <w:rFonts w:ascii="Arial" w:cs="Arial" w:eastAsia="Arial" w:hAnsi="Arial"/>
                <w:sz w:val="18"/>
                <w:szCs w:val="18"/>
                <w:color w:val="auto"/>
              </w:rPr>
              <w:t>1,148.3</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16,869.9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100.45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15,924.4</w:t>
            </w:r>
          </w:p>
        </w:tc>
      </w:tr>
      <w:tr>
        <w:trPr>
          <w:trHeight w:val="20"/>
        </w:trPr>
        <w:tc>
          <w:tcPr>
            <w:tcW w:w="5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5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3,131.0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93.62</w:t>
            </w:r>
          </w:p>
        </w:tc>
        <w:tc>
          <w:tcPr>
            <w:tcW w:w="1160" w:type="dxa"/>
            <w:vAlign w:val="bottom"/>
          </w:tcPr>
          <w:p>
            <w:pPr>
              <w:jc w:val="right"/>
              <w:spacing w:after="0"/>
              <w:rPr>
                <w:sz w:val="20"/>
                <w:szCs w:val="20"/>
                <w:color w:val="auto"/>
              </w:rPr>
            </w:pPr>
            <w:r>
              <w:rPr>
                <w:rFonts w:ascii="Arial" w:cs="Arial" w:eastAsia="Arial" w:hAnsi="Arial"/>
                <w:sz w:val="18"/>
                <w:szCs w:val="18"/>
                <w:color w:val="auto"/>
              </w:rPr>
              <w:t>3,131.0</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Quarterly Report on Form 10-Q for the fiscal quarter ended March 31, 2006).</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ind w:right="120" w:firstLine="8"/>
        <w:spacing w:after="0" w:line="268" w:lineRule="auto"/>
        <w:tabs>
          <w:tab w:leader="none" w:pos="1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131" w:lineRule="exact"/>
        <w:rPr>
          <w:rFonts w:ascii="Arial" w:cs="Arial" w:eastAsia="Arial" w:hAnsi="Arial"/>
          <w:sz w:val="18"/>
          <w:szCs w:val="18"/>
          <w:color w:val="auto"/>
        </w:rPr>
      </w:pPr>
    </w:p>
    <w:p>
      <w:pPr>
        <w:ind w:right="540" w:firstLine="8"/>
        <w:spacing w:after="0" w:line="268" w:lineRule="auto"/>
        <w:tabs>
          <w:tab w:leader="none" w:pos="1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13a-14(a) of the Securities Exchange Act of 1934, as amended, as adopted pursuant to Section 302 of the Sarbanes-Oxley Act of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68"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131" w:lineRule="exact"/>
        <w:rPr>
          <w:rFonts w:ascii="Arial" w:cs="Arial" w:eastAsia="Arial" w:hAnsi="Arial"/>
          <w:sz w:val="18"/>
          <w:szCs w:val="18"/>
          <w:color w:val="auto"/>
        </w:rPr>
      </w:pPr>
    </w:p>
    <w:p>
      <w:pPr>
        <w:ind w:right="220" w:firstLine="8"/>
        <w:spacing w:after="0" w:line="268"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040" w:val="left"/>
          <w:tab w:leader="none" w:pos="6420" w:val="left"/>
        </w:tabs>
        <w:rPr>
          <w:sz w:val="20"/>
          <w:szCs w:val="20"/>
          <w:color w:val="auto"/>
        </w:rPr>
      </w:pPr>
      <w:r>
        <w:rPr>
          <w:rFonts w:ascii="Arial" w:cs="Arial" w:eastAsia="Arial" w:hAnsi="Arial"/>
          <w:sz w:val="18"/>
          <w:szCs w:val="18"/>
          <w:color w:val="auto"/>
        </w:rPr>
        <w:t>Date: October 24, 2007</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 and Duly Authorized Signatory</w:t>
      </w:r>
    </w:p>
    <w:p>
      <w:pPr>
        <w:spacing w:after="0" w:line="36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October 24,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A</w:t>
      </w:r>
      <w:r>
        <w:rPr>
          <w:rFonts w:ascii="Arial" w:cs="Arial" w:eastAsia="Arial" w:hAnsi="Arial"/>
          <w:sz w:val="22"/>
          <w:szCs w:val="22"/>
          <w:color w:val="auto"/>
          <w:vertAlign w:val="superscript"/>
        </w:rPr>
        <w:t>NDREW</w:t>
      </w:r>
      <w:r>
        <w:rPr>
          <w:rFonts w:ascii="Arial" w:cs="Arial" w:eastAsia="Arial" w:hAnsi="Arial"/>
          <w:sz w:val="14"/>
          <w:szCs w:val="14"/>
          <w:color w:val="auto"/>
        </w:rPr>
        <w:t xml:space="preserve"> G</w:t>
      </w:r>
      <w:r>
        <w:rPr>
          <w:rFonts w:ascii="Arial" w:cs="Arial" w:eastAsia="Arial" w:hAnsi="Arial"/>
          <w:sz w:val="22"/>
          <w:szCs w:val="22"/>
          <w:color w:val="auto"/>
          <w:vertAlign w:val="superscript"/>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jc w:val="center"/>
        <w:ind w:left="5820"/>
        <w:spacing w:after="0" w:line="221" w:lineRule="auto"/>
        <w:rPr>
          <w:sz w:val="20"/>
          <w:szCs w:val="20"/>
          <w:color w:val="auto"/>
        </w:rPr>
      </w:pPr>
      <w:r>
        <w:rPr>
          <w:rFonts w:ascii="Arial" w:cs="Arial" w:eastAsia="Arial" w:hAnsi="Arial"/>
          <w:sz w:val="14"/>
          <w:szCs w:val="14"/>
          <w:b w:val="1"/>
          <w:bCs w:val="1"/>
          <w:color w:val="auto"/>
        </w:rPr>
        <w:t>Andrew Gould</w:t>
      </w:r>
    </w:p>
    <w:p>
      <w:pPr>
        <w:jc w:val="center"/>
        <w:ind w:left="582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40" w:val="left"/>
          <w:tab w:leader="none" w:pos="8280" w:val="left"/>
        </w:tabs>
        <w:rPr>
          <w:sz w:val="20"/>
          <w:szCs w:val="20"/>
          <w:color w:val="auto"/>
        </w:rPr>
      </w:pPr>
      <w:r>
        <w:rPr>
          <w:rFonts w:ascii="Arial" w:cs="Arial" w:eastAsia="Arial" w:hAnsi="Arial"/>
          <w:sz w:val="18"/>
          <w:szCs w:val="18"/>
          <w:color w:val="auto"/>
        </w:rPr>
        <w:t>Date: October 24,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S</w:t>
      </w:r>
      <w:r>
        <w:rPr>
          <w:rFonts w:ascii="Arial" w:cs="Arial" w:eastAsia="Arial" w:hAnsi="Arial"/>
          <w:sz w:val="22"/>
          <w:szCs w:val="22"/>
          <w:color w:val="auto"/>
          <w:vertAlign w:val="superscript"/>
        </w:rPr>
        <w:t>IMON</w:t>
      </w:r>
      <w:r>
        <w:rPr>
          <w:rFonts w:ascii="Arial" w:cs="Arial" w:eastAsia="Arial" w:hAnsi="Arial"/>
          <w:sz w:val="14"/>
          <w:szCs w:val="14"/>
          <w:color w:val="auto"/>
        </w:rPr>
        <w:t xml:space="preserve"> A</w:t>
      </w:r>
      <w:r>
        <w:rPr>
          <w:rFonts w:ascii="Arial" w:cs="Arial" w:eastAsia="Arial" w:hAnsi="Arial"/>
          <w:sz w:val="22"/>
          <w:szCs w:val="22"/>
          <w:color w:val="auto"/>
          <w:vertAlign w:val="superscript"/>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6060"/>
        <w:spacing w:after="0" w:line="221" w:lineRule="auto"/>
        <w:rPr>
          <w:sz w:val="20"/>
          <w:szCs w:val="20"/>
          <w:color w:val="auto"/>
        </w:rPr>
      </w:pPr>
      <w:r>
        <w:rPr>
          <w:rFonts w:ascii="Arial" w:cs="Arial" w:eastAsia="Arial" w:hAnsi="Arial"/>
          <w:sz w:val="14"/>
          <w:szCs w:val="14"/>
          <w:b w:val="1"/>
          <w:bCs w:val="1"/>
          <w:color w:val="auto"/>
        </w:rPr>
        <w:t>Simon Ayat</w:t>
      </w:r>
    </w:p>
    <w:p>
      <w:pPr>
        <w:jc w:val="center"/>
        <w:ind w:left="6060"/>
        <w:spacing w:after="0" w:line="221" w:lineRule="auto"/>
        <w:rPr>
          <w:sz w:val="20"/>
          <w:szCs w:val="20"/>
          <w:color w:val="auto"/>
        </w:rPr>
      </w:pPr>
      <w:r>
        <w:rPr>
          <w:rFonts w:ascii="Arial" w:cs="Arial" w:eastAsia="Arial" w:hAnsi="Arial"/>
          <w:sz w:val="14"/>
          <w:szCs w:val="14"/>
          <w:b w:val="1"/>
          <w:bCs w:val="1"/>
          <w:color w:val="auto"/>
        </w:rPr>
        <w:t>Executive Vice President and</w:t>
      </w:r>
    </w:p>
    <w:p>
      <w:pPr>
        <w:jc w:val="center"/>
        <w:ind w:left="60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2007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October 24,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A</w:t>
      </w:r>
      <w:r>
        <w:rPr>
          <w:rFonts w:ascii="Arial" w:cs="Arial" w:eastAsia="Arial" w:hAnsi="Arial"/>
          <w:sz w:val="22"/>
          <w:szCs w:val="22"/>
          <w:color w:val="auto"/>
          <w:vertAlign w:val="superscript"/>
        </w:rPr>
        <w:t>NDREW</w:t>
      </w:r>
      <w:r>
        <w:rPr>
          <w:rFonts w:ascii="Arial" w:cs="Arial" w:eastAsia="Arial" w:hAnsi="Arial"/>
          <w:sz w:val="14"/>
          <w:szCs w:val="14"/>
          <w:color w:val="auto"/>
        </w:rPr>
        <w:t xml:space="preserve"> G</w:t>
      </w:r>
      <w:r>
        <w:rPr>
          <w:rFonts w:ascii="Arial" w:cs="Arial" w:eastAsia="Arial" w:hAnsi="Arial"/>
          <w:sz w:val="22"/>
          <w:szCs w:val="22"/>
          <w:color w:val="auto"/>
          <w:vertAlign w:val="superscript"/>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Andrew Gould</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2007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October 24,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S</w:t>
      </w:r>
      <w:r>
        <w:rPr>
          <w:rFonts w:ascii="Arial" w:cs="Arial" w:eastAsia="Arial" w:hAnsi="Arial"/>
          <w:sz w:val="22"/>
          <w:szCs w:val="22"/>
          <w:color w:val="auto"/>
          <w:vertAlign w:val="superscript"/>
        </w:rPr>
        <w:t>IMON</w:t>
      </w:r>
      <w:r>
        <w:rPr>
          <w:rFonts w:ascii="Arial" w:cs="Arial" w:eastAsia="Arial" w:hAnsi="Arial"/>
          <w:sz w:val="14"/>
          <w:szCs w:val="14"/>
          <w:color w:val="auto"/>
        </w:rPr>
        <w:t xml:space="preserve"> A</w:t>
      </w:r>
      <w:r>
        <w:rPr>
          <w:rFonts w:ascii="Arial" w:cs="Arial" w:eastAsia="Arial" w:hAnsi="Arial"/>
          <w:sz w:val="22"/>
          <w:szCs w:val="22"/>
          <w:color w:val="auto"/>
          <w:vertAlign w:val="superscript"/>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-17780</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8"/>
          <w:szCs w:val="18"/>
          <w:color w:val="auto"/>
        </w:rPr>
        <w:t>Simon Ayat</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decimal"/>
      <w:start w:val="3"/>
    </w:lvl>
    <w:lvl w:ilvl="1">
      <w:lvlJc w:val="left"/>
      <w:lvlText w:val="•"/>
      <w:numFmt w:val="bullet"/>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8"/>
    </w:lvl>
  </w:abstractNum>
  <w:abstractNum w:abstractNumId="7">
    <w:nsid w:val="4E6AFB66"/>
    <w:multiLevelType w:val="hybridMultilevel"/>
    <w:lvl w:ilvl="0">
      <w:lvlJc w:val="left"/>
      <w:lvlText w:val="%1."/>
      <w:numFmt w:val="decimal"/>
      <w:start w:val="9"/>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3"/>
    </w:lvl>
  </w:abstractNum>
  <w:abstractNum w:abstractNumId="11">
    <w:nsid w:val="3F2DBA31"/>
    <w:multiLevelType w:val="hybridMultilevel"/>
    <w:lvl w:ilvl="0">
      <w:lvlJc w:val="left"/>
      <w:lvlText w:val="%1."/>
      <w:numFmt w:val="decimal"/>
      <w:start w:val="14"/>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2019-12-13T06:40:30Z</dcterms:created>
  <dcterms:modified xsi:type="dcterms:W3CDTF">2019-12-13T06:40:30Z</dcterms:modified>
</cp:coreProperties>
</file>