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May 14, 2013</w:t>
      </w:r>
    </w:p>
    <w:p>
      <w:pPr>
        <w:spacing w:after="0" w:line="21" w:lineRule="exact"/>
        <w:rPr>
          <w:sz w:val="24"/>
          <w:szCs w:val="24"/>
          <w:color w:val="auto"/>
        </w:rPr>
      </w:pPr>
    </w:p>
    <w:p>
      <w:pPr>
        <w:ind w:left="894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33020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175895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9" w:lineRule="exact"/>
        <w:rPr>
          <w:sz w:val="24"/>
          <w:szCs w:val="24"/>
          <w:color w:val="auto"/>
        </w:rPr>
      </w:pPr>
    </w:p>
    <w:p>
      <w:pPr>
        <w:ind w:left="3400"/>
        <w:spacing w:after="0"/>
        <w:rPr>
          <w:sz w:val="20"/>
          <w:szCs w:val="20"/>
          <w:color w:val="auto"/>
        </w:rPr>
      </w:pPr>
      <w:r>
        <w:rPr>
          <w:rFonts w:ascii="Arial" w:cs="Arial" w:eastAsia="Arial" w:hAnsi="Arial"/>
          <w:sz w:val="43"/>
          <w:szCs w:val="43"/>
          <w:b w:val="1"/>
          <w:bCs w:val="1"/>
          <w:color w:val="auto"/>
        </w:rPr>
        <w:t>SCHLUMBERGER N.V.</w:t>
      </w:r>
    </w:p>
    <w:p>
      <w:pPr>
        <w:spacing w:after="0" w:line="55" w:lineRule="exact"/>
        <w:rPr>
          <w:sz w:val="24"/>
          <w:szCs w:val="24"/>
          <w:color w:val="auto"/>
        </w:rPr>
      </w:pPr>
    </w:p>
    <w:p>
      <w:pPr>
        <w:ind w:left="3480"/>
        <w:spacing w:after="0"/>
        <w:rPr>
          <w:sz w:val="20"/>
          <w:szCs w:val="20"/>
          <w:color w:val="auto"/>
        </w:rPr>
      </w:pPr>
      <w:r>
        <w:rPr>
          <w:rFonts w:ascii="Arial" w:cs="Arial" w:eastAsia="Arial" w:hAnsi="Arial"/>
          <w:sz w:val="43"/>
          <w:szCs w:val="43"/>
          <w:b w:val="1"/>
          <w:bCs w:val="1"/>
          <w:color w:val="auto"/>
        </w:rPr>
        <w:t>(Schlumberger Limited)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tbl>
      <w:tblPr>
        <w:tblLayout w:type="fixed"/>
        <w:tblInd w:w="1340" w:type="dxa"/>
        <w:tblCellMar>
          <w:top w:w="0" w:type="dxa"/>
          <w:left w:w="0" w:type="dxa"/>
          <w:bottom w:w="0" w:type="dxa"/>
          <w:right w:w="0" w:type="dxa"/>
        </w:tblCellMar>
      </w:tblPr>
      <w:tr>
        <w:trPr>
          <w:trHeight w:val="218"/>
        </w:trPr>
        <w:tc>
          <w:tcPr>
            <w:tcW w:w="4940" w:type="dxa"/>
            <w:vAlign w:val="bottom"/>
          </w:tcPr>
          <w:p>
            <w:pPr>
              <w:jc w:val="center"/>
              <w:ind w:right="1758"/>
              <w:spacing w:after="0"/>
              <w:rPr>
                <w:sz w:val="20"/>
                <w:szCs w:val="20"/>
                <w:color w:val="auto"/>
              </w:rPr>
            </w:pPr>
            <w:r>
              <w:rPr>
                <w:rFonts w:ascii="Arial" w:cs="Arial" w:eastAsia="Arial" w:hAnsi="Arial"/>
                <w:sz w:val="18"/>
                <w:szCs w:val="18"/>
                <w:b w:val="1"/>
                <w:bCs w:val="1"/>
                <w:color w:val="auto"/>
                <w:w w:val="91"/>
              </w:rPr>
              <w:t>Curaçao</w:t>
            </w:r>
          </w:p>
        </w:tc>
        <w:tc>
          <w:tcPr>
            <w:tcW w:w="2900" w:type="dxa"/>
            <w:vAlign w:val="bottom"/>
          </w:tcPr>
          <w:p>
            <w:pPr>
              <w:jc w:val="center"/>
              <w:ind w:left="1761"/>
              <w:spacing w:after="0"/>
              <w:rPr>
                <w:sz w:val="20"/>
                <w:szCs w:val="20"/>
                <w:color w:val="auto"/>
              </w:rPr>
            </w:pPr>
            <w:r>
              <w:rPr>
                <w:rFonts w:ascii="Arial" w:cs="Arial" w:eastAsia="Arial" w:hAnsi="Arial"/>
                <w:sz w:val="18"/>
                <w:szCs w:val="18"/>
                <w:b w:val="1"/>
                <w:bCs w:val="1"/>
                <w:color w:val="auto"/>
                <w:w w:val="89"/>
              </w:rPr>
              <w:t>52-0684746</w:t>
            </w:r>
          </w:p>
        </w:tc>
      </w:tr>
      <w:tr>
        <w:trPr>
          <w:trHeight w:val="149"/>
        </w:trPr>
        <w:tc>
          <w:tcPr>
            <w:tcW w:w="4940" w:type="dxa"/>
            <w:vAlign w:val="bottom"/>
          </w:tcPr>
          <w:p>
            <w:pPr>
              <w:jc w:val="center"/>
              <w:ind w:right="1758"/>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2900" w:type="dxa"/>
            <w:vAlign w:val="bottom"/>
          </w:tcPr>
          <w:p>
            <w:pPr>
              <w:jc w:val="center"/>
              <w:ind w:left="1761"/>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940" w:type="dxa"/>
            <w:vAlign w:val="bottom"/>
          </w:tcPr>
          <w:p>
            <w:pPr>
              <w:jc w:val="center"/>
              <w:ind w:right="1738"/>
              <w:spacing w:after="0"/>
              <w:rPr>
                <w:sz w:val="20"/>
                <w:szCs w:val="20"/>
                <w:color w:val="auto"/>
              </w:rPr>
            </w:pPr>
            <w:r>
              <w:rPr>
                <w:rFonts w:ascii="Arial" w:cs="Arial" w:eastAsia="Arial" w:hAnsi="Arial"/>
                <w:sz w:val="14"/>
                <w:szCs w:val="14"/>
                <w:b w:val="1"/>
                <w:bCs w:val="1"/>
                <w:color w:val="auto"/>
                <w:w w:val="88"/>
              </w:rPr>
              <w:t>incorporation or organization)</w:t>
            </w:r>
          </w:p>
        </w:tc>
        <w:tc>
          <w:tcPr>
            <w:tcW w:w="2900" w:type="dxa"/>
            <w:vAlign w:val="bottom"/>
          </w:tcPr>
          <w:p>
            <w:pPr>
              <w:jc w:val="center"/>
              <w:ind w:left="1761"/>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4940" w:type="dxa"/>
            <w:vAlign w:val="bottom"/>
          </w:tcPr>
          <w:p>
            <w:pPr>
              <w:jc w:val="center"/>
              <w:ind w:right="1738"/>
              <w:spacing w:after="0"/>
              <w:rPr>
                <w:sz w:val="20"/>
                <w:szCs w:val="20"/>
                <w:color w:val="auto"/>
              </w:rPr>
            </w:pPr>
            <w:r>
              <w:rPr>
                <w:rFonts w:ascii="Arial" w:cs="Arial" w:eastAsia="Arial" w:hAnsi="Arial"/>
                <w:sz w:val="18"/>
                <w:szCs w:val="18"/>
                <w:b w:val="1"/>
                <w:bCs w:val="1"/>
                <w:color w:val="auto"/>
                <w:w w:val="89"/>
              </w:rPr>
              <w:t>42, rue Saint-Dominique</w:t>
            </w:r>
          </w:p>
        </w:tc>
        <w:tc>
          <w:tcPr>
            <w:tcW w:w="2900" w:type="dxa"/>
            <w:vAlign w:val="bottom"/>
          </w:tcPr>
          <w:p>
            <w:pPr>
              <w:spacing w:after="0"/>
              <w:rPr>
                <w:sz w:val="24"/>
                <w:szCs w:val="24"/>
                <w:color w:val="auto"/>
              </w:rPr>
            </w:pPr>
          </w:p>
        </w:tc>
      </w:tr>
      <w:tr>
        <w:trPr>
          <w:trHeight w:val="242"/>
        </w:trPr>
        <w:tc>
          <w:tcPr>
            <w:tcW w:w="4940" w:type="dxa"/>
            <w:vAlign w:val="bottom"/>
          </w:tcPr>
          <w:p>
            <w:pPr>
              <w:jc w:val="center"/>
              <w:ind w:right="1758"/>
              <w:spacing w:after="0"/>
              <w:rPr>
                <w:sz w:val="20"/>
                <w:szCs w:val="20"/>
                <w:color w:val="auto"/>
              </w:rPr>
            </w:pPr>
            <w:r>
              <w:rPr>
                <w:rFonts w:ascii="Arial" w:cs="Arial" w:eastAsia="Arial" w:hAnsi="Arial"/>
                <w:sz w:val="18"/>
                <w:szCs w:val="18"/>
                <w:b w:val="1"/>
                <w:bCs w:val="1"/>
                <w:color w:val="auto"/>
                <w:w w:val="90"/>
              </w:rPr>
              <w:t>Paris, France</w:t>
            </w:r>
          </w:p>
        </w:tc>
        <w:tc>
          <w:tcPr>
            <w:tcW w:w="2900" w:type="dxa"/>
            <w:vAlign w:val="bottom"/>
          </w:tcPr>
          <w:p>
            <w:pPr>
              <w:jc w:val="center"/>
              <w:ind w:left="1781"/>
              <w:spacing w:after="0"/>
              <w:rPr>
                <w:sz w:val="20"/>
                <w:szCs w:val="20"/>
                <w:color w:val="auto"/>
              </w:rPr>
            </w:pPr>
            <w:r>
              <w:rPr>
                <w:rFonts w:ascii="Arial" w:cs="Arial" w:eastAsia="Arial" w:hAnsi="Arial"/>
                <w:sz w:val="18"/>
                <w:szCs w:val="18"/>
                <w:b w:val="1"/>
                <w:bCs w:val="1"/>
                <w:color w:val="auto"/>
                <w:w w:val="87"/>
              </w:rPr>
              <w:t>75007</w:t>
            </w:r>
          </w:p>
        </w:tc>
      </w:tr>
      <w:tr>
        <w:trPr>
          <w:trHeight w:val="420"/>
        </w:trPr>
        <w:tc>
          <w:tcPr>
            <w:tcW w:w="4940" w:type="dxa"/>
            <w:vAlign w:val="bottom"/>
          </w:tcPr>
          <w:p>
            <w:pPr>
              <w:jc w:val="center"/>
              <w:ind w:right="1738"/>
              <w:spacing w:after="0"/>
              <w:rPr>
                <w:sz w:val="20"/>
                <w:szCs w:val="20"/>
                <w:color w:val="auto"/>
              </w:rPr>
            </w:pPr>
            <w:r>
              <w:rPr>
                <w:rFonts w:ascii="Arial" w:cs="Arial" w:eastAsia="Arial" w:hAnsi="Arial"/>
                <w:sz w:val="18"/>
                <w:szCs w:val="18"/>
                <w:b w:val="1"/>
                <w:bCs w:val="1"/>
                <w:color w:val="auto"/>
                <w:w w:val="88"/>
              </w:rPr>
              <w:t>5599 San Felipe, 17</w:t>
            </w:r>
            <w:r>
              <w:rPr>
                <w:rFonts w:ascii="Arial" w:cs="Arial" w:eastAsia="Arial" w:hAnsi="Arial"/>
                <w:sz w:val="11"/>
                <w:szCs w:val="11"/>
                <w:b w:val="1"/>
                <w:bCs w:val="1"/>
                <w:color w:val="auto"/>
                <w:w w:val="88"/>
              </w:rPr>
              <w:t>th</w:t>
            </w:r>
            <w:r>
              <w:rPr>
                <w:rFonts w:ascii="Arial" w:cs="Arial" w:eastAsia="Arial" w:hAnsi="Arial"/>
                <w:sz w:val="18"/>
                <w:szCs w:val="18"/>
                <w:b w:val="1"/>
                <w:bCs w:val="1"/>
                <w:color w:val="auto"/>
                <w:w w:val="88"/>
              </w:rPr>
              <w:t xml:space="preserve"> Floor</w:t>
            </w:r>
          </w:p>
        </w:tc>
        <w:tc>
          <w:tcPr>
            <w:tcW w:w="2900" w:type="dxa"/>
            <w:vAlign w:val="bottom"/>
          </w:tcPr>
          <w:p>
            <w:pPr>
              <w:spacing w:after="0"/>
              <w:rPr>
                <w:sz w:val="24"/>
                <w:szCs w:val="24"/>
                <w:color w:val="auto"/>
              </w:rPr>
            </w:pPr>
          </w:p>
        </w:tc>
      </w:tr>
      <w:tr>
        <w:trPr>
          <w:trHeight w:val="242"/>
        </w:trPr>
        <w:tc>
          <w:tcPr>
            <w:tcW w:w="4940" w:type="dxa"/>
            <w:vAlign w:val="bottom"/>
          </w:tcPr>
          <w:p>
            <w:pPr>
              <w:jc w:val="center"/>
              <w:ind w:right="1758"/>
              <w:spacing w:after="0"/>
              <w:rPr>
                <w:sz w:val="20"/>
                <w:szCs w:val="20"/>
                <w:color w:val="auto"/>
              </w:rPr>
            </w:pPr>
            <w:r>
              <w:rPr>
                <w:rFonts w:ascii="Arial" w:cs="Arial" w:eastAsia="Arial" w:hAnsi="Arial"/>
                <w:sz w:val="18"/>
                <w:szCs w:val="18"/>
                <w:b w:val="1"/>
                <w:bCs w:val="1"/>
                <w:color w:val="auto"/>
                <w:w w:val="86"/>
              </w:rPr>
              <w:t>Houston, Texas, United States of America</w:t>
            </w:r>
          </w:p>
        </w:tc>
        <w:tc>
          <w:tcPr>
            <w:tcW w:w="2900" w:type="dxa"/>
            <w:vAlign w:val="bottom"/>
          </w:tcPr>
          <w:p>
            <w:pPr>
              <w:jc w:val="center"/>
              <w:ind w:left="1781"/>
              <w:spacing w:after="0"/>
              <w:rPr>
                <w:sz w:val="20"/>
                <w:szCs w:val="20"/>
                <w:color w:val="auto"/>
              </w:rPr>
            </w:pPr>
            <w:r>
              <w:rPr>
                <w:rFonts w:ascii="Arial" w:cs="Arial" w:eastAsia="Arial" w:hAnsi="Arial"/>
                <w:sz w:val="18"/>
                <w:szCs w:val="18"/>
                <w:b w:val="1"/>
                <w:bCs w:val="1"/>
                <w:color w:val="auto"/>
                <w:w w:val="87"/>
              </w:rPr>
              <w:t>77056</w:t>
            </w:r>
          </w:p>
        </w:tc>
      </w:tr>
      <w:tr>
        <w:trPr>
          <w:trHeight w:val="420"/>
        </w:trPr>
        <w:tc>
          <w:tcPr>
            <w:tcW w:w="4940" w:type="dxa"/>
            <w:vAlign w:val="bottom"/>
          </w:tcPr>
          <w:p>
            <w:pPr>
              <w:jc w:val="center"/>
              <w:ind w:right="1758"/>
              <w:spacing w:after="0"/>
              <w:rPr>
                <w:sz w:val="20"/>
                <w:szCs w:val="20"/>
                <w:color w:val="auto"/>
              </w:rPr>
            </w:pPr>
            <w:r>
              <w:rPr>
                <w:rFonts w:ascii="Arial" w:cs="Arial" w:eastAsia="Arial" w:hAnsi="Arial"/>
                <w:sz w:val="18"/>
                <w:szCs w:val="18"/>
                <w:b w:val="1"/>
                <w:bCs w:val="1"/>
                <w:color w:val="auto"/>
                <w:w w:val="90"/>
              </w:rPr>
              <w:t>Parkstraat 83, The Hague</w:t>
            </w:r>
          </w:p>
        </w:tc>
        <w:tc>
          <w:tcPr>
            <w:tcW w:w="2900" w:type="dxa"/>
            <w:vAlign w:val="bottom"/>
          </w:tcPr>
          <w:p>
            <w:pPr>
              <w:spacing w:after="0"/>
              <w:rPr>
                <w:sz w:val="24"/>
                <w:szCs w:val="24"/>
                <w:color w:val="auto"/>
              </w:rPr>
            </w:pPr>
          </w:p>
        </w:tc>
      </w:tr>
      <w:tr>
        <w:trPr>
          <w:trHeight w:val="231"/>
        </w:trPr>
        <w:tc>
          <w:tcPr>
            <w:tcW w:w="4940" w:type="dxa"/>
            <w:vAlign w:val="bottom"/>
          </w:tcPr>
          <w:p>
            <w:pPr>
              <w:jc w:val="center"/>
              <w:ind w:right="1758"/>
              <w:spacing w:after="0"/>
              <w:rPr>
                <w:sz w:val="20"/>
                <w:szCs w:val="20"/>
                <w:color w:val="auto"/>
              </w:rPr>
            </w:pPr>
            <w:r>
              <w:rPr>
                <w:rFonts w:ascii="Arial" w:cs="Arial" w:eastAsia="Arial" w:hAnsi="Arial"/>
                <w:sz w:val="18"/>
                <w:szCs w:val="18"/>
                <w:b w:val="1"/>
                <w:bCs w:val="1"/>
                <w:color w:val="auto"/>
                <w:w w:val="89"/>
              </w:rPr>
              <w:t>The Netherlands</w:t>
            </w:r>
          </w:p>
        </w:tc>
        <w:tc>
          <w:tcPr>
            <w:tcW w:w="2900" w:type="dxa"/>
            <w:vAlign w:val="bottom"/>
          </w:tcPr>
          <w:p>
            <w:pPr>
              <w:jc w:val="center"/>
              <w:ind w:left="1761"/>
              <w:spacing w:after="0"/>
              <w:rPr>
                <w:sz w:val="20"/>
                <w:szCs w:val="20"/>
                <w:color w:val="auto"/>
              </w:rPr>
            </w:pPr>
            <w:r>
              <w:rPr>
                <w:rFonts w:ascii="Arial" w:cs="Arial" w:eastAsia="Arial" w:hAnsi="Arial"/>
                <w:sz w:val="18"/>
                <w:szCs w:val="18"/>
                <w:b w:val="1"/>
                <w:bCs w:val="1"/>
                <w:color w:val="auto"/>
                <w:w w:val="89"/>
              </w:rPr>
              <w:t>2514 JG</w:t>
            </w:r>
          </w:p>
        </w:tc>
      </w:tr>
      <w:tr>
        <w:trPr>
          <w:trHeight w:val="174"/>
        </w:trPr>
        <w:tc>
          <w:tcPr>
            <w:tcW w:w="4940" w:type="dxa"/>
            <w:vAlign w:val="bottom"/>
          </w:tcPr>
          <w:p>
            <w:pPr>
              <w:jc w:val="center"/>
              <w:ind w:right="1758"/>
              <w:spacing w:after="0"/>
              <w:rPr>
                <w:sz w:val="20"/>
                <w:szCs w:val="20"/>
                <w:color w:val="auto"/>
              </w:rPr>
            </w:pPr>
            <w:r>
              <w:rPr>
                <w:rFonts w:ascii="Arial" w:cs="Arial" w:eastAsia="Arial" w:hAnsi="Arial"/>
                <w:sz w:val="14"/>
                <w:szCs w:val="14"/>
                <w:b w:val="1"/>
                <w:bCs w:val="1"/>
                <w:color w:val="auto"/>
                <w:w w:val="85"/>
              </w:rPr>
              <w:t>(Addresses of Principal Executive Offices)</w:t>
            </w:r>
          </w:p>
        </w:tc>
        <w:tc>
          <w:tcPr>
            <w:tcW w:w="2900" w:type="dxa"/>
            <w:vAlign w:val="bottom"/>
          </w:tcPr>
          <w:p>
            <w:pPr>
              <w:jc w:val="center"/>
              <w:ind w:left="1781"/>
              <w:spacing w:after="0"/>
              <w:rPr>
                <w:sz w:val="20"/>
                <w:szCs w:val="20"/>
                <w:color w:val="auto"/>
              </w:rPr>
            </w:pPr>
            <w:r>
              <w:rPr>
                <w:rFonts w:ascii="Arial" w:cs="Arial" w:eastAsia="Arial" w:hAnsi="Arial"/>
                <w:sz w:val="14"/>
                <w:szCs w:val="14"/>
                <w:b w:val="1"/>
                <w:bCs w:val="1"/>
                <w:color w:val="auto"/>
                <w:w w:val="88"/>
              </w:rPr>
              <w:t>(Zip Codes)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SCHLUMBERGER 2013 OMNIBUS STOCK INCENTIVE PLAN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Saul R. Laureles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Deputy General Counsel,</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Governance and Securities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Schlumberger Limited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5599 San Felipe, 17th Floor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Houston, Texas 77056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 375-3400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ind w:right="42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gridSpan w:val="3"/>
          </w:tcPr>
          <w:p>
            <w:pPr>
              <w:spacing w:after="0"/>
              <w:rPr>
                <w:sz w:val="20"/>
                <w:szCs w:val="20"/>
                <w:color w:val="auto"/>
              </w:rPr>
            </w:pPr>
            <w:r>
              <w:rPr>
                <w:rFonts w:ascii="Arial" w:cs="Arial" w:eastAsia="Arial" w:hAnsi="Arial"/>
                <w:sz w:val="18"/>
                <w:szCs w:val="18"/>
                <w:color w:val="auto"/>
                <w:w w:val="97"/>
              </w:rPr>
              <w:t>Large accelerated filer</w:t>
            </w:r>
          </w:p>
        </w:tc>
        <w:tc>
          <w:tcPr>
            <w:tcW w:w="200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7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940" w:type="dxa"/>
            <w:vAlign w:val="bottom"/>
            <w:gridSpan w:val="2"/>
          </w:tcPr>
          <w:p>
            <w:pPr>
              <w:ind w:left="600"/>
              <w:spacing w:after="0"/>
              <w:rPr>
                <w:sz w:val="20"/>
                <w:szCs w:val="20"/>
                <w:color w:val="auto"/>
              </w:rPr>
            </w:pPr>
            <w:r>
              <w:rPr>
                <w:rFonts w:ascii="Arial" w:cs="Arial" w:eastAsia="Arial" w:hAnsi="Arial"/>
                <w:sz w:val="18"/>
                <w:szCs w:val="18"/>
                <w:color w:val="auto"/>
              </w:rPr>
              <w:t>Accelerated filer</w:t>
            </w:r>
          </w:p>
        </w:tc>
        <w:tc>
          <w:tcPr>
            <w:tcW w:w="940" w:type="dxa"/>
            <w:vAlign w:val="bottom"/>
          </w:tcPr>
          <w:p>
            <w:pPr>
              <w:spacing w:after="0"/>
              <w:rPr>
                <w:sz w:val="23"/>
                <w:szCs w:val="23"/>
                <w:color w:val="auto"/>
              </w:rPr>
            </w:pPr>
          </w:p>
        </w:tc>
        <w:tc>
          <w:tcPr>
            <w:tcW w:w="280" w:type="dxa"/>
            <w:vAlign w:val="bottom"/>
          </w:tcPr>
          <w:p>
            <w:pPr>
              <w:ind w:left="1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gridSpan w:val="3"/>
          </w:tcPr>
          <w:p>
            <w:pPr>
              <w:spacing w:after="0"/>
              <w:rPr>
                <w:sz w:val="20"/>
                <w:szCs w:val="20"/>
                <w:color w:val="auto"/>
              </w:rPr>
            </w:pPr>
            <w:r>
              <w:rPr>
                <w:rFonts w:ascii="Arial" w:cs="Arial" w:eastAsia="Arial" w:hAnsi="Arial"/>
                <w:sz w:val="18"/>
                <w:szCs w:val="18"/>
                <w:color w:val="auto"/>
              </w:rPr>
              <w:t>Non-accelerated filer</w:t>
            </w:r>
          </w:p>
        </w:tc>
        <w:tc>
          <w:tcPr>
            <w:tcW w:w="5140" w:type="dxa"/>
            <w:vAlign w:val="bottom"/>
            <w:gridSpan w:val="5"/>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1360" w:type="dxa"/>
            <w:vAlign w:val="bottom"/>
          </w:tcPr>
          <w:p>
            <w:pPr>
              <w:spacing w:after="0"/>
              <w:rPr>
                <w:sz w:val="24"/>
                <w:szCs w:val="24"/>
                <w:color w:val="auto"/>
              </w:rPr>
            </w:pPr>
          </w:p>
        </w:tc>
        <w:tc>
          <w:tcPr>
            <w:tcW w:w="2880" w:type="dxa"/>
            <w:vAlign w:val="bottom"/>
            <w:gridSpan w:val="3"/>
          </w:tcPr>
          <w:p>
            <w:pPr>
              <w:ind w:left="600"/>
              <w:spacing w:after="0"/>
              <w:rPr>
                <w:sz w:val="20"/>
                <w:szCs w:val="20"/>
                <w:color w:val="auto"/>
              </w:rPr>
            </w:pPr>
            <w:r>
              <w:rPr>
                <w:rFonts w:ascii="Arial" w:cs="Arial" w:eastAsia="Arial" w:hAnsi="Arial"/>
                <w:sz w:val="18"/>
                <w:szCs w:val="18"/>
                <w:color w:val="auto"/>
              </w:rPr>
              <w:t>Smaller reporting company</w:t>
            </w:r>
          </w:p>
        </w:tc>
        <w:tc>
          <w:tcPr>
            <w:tcW w:w="280" w:type="dxa"/>
            <w:vAlign w:val="bottom"/>
          </w:tcPr>
          <w:p>
            <w:pPr>
              <w:ind w:left="1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9"/>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70"/>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500" w:type="dxa"/>
            <w:vAlign w:val="bottom"/>
            <w:gridSpan w:val="5"/>
          </w:tcPr>
          <w:p>
            <w:pPr>
              <w:ind w:left="260"/>
              <w:spacing w:after="0"/>
              <w:rPr>
                <w:sz w:val="20"/>
                <w:szCs w:val="20"/>
                <w:color w:val="auto"/>
              </w:rPr>
            </w:pPr>
            <w:r>
              <w:rPr>
                <w:rFonts w:ascii="Arial" w:cs="Arial" w:eastAsia="Arial" w:hAnsi="Arial"/>
                <w:sz w:val="18"/>
                <w:szCs w:val="18"/>
                <w:b w:val="1"/>
                <w:bCs w:val="1"/>
                <w:color w:val="auto"/>
              </w:rPr>
              <w:t>CALCULATION OF REGISTRATION FEE</w:t>
            </w:r>
          </w:p>
        </w:tc>
        <w:tc>
          <w:tcPr>
            <w:tcW w:w="1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05"/>
        </w:trPr>
        <w:tc>
          <w:tcPr>
            <w:tcW w:w="2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gridSpan w:val="2"/>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360" w:type="dxa"/>
            <w:vAlign w:val="bottom"/>
            <w:tcBorders>
              <w:right w:val="single" w:sz="8" w:color="auto"/>
            </w:tcBorders>
          </w:tcPr>
          <w:p>
            <w:pPr>
              <w:jc w:val="center"/>
              <w:ind w:right="70"/>
              <w:spacing w:after="0" w:line="117" w:lineRule="exact"/>
              <w:rPr>
                <w:sz w:val="20"/>
                <w:szCs w:val="20"/>
                <w:color w:val="auto"/>
              </w:rPr>
            </w:pPr>
            <w:r>
              <w:rPr>
                <w:rFonts w:ascii="Arial" w:cs="Arial" w:eastAsia="Arial" w:hAnsi="Arial"/>
                <w:sz w:val="12"/>
                <w:szCs w:val="12"/>
                <w:b w:val="1"/>
                <w:bCs w:val="1"/>
                <w:color w:val="auto"/>
                <w:w w:val="97"/>
              </w:rPr>
              <w:t>Proposed</w:t>
            </w:r>
          </w:p>
        </w:tc>
        <w:tc>
          <w:tcPr>
            <w:tcW w:w="1600" w:type="dxa"/>
            <w:vAlign w:val="bottom"/>
            <w:tcBorders>
              <w:right w:val="single" w:sz="8" w:color="auto"/>
            </w:tcBorders>
          </w:tcPr>
          <w:p>
            <w:pPr>
              <w:jc w:val="center"/>
              <w:ind w:left="25"/>
              <w:spacing w:after="0" w:line="117" w:lineRule="exact"/>
              <w:rPr>
                <w:sz w:val="20"/>
                <w:szCs w:val="20"/>
                <w:color w:val="auto"/>
              </w:rPr>
            </w:pPr>
            <w:r>
              <w:rPr>
                <w:rFonts w:ascii="Arial" w:cs="Arial" w:eastAsia="Arial" w:hAnsi="Arial"/>
                <w:sz w:val="12"/>
                <w:szCs w:val="12"/>
                <w:b w:val="1"/>
                <w:bCs w:val="1"/>
                <w:color w:val="auto"/>
                <w:w w:val="97"/>
              </w:rPr>
              <w:t>Proposed</w:t>
            </w:r>
          </w:p>
        </w:tc>
        <w:tc>
          <w:tcPr>
            <w:tcW w:w="3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8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jc w:val="center"/>
              <w:ind w:left="7"/>
              <w:spacing w:after="0" w:line="149" w:lineRule="exact"/>
              <w:rPr>
                <w:sz w:val="20"/>
                <w:szCs w:val="20"/>
                <w:color w:val="auto"/>
              </w:rPr>
            </w:pPr>
            <w:r>
              <w:rPr>
                <w:rFonts w:ascii="Arial" w:cs="Arial" w:eastAsia="Arial" w:hAnsi="Arial"/>
                <w:sz w:val="14"/>
                <w:szCs w:val="14"/>
                <w:b w:val="1"/>
                <w:bCs w:val="1"/>
                <w:color w:val="auto"/>
                <w:w w:val="90"/>
              </w:rPr>
              <w:t>Amount</w:t>
            </w:r>
          </w:p>
        </w:tc>
        <w:tc>
          <w:tcPr>
            <w:tcW w:w="240" w:type="dxa"/>
            <w:vAlign w:val="bottom"/>
          </w:tcPr>
          <w:p>
            <w:pPr>
              <w:spacing w:after="0"/>
              <w:rPr>
                <w:sz w:val="12"/>
                <w:szCs w:val="12"/>
                <w:color w:val="auto"/>
              </w:rPr>
            </w:pPr>
          </w:p>
        </w:tc>
        <w:tc>
          <w:tcPr>
            <w:tcW w:w="1360" w:type="dxa"/>
            <w:vAlign w:val="bottom"/>
            <w:tcBorders>
              <w:right w:val="single" w:sz="8" w:color="auto"/>
            </w:tcBorders>
          </w:tcPr>
          <w:p>
            <w:pPr>
              <w:jc w:val="center"/>
              <w:ind w:right="70"/>
              <w:spacing w:after="0" w:line="149" w:lineRule="exact"/>
              <w:rPr>
                <w:sz w:val="20"/>
                <w:szCs w:val="20"/>
                <w:color w:val="auto"/>
              </w:rPr>
            </w:pPr>
            <w:r>
              <w:rPr>
                <w:rFonts w:ascii="Arial" w:cs="Arial" w:eastAsia="Arial" w:hAnsi="Arial"/>
                <w:sz w:val="14"/>
                <w:szCs w:val="14"/>
                <w:b w:val="1"/>
                <w:bCs w:val="1"/>
                <w:color w:val="auto"/>
                <w:w w:val="88"/>
              </w:rPr>
              <w:t>maximum</w:t>
            </w:r>
          </w:p>
        </w:tc>
        <w:tc>
          <w:tcPr>
            <w:tcW w:w="1600" w:type="dxa"/>
            <w:vAlign w:val="bottom"/>
            <w:tcBorders>
              <w:right w:val="single" w:sz="8" w:color="auto"/>
            </w:tcBorders>
          </w:tcPr>
          <w:p>
            <w:pPr>
              <w:jc w:val="center"/>
              <w:ind w:left="25"/>
              <w:spacing w:after="0" w:line="149" w:lineRule="exact"/>
              <w:rPr>
                <w:sz w:val="20"/>
                <w:szCs w:val="20"/>
                <w:color w:val="auto"/>
              </w:rPr>
            </w:pPr>
            <w:r>
              <w:rPr>
                <w:rFonts w:ascii="Arial" w:cs="Arial" w:eastAsia="Arial" w:hAnsi="Arial"/>
                <w:sz w:val="14"/>
                <w:szCs w:val="14"/>
                <w:b w:val="1"/>
                <w:bCs w:val="1"/>
                <w:color w:val="auto"/>
                <w:w w:val="88"/>
              </w:rPr>
              <w:t>maximum</w:t>
            </w:r>
          </w:p>
        </w:tc>
        <w:tc>
          <w:tcPr>
            <w:tcW w:w="3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2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jc w:val="center"/>
              <w:ind w:left="7"/>
              <w:spacing w:after="0" w:line="149" w:lineRule="exact"/>
              <w:rPr>
                <w:sz w:val="20"/>
                <w:szCs w:val="20"/>
                <w:color w:val="auto"/>
              </w:rPr>
            </w:pPr>
            <w:r>
              <w:rPr>
                <w:rFonts w:ascii="Arial" w:cs="Arial" w:eastAsia="Arial" w:hAnsi="Arial"/>
                <w:sz w:val="14"/>
                <w:szCs w:val="14"/>
                <w:b w:val="1"/>
                <w:bCs w:val="1"/>
                <w:color w:val="auto"/>
                <w:w w:val="83"/>
              </w:rPr>
              <w:t>to be</w:t>
            </w:r>
          </w:p>
        </w:tc>
        <w:tc>
          <w:tcPr>
            <w:tcW w:w="240" w:type="dxa"/>
            <w:vAlign w:val="bottom"/>
          </w:tcPr>
          <w:p>
            <w:pPr>
              <w:spacing w:after="0"/>
              <w:rPr>
                <w:sz w:val="12"/>
                <w:szCs w:val="12"/>
                <w:color w:val="auto"/>
              </w:rPr>
            </w:pPr>
          </w:p>
        </w:tc>
        <w:tc>
          <w:tcPr>
            <w:tcW w:w="1360" w:type="dxa"/>
            <w:vAlign w:val="bottom"/>
            <w:tcBorders>
              <w:right w:val="single" w:sz="8" w:color="auto"/>
            </w:tcBorders>
          </w:tcPr>
          <w:p>
            <w:pPr>
              <w:jc w:val="center"/>
              <w:ind w:right="70"/>
              <w:spacing w:after="0" w:line="149" w:lineRule="exact"/>
              <w:rPr>
                <w:sz w:val="20"/>
                <w:szCs w:val="20"/>
                <w:color w:val="auto"/>
              </w:rPr>
            </w:pPr>
            <w:r>
              <w:rPr>
                <w:rFonts w:ascii="Arial" w:cs="Arial" w:eastAsia="Arial" w:hAnsi="Arial"/>
                <w:sz w:val="14"/>
                <w:szCs w:val="14"/>
                <w:b w:val="1"/>
                <w:bCs w:val="1"/>
                <w:color w:val="auto"/>
                <w:w w:val="87"/>
              </w:rPr>
              <w:t>offering price</w:t>
            </w:r>
          </w:p>
        </w:tc>
        <w:tc>
          <w:tcPr>
            <w:tcW w:w="1600" w:type="dxa"/>
            <w:vAlign w:val="bottom"/>
            <w:tcBorders>
              <w:right w:val="single" w:sz="8" w:color="auto"/>
            </w:tcBorders>
          </w:tcPr>
          <w:p>
            <w:pPr>
              <w:jc w:val="center"/>
              <w:ind w:left="5"/>
              <w:spacing w:after="0" w:line="149" w:lineRule="exact"/>
              <w:rPr>
                <w:sz w:val="20"/>
                <w:szCs w:val="20"/>
                <w:color w:val="auto"/>
              </w:rPr>
            </w:pPr>
            <w:r>
              <w:rPr>
                <w:rFonts w:ascii="Arial" w:cs="Arial" w:eastAsia="Arial" w:hAnsi="Arial"/>
                <w:sz w:val="14"/>
                <w:szCs w:val="14"/>
                <w:b w:val="1"/>
                <w:bCs w:val="1"/>
                <w:color w:val="auto"/>
                <w:w w:val="83"/>
              </w:rPr>
              <w:t>aggregate</w:t>
            </w:r>
          </w:p>
        </w:tc>
        <w:tc>
          <w:tcPr>
            <w:tcW w:w="3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registration</w:t>
            </w:r>
          </w:p>
        </w:tc>
        <w:tc>
          <w:tcPr>
            <w:tcW w:w="28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w w:val="97"/>
              </w:rPr>
              <w:t>Title of securities to be registered</w:t>
            </w:r>
          </w:p>
        </w:tc>
        <w:tc>
          <w:tcPr>
            <w:tcW w:w="76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1600" w:type="dxa"/>
            <w:vAlign w:val="bottom"/>
            <w:tcBorders>
              <w:bottom w:val="single" w:sz="8" w:color="auto"/>
              <w:right w:val="single" w:sz="8" w:color="auto"/>
            </w:tcBorders>
          </w:tcPr>
          <w:p>
            <w:pPr>
              <w:jc w:val="center"/>
              <w:ind w:left="7"/>
              <w:spacing w:after="0"/>
              <w:rPr>
                <w:sz w:val="20"/>
                <w:szCs w:val="20"/>
                <w:color w:val="auto"/>
              </w:rPr>
            </w:pPr>
            <w:r>
              <w:rPr>
                <w:rFonts w:ascii="Arial" w:cs="Arial" w:eastAsia="Arial" w:hAnsi="Arial"/>
                <w:sz w:val="14"/>
                <w:szCs w:val="14"/>
                <w:b w:val="1"/>
                <w:bCs w:val="1"/>
                <w:color w:val="auto"/>
                <w:w w:val="85"/>
              </w:rPr>
              <w:t>registered (2)</w:t>
            </w:r>
          </w:p>
        </w:tc>
        <w:tc>
          <w:tcPr>
            <w:tcW w:w="240" w:type="dxa"/>
            <w:vAlign w:val="bottom"/>
            <w:tcBorders>
              <w:bottom w:val="single" w:sz="8" w:color="auto"/>
            </w:tcBorders>
          </w:tcPr>
          <w:p>
            <w:pPr>
              <w:spacing w:after="0"/>
              <w:rPr>
                <w:sz w:val="14"/>
                <w:szCs w:val="14"/>
                <w:color w:val="auto"/>
              </w:rPr>
            </w:pPr>
          </w:p>
        </w:tc>
        <w:tc>
          <w:tcPr>
            <w:tcW w:w="1360" w:type="dxa"/>
            <w:vAlign w:val="bottom"/>
            <w:tcBorders>
              <w:bottom w:val="single" w:sz="8" w:color="auto"/>
              <w:right w:val="single" w:sz="8" w:color="auto"/>
            </w:tcBorders>
          </w:tcPr>
          <w:p>
            <w:pPr>
              <w:jc w:val="center"/>
              <w:ind w:right="90"/>
              <w:spacing w:after="0"/>
              <w:rPr>
                <w:sz w:val="20"/>
                <w:szCs w:val="20"/>
                <w:color w:val="auto"/>
              </w:rPr>
            </w:pPr>
            <w:r>
              <w:rPr>
                <w:rFonts w:ascii="Arial" w:cs="Arial" w:eastAsia="Arial" w:hAnsi="Arial"/>
                <w:sz w:val="14"/>
                <w:szCs w:val="14"/>
                <w:b w:val="1"/>
                <w:bCs w:val="1"/>
                <w:color w:val="auto"/>
                <w:w w:val="85"/>
              </w:rPr>
              <w:t>per share (1)</w:t>
            </w:r>
          </w:p>
        </w:tc>
        <w:tc>
          <w:tcPr>
            <w:tcW w:w="1600" w:type="dxa"/>
            <w:vAlign w:val="bottom"/>
            <w:tcBorders>
              <w:bottom w:val="single" w:sz="8" w:color="auto"/>
              <w:right w:val="single" w:sz="8" w:color="auto"/>
            </w:tcBorders>
          </w:tcPr>
          <w:p>
            <w:pPr>
              <w:jc w:val="center"/>
              <w:ind w:left="25"/>
              <w:spacing w:after="0"/>
              <w:rPr>
                <w:sz w:val="20"/>
                <w:szCs w:val="20"/>
                <w:color w:val="auto"/>
              </w:rPr>
            </w:pPr>
            <w:r>
              <w:rPr>
                <w:rFonts w:ascii="Arial" w:cs="Arial" w:eastAsia="Arial" w:hAnsi="Arial"/>
                <w:sz w:val="14"/>
                <w:szCs w:val="14"/>
                <w:b w:val="1"/>
                <w:bCs w:val="1"/>
                <w:color w:val="auto"/>
                <w:w w:val="88"/>
              </w:rPr>
              <w:t>offering price (1)</w:t>
            </w:r>
          </w:p>
        </w:tc>
        <w:tc>
          <w:tcPr>
            <w:tcW w:w="3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78"/>
              </w:rPr>
              <w:t>fee</w:t>
            </w:r>
          </w:p>
        </w:tc>
        <w:tc>
          <w:tcPr>
            <w:tcW w:w="280" w:type="dxa"/>
            <w:vAlign w:val="bottom"/>
            <w:tcBorders>
              <w:bottom w:val="single" w:sz="8" w:color="auto"/>
            </w:tcBorders>
          </w:tcPr>
          <w:p>
            <w:pPr>
              <w:spacing w:after="0"/>
              <w:rPr>
                <w:sz w:val="14"/>
                <w:szCs w:val="14"/>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37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Common stock, par value $0.01 per share (2)</w:t>
            </w:r>
          </w:p>
        </w:tc>
        <w:tc>
          <w:tcPr>
            <w:tcW w:w="76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jc w:val="center"/>
              <w:ind w:left="7"/>
              <w:spacing w:after="0"/>
              <w:rPr>
                <w:sz w:val="20"/>
                <w:szCs w:val="20"/>
                <w:color w:val="auto"/>
              </w:rPr>
            </w:pPr>
            <w:r>
              <w:rPr>
                <w:rFonts w:ascii="Arial" w:cs="Arial" w:eastAsia="Arial" w:hAnsi="Arial"/>
                <w:sz w:val="18"/>
                <w:szCs w:val="18"/>
                <w:color w:val="auto"/>
                <w:w w:val="85"/>
              </w:rPr>
              <w:t>35,000,000 shares</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jc w:val="center"/>
              <w:ind w:right="90"/>
              <w:spacing w:after="0"/>
              <w:rPr>
                <w:sz w:val="20"/>
                <w:szCs w:val="20"/>
                <w:color w:val="auto"/>
              </w:rPr>
            </w:pPr>
            <w:r>
              <w:rPr>
                <w:rFonts w:ascii="Arial" w:cs="Arial" w:eastAsia="Arial" w:hAnsi="Arial"/>
                <w:sz w:val="18"/>
                <w:szCs w:val="18"/>
                <w:color w:val="auto"/>
                <w:w w:val="86"/>
              </w:rPr>
              <w:t>$76.435</w:t>
            </w:r>
          </w:p>
        </w:tc>
        <w:tc>
          <w:tcPr>
            <w:tcW w:w="1600" w:type="dxa"/>
            <w:vAlign w:val="bottom"/>
            <w:tcBorders>
              <w:bottom w:val="single" w:sz="8" w:color="auto"/>
              <w:right w:val="single" w:sz="8" w:color="auto"/>
            </w:tcBorders>
          </w:tcPr>
          <w:p>
            <w:pPr>
              <w:jc w:val="center"/>
              <w:ind w:left="25"/>
              <w:spacing w:after="0"/>
              <w:rPr>
                <w:sz w:val="20"/>
                <w:szCs w:val="20"/>
                <w:color w:val="auto"/>
              </w:rPr>
            </w:pPr>
            <w:r>
              <w:rPr>
                <w:rFonts w:ascii="Arial" w:cs="Arial" w:eastAsia="Arial" w:hAnsi="Arial"/>
                <w:sz w:val="18"/>
                <w:szCs w:val="18"/>
                <w:color w:val="auto"/>
                <w:w w:val="87"/>
              </w:rPr>
              <w:t>$2,675,225,000</w:t>
            </w: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$364,901</w:t>
            </w:r>
          </w:p>
        </w:tc>
        <w:tc>
          <w:tcPr>
            <w:tcW w:w="280" w:type="dxa"/>
            <w:vAlign w:val="bottom"/>
            <w:tcBorders>
              <w:bottom w:val="single" w:sz="8" w:color="auto"/>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600" w:type="dxa"/>
            <w:vAlign w:val="bottom"/>
          </w:tcPr>
          <w:p>
            <w:pPr>
              <w:spacing w:after="0"/>
              <w:rPr>
                <w:sz w:val="7"/>
                <w:szCs w:val="7"/>
                <w:color w:val="auto"/>
              </w:rPr>
            </w:pPr>
          </w:p>
        </w:tc>
        <w:tc>
          <w:tcPr>
            <w:tcW w:w="20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940" w:type="dxa"/>
            <w:vAlign w:val="bottom"/>
          </w:tcPr>
          <w:p>
            <w:pPr>
              <w:spacing w:after="0"/>
              <w:rPr>
                <w:sz w:val="7"/>
                <w:szCs w:val="7"/>
                <w:color w:val="auto"/>
              </w:rPr>
            </w:pPr>
          </w:p>
        </w:tc>
        <w:tc>
          <w:tcPr>
            <w:tcW w:w="280" w:type="dxa"/>
            <w:vAlign w:val="bottom"/>
          </w:tcPr>
          <w:p>
            <w:pPr>
              <w:spacing w:after="0"/>
              <w:rPr>
                <w:sz w:val="7"/>
                <w:szCs w:val="7"/>
                <w:color w:val="auto"/>
              </w:rPr>
            </w:pPr>
          </w:p>
        </w:tc>
      </w:tr>
    </w:tbl>
    <w:p>
      <w:pPr>
        <w:spacing w:after="0" w:line="19" w:lineRule="exact"/>
        <w:rPr>
          <w:sz w:val="24"/>
          <w:szCs w:val="24"/>
          <w:color w:val="auto"/>
        </w:rPr>
      </w:pPr>
    </w:p>
    <w:p>
      <w:pPr>
        <w:ind w:left="460" w:right="40" w:hanging="452"/>
        <w:spacing w:after="0" w:line="254"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457(c) and 457(h)(1), based on the average of the high and low prices for the common stock of Schlumberger Limited reported on the New York Stock Exchange on May 10, 2013.</w:t>
      </w:r>
    </w:p>
    <w:p>
      <w:pPr>
        <w:ind w:left="460" w:right="100" w:hanging="452"/>
        <w:spacing w:after="0" w:line="255"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416(a) under the Securities Act of 1933, as amended, this Registration Statement shall also include such additional indeterminate number of shares of common stock that may become issuable under the Schlumberger 2013 Omnibus Stock Incentive Plan as a result of stock splits, stock dividends or similar transactions.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337"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Plan Information.</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See Item 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Registrant Information and Employee Plan Annual Information.</w:t>
      </w:r>
    </w:p>
    <w:p>
      <w:pPr>
        <w:spacing w:after="0" w:line="96" w:lineRule="exact"/>
        <w:rPr>
          <w:sz w:val="20"/>
          <w:szCs w:val="20"/>
          <w:color w:val="auto"/>
        </w:rPr>
      </w:pPr>
    </w:p>
    <w:p>
      <w:pPr>
        <w:ind w:right="120" w:firstLine="913"/>
        <w:spacing w:after="0" w:line="291" w:lineRule="auto"/>
        <w:rPr>
          <w:sz w:val="20"/>
          <w:szCs w:val="20"/>
          <w:color w:val="auto"/>
        </w:rPr>
      </w:pPr>
      <w:r>
        <w:rPr>
          <w:rFonts w:ascii="Arial" w:cs="Arial" w:eastAsia="Arial" w:hAnsi="Arial"/>
          <w:sz w:val="16"/>
          <w:szCs w:val="16"/>
          <w:color w:val="auto"/>
        </w:rPr>
        <w:t>The document(s) containing the information required by Item 1 of Form S-8 and the statement of availability of Registrant information and other information required by Item 2 of Form S-8 will be sent or given to employees as specified by Rule 428 under the Securities Act of 1933, as amended (the “Securities Act”). In accordance with Rule 428 and the requirements of Part I of Form S-8, such documents are not being filed with the Securities and Exchange Commission (the “Commission”) either as part of this Registration Statement or as prospectuses or prospectus supplements pursuant to Rule 424 under the Securities Act. The Registrant will maintain a file of such documents in accordance with the provisions of Rule 428. Upon request, the Registrant will furnish to the Commission or its staff a copy of any or all of the documents included in such file.</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Incorporation of Documents by Reference.</w:t>
      </w:r>
    </w:p>
    <w:p>
      <w:pPr>
        <w:spacing w:after="0" w:line="96" w:lineRule="exact"/>
        <w:rPr>
          <w:sz w:val="20"/>
          <w:szCs w:val="20"/>
          <w:color w:val="auto"/>
        </w:rPr>
      </w:pPr>
    </w:p>
    <w:p>
      <w:pPr>
        <w:ind w:firstLine="913"/>
        <w:spacing w:after="0" w:line="332" w:lineRule="auto"/>
        <w:rPr>
          <w:sz w:val="20"/>
          <w:szCs w:val="20"/>
          <w:color w:val="auto"/>
        </w:rPr>
      </w:pPr>
      <w:r>
        <w:rPr>
          <w:rFonts w:ascii="Arial" w:cs="Arial" w:eastAsia="Arial" w:hAnsi="Arial"/>
          <w:sz w:val="16"/>
          <w:szCs w:val="16"/>
          <w:color w:val="auto"/>
        </w:rPr>
        <w:t>This Registration Statement incorporates herein by reference the following documents, which have been filed with the Commission by the Registrant (SEC File No. 001-04601) pursuant to the Securities Act and the Securities Exchange Act of 1934, as amended (the “Exchange Act”):</w:t>
      </w:r>
    </w:p>
    <w:p>
      <w:pPr>
        <w:spacing w:after="0" w:line="4" w:lineRule="exact"/>
        <w:rPr>
          <w:sz w:val="20"/>
          <w:szCs w:val="20"/>
          <w:color w:val="auto"/>
        </w:rPr>
      </w:pPr>
    </w:p>
    <w:p>
      <w:pPr>
        <w:ind w:left="1480" w:hanging="567"/>
        <w:spacing w:after="0"/>
        <w:tabs>
          <w:tab w:leader="none" w:pos="1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Annual Report on Form 10-K for the fiscal year ended December 31, 2012, filed on January 31, 2013;</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Quarterly Report on Form 10-Q for the quarter ended March 31, 2013, filed on April 24, 2013;</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Current Reports on Form 8-K filed on February 11, 2013 and April 11, 2013; and</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description of the Registrant’s Common Stock contained in the Registrant’s Current Report on Form 8-K filed on April 29, 2005.</w:t>
      </w:r>
    </w:p>
    <w:p>
      <w:pPr>
        <w:spacing w:after="0" w:line="194" w:lineRule="exact"/>
        <w:rPr>
          <w:sz w:val="20"/>
          <w:szCs w:val="20"/>
          <w:color w:val="auto"/>
        </w:rPr>
      </w:pPr>
    </w:p>
    <w:p>
      <w:pPr>
        <w:ind w:right="40" w:firstLine="913"/>
        <w:spacing w:after="0" w:line="335" w:lineRule="auto"/>
        <w:rPr>
          <w:sz w:val="20"/>
          <w:szCs w:val="20"/>
          <w:color w:val="auto"/>
        </w:rPr>
      </w:pPr>
      <w:r>
        <w:rPr>
          <w:rFonts w:ascii="Arial" w:cs="Arial" w:eastAsia="Arial" w:hAnsi="Arial"/>
          <w:sz w:val="15"/>
          <w:szCs w:val="15"/>
          <w:color w:val="auto"/>
        </w:rPr>
        <w:t>Each document filed by the Registrant pursuant to Sections 13(a), 13(c), 14 or 15(d) of the Exchange Act, subsequent to the date of this Registration Statement and prior to the filing of a post-effective amendment that indicates that all securities offered have been sold or that deregisters all securities then remaining unsold, shall be deemed to be incorporated by reference in this Registration Statement and to be a part hereof from the date of filing such documents.</w:t>
      </w:r>
    </w:p>
    <w:p>
      <w:pPr>
        <w:spacing w:after="0" w:line="88"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Any statement contained in this Registration Statement, in an amendment hereto or in a document incorporated by reference herein shall be deemed to be modified or superseded for purposes of this Registration Statement to the extent that a statement contained herein or in any subsequently filed amendment to this Registration Statement or in any document that also is incorporated by reference herein modifies or supersedes such statement. Any statement so modified or superseded shall not be deemed, except as so modified or superseded, to constitute a part of this Registration Statement.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Description of Securities.</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Interests of Named Experts and Counsel.</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400"/>
          </w:cols>
          <w:pgMar w:left="240" w:top="274"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Item 6. </w:t>
      </w:r>
      <w:r>
        <w:rPr>
          <w:rFonts w:ascii="Arial" w:cs="Arial" w:eastAsia="Arial" w:hAnsi="Arial"/>
          <w:sz w:val="18"/>
          <w:szCs w:val="18"/>
          <w:b w:val="1"/>
          <w:bCs w:val="1"/>
          <w:i w:val="1"/>
          <w:iCs w:val="1"/>
          <w:color w:val="auto"/>
        </w:rPr>
        <w:t>Indemnification of Directors and Officers.</w:t>
      </w:r>
    </w:p>
    <w:p>
      <w:pPr>
        <w:spacing w:after="0" w:line="96" w:lineRule="exact"/>
        <w:rPr>
          <w:sz w:val="20"/>
          <w:szCs w:val="20"/>
          <w:color w:val="auto"/>
        </w:rPr>
      </w:pPr>
    </w:p>
    <w:p>
      <w:pPr>
        <w:ind w:right="40" w:firstLine="913"/>
        <w:spacing w:after="0" w:line="254" w:lineRule="auto"/>
        <w:rPr>
          <w:sz w:val="20"/>
          <w:szCs w:val="20"/>
          <w:color w:val="auto"/>
        </w:rPr>
      </w:pPr>
      <w:r>
        <w:rPr>
          <w:rFonts w:ascii="Arial" w:cs="Arial" w:eastAsia="Arial" w:hAnsi="Arial"/>
          <w:sz w:val="18"/>
          <w:szCs w:val="18"/>
          <w:color w:val="auto"/>
        </w:rPr>
        <w:t>Article 10 of the Registrant’s Articles of Incorporation and Article V of the Registrant’s Amended and Restated By-laws contain provisions providing for indemnification of the Registrant’s directors, officers, employees and agents. Article 10 of the Articles of Incorporation permits (but does not require) the Registrant to indemnify directors, officers, employees and agents, except that indemnification is mandatory with respect to a current or former officer or director in the event of a “Change of Control” (as defined below) or if such current or former officer or director has been successful on the merits or otherwise in the defense of any action, suit or proceeding. Article V of the Registrant’s Amended and Restated By-laws contains mandatory indemnification for current and former directors and officers as described below.</w:t>
      </w:r>
    </w:p>
    <w:p>
      <w:pPr>
        <w:spacing w:after="0" w:line="144"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To the fullest extent permitted by applicable law, the Registrant will indemnify any person who was or is a party or is threatened to be made a party to any threatened, pending or completed action, suit or proceeding, whether civil, criminal, administrative or investigative (other than an action by or in the right of the Registrant) by reason of the fact that he or she is or was a director, officer, employee or agent of the Registrant, or is or was serving at the request of the Registrant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Registrant, and, with respect to any criminal action or proceeding, had no reasonable cause to believe that such person’s conduct was unlawful. The termination of any action, suit or proceeding by judgment, order, settlement, conviction, or upon a plea of nolo contendere or its equivalent, does not, of itself, create a presumption that the person did not act in good faith and in a manner which such person reasonably believed to be in or not opposed to the best interests of the Registrant, and, with respect to any criminal action or proceeding, had reasonable cause to believe that such person’s conduct was unlawful.</w:t>
      </w:r>
    </w:p>
    <w:p>
      <w:pPr>
        <w:spacing w:after="0" w:line="123"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The Registrant is required to indemnify any current or former officer or director of the Regsitrant to the fullest extent allowed by the preceding paragraphs in the event of a “Change of Control.” “Change of Control” means a change in control of the Registrant, which will be deemed to have occurred if at any time:</w:t>
      </w:r>
    </w:p>
    <w:p>
      <w:pPr>
        <w:spacing w:after="0" w:line="59" w:lineRule="exact"/>
        <w:rPr>
          <w:sz w:val="20"/>
          <w:szCs w:val="20"/>
          <w:color w:val="auto"/>
        </w:rPr>
      </w:pPr>
    </w:p>
    <w:p>
      <w:pPr>
        <w:ind w:left="1480" w:right="300" w:hanging="567"/>
        <w:spacing w:after="0" w:line="256" w:lineRule="auto"/>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entity, person or organization is or becomes the legal or beneficial owner, directly or indirectly, of securities of the Registrant representing 30% or more of the combined voting power of the Registrant’s then outstanding shares without the prior approval of at least two-thirds of the members of our board of directors in office immediately prior to such entity, person or organization attaining such percentage interest;</w:t>
      </w:r>
    </w:p>
    <w:p>
      <w:pPr>
        <w:spacing w:after="0" w:line="62" w:lineRule="exact"/>
        <w:rPr>
          <w:rFonts w:ascii="Arial" w:cs="Arial" w:eastAsia="Arial" w:hAnsi="Arial"/>
          <w:sz w:val="18"/>
          <w:szCs w:val="18"/>
          <w:color w:val="auto"/>
        </w:rPr>
      </w:pPr>
    </w:p>
    <w:p>
      <w:pPr>
        <w:ind w:left="1480" w:right="500" w:hanging="567"/>
        <w:spacing w:after="0" w:line="259" w:lineRule="auto"/>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 is a party to a merger, consolidation, share exchange, sale of assets or other reorganization, or a proxy contest, as a consequence of which members of our board of directors in office immediately prior to such transaction or event constitute less than a majority of our board of directors thereafter; or</w:t>
      </w:r>
    </w:p>
    <w:p>
      <w:pPr>
        <w:spacing w:after="0" w:line="59" w:lineRule="exact"/>
        <w:rPr>
          <w:rFonts w:ascii="Arial" w:cs="Arial" w:eastAsia="Arial" w:hAnsi="Arial"/>
          <w:sz w:val="18"/>
          <w:szCs w:val="18"/>
          <w:color w:val="auto"/>
        </w:rPr>
      </w:pPr>
    </w:p>
    <w:p>
      <w:pPr>
        <w:ind w:left="1480" w:right="100" w:hanging="567"/>
        <w:spacing w:after="0" w:line="256" w:lineRule="auto"/>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during any 15-month period, individuals who at the beginning of such period constituted our board of directors (including for this purpose any new director whose election or nomination for election by the Registrant’s stockholders was approved by a vote of at least two-thirds of the directors then still in office who were directors at the beginning of such period) cease for any reason to constitute at least a majority of our board of directors.</w:t>
      </w:r>
    </w:p>
    <w:p>
      <w:pPr>
        <w:spacing w:after="0" w:line="143"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To the fullest extent permitted by applicable law, the Registrant shall indemnify any current or former director or officer who was or is a party or is threatened to be made a party to any threatened, pending or completed action or suit by or in the right of the Registrant to procure a judgment in the Registrant’s favor by reason of the fact that such person is or was a director, officer, employee or agent of the Registrant, or is or was serving at the request of the Registrant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the defense or settlement of such action or suit if such person acted in good faith and in a manner such person reasonably believed to be in or not opposed to the best interests of the Registrant and except that no indemnification may be made with respect to any claim, issue or matter as to which such person has been finally adjudged to be liable to the Registrant for improper conduct unless and only to the extent that the court in which that action or suit was brought or any other court having appropriate jurisdiction determines upon application that, despite the adjudication of liability, but in view of all the circumstances of the case, such person is fairly and reasonably entitled to indemnity for those expenses, judgments, fines and amounts paid in settlement which the court in which the action or suit was brought or such other court having appropriate jurisdiction deems proper. The Registrant is required to indemnify any present or former officer or director to the fullest extent allowed by this paragraph in the event of a Change of Control (as defined above).</w:t>
      </w:r>
    </w:p>
    <w:p>
      <w:pPr>
        <w:spacing w:after="0" w:line="124"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Any indemnification under the preceding three paragraphs (unless ordered by a court) may be extended to current or former employees or agents of the Registrant only as authorized by the Chief Executive Officer or by contract approved, or by-laws, resolution or other action adopted or taken, by the Registrant’s board of directors or by the Registrant’s stockholders.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400"/>
          </w:cols>
          <w:pgMar w:left="240" w:top="274" w:right="259" w:bottom="1440" w:gutter="0" w:footer="0" w:header="0"/>
        </w:sectPr>
      </w:pPr>
    </w:p>
    <w:bookmarkStart w:id="3" w:name="page4"/>
    <w:bookmarkEnd w:id="3"/>
    <w:p>
      <w:pPr>
        <w:ind w:right="40" w:firstLine="913"/>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Expenses (including attorneys’ fees) incurred by a current or former director or a current officer in defending any civil or criminal, administrative or investigative action, suit or proceeding will be paid by the Registrant in advance of the final disposition of such action, suit or proceeding upon receipt of an undertaking by or on behalf of such person to repay such amount if it is ultimately determined that such person is not entitled to be indemnified by the Registrant.</w:t>
      </w:r>
    </w:p>
    <w:p>
      <w:pPr>
        <w:spacing w:after="0" w:line="107" w:lineRule="exact"/>
        <w:rPr>
          <w:sz w:val="20"/>
          <w:szCs w:val="20"/>
          <w:color w:val="auto"/>
        </w:rPr>
      </w:pPr>
    </w:p>
    <w:p>
      <w:pPr>
        <w:ind w:right="260" w:firstLine="913"/>
        <w:spacing w:after="0" w:line="268" w:lineRule="auto"/>
        <w:rPr>
          <w:sz w:val="20"/>
          <w:szCs w:val="20"/>
          <w:color w:val="auto"/>
        </w:rPr>
      </w:pPr>
      <w:r>
        <w:rPr>
          <w:rFonts w:ascii="Arial" w:cs="Arial" w:eastAsia="Arial" w:hAnsi="Arial"/>
          <w:sz w:val="18"/>
          <w:szCs w:val="18"/>
          <w:color w:val="auto"/>
        </w:rPr>
        <w:t>The Registrant may pay such expenses (including attorneys’ fees) incurred by former officers or other employees and agents upon such terms and conditions, if any, it deems appropriate.</w:t>
      </w:r>
    </w:p>
    <w:p>
      <w:pPr>
        <w:spacing w:after="0" w:line="132" w:lineRule="exact"/>
        <w:rPr>
          <w:sz w:val="20"/>
          <w:szCs w:val="20"/>
          <w:color w:val="auto"/>
        </w:rPr>
      </w:pPr>
    </w:p>
    <w:p>
      <w:pPr>
        <w:ind w:right="40" w:firstLine="913"/>
        <w:spacing w:after="0" w:line="323" w:lineRule="auto"/>
        <w:rPr>
          <w:sz w:val="20"/>
          <w:szCs w:val="20"/>
          <w:color w:val="auto"/>
        </w:rPr>
      </w:pPr>
      <w:r>
        <w:rPr>
          <w:rFonts w:ascii="Arial" w:cs="Arial" w:eastAsia="Arial" w:hAnsi="Arial"/>
          <w:sz w:val="15"/>
          <w:szCs w:val="15"/>
          <w:color w:val="auto"/>
        </w:rPr>
        <w:t>The indemnification and advancement of expenses described above are not exclusive of any other rights to which those seeking indemnification or advancement of expenses may be entitled under any law, by-law, agreement, vote of stockholders or disinterested directors, or otherwise, both as to action in such person’s official capacity and as to action in another capacity while holding such office, and, unless otherwise provided when authorized or ratified, continues as to a person who has ceased to be a director, officer, employee or agent and inures to the benefit of the heirs, executors and administrators of that person.</w:t>
      </w:r>
    </w:p>
    <w:p>
      <w:pPr>
        <w:spacing w:after="0" w:line="98" w:lineRule="exact"/>
        <w:rPr>
          <w:sz w:val="20"/>
          <w:szCs w:val="20"/>
          <w:color w:val="auto"/>
        </w:rPr>
      </w:pPr>
    </w:p>
    <w:p>
      <w:pPr>
        <w:ind w:right="20" w:firstLine="913"/>
        <w:spacing w:after="0" w:line="298" w:lineRule="auto"/>
        <w:rPr>
          <w:sz w:val="20"/>
          <w:szCs w:val="20"/>
          <w:color w:val="auto"/>
        </w:rPr>
      </w:pPr>
      <w:r>
        <w:rPr>
          <w:rFonts w:ascii="Arial" w:cs="Arial" w:eastAsia="Arial" w:hAnsi="Arial"/>
          <w:sz w:val="16"/>
          <w:szCs w:val="16"/>
          <w:color w:val="auto"/>
        </w:rPr>
        <w:t>The Registrant has the power to purchase and maintain insurance on behalf of any person who is or was a director, officer, employee or agent of the Registrant, or is or was serving at the request of the Registrant in such a capacity for another corporation, partnership, joint venture, trust or other enterprise or entity against any liability asserted against that person and incurred by that person in any of those capacities or arising out of such person’s status as such, whether or not the Registrant would have the power to indemnify such person against such liability.</w:t>
      </w:r>
    </w:p>
    <w:p>
      <w:pPr>
        <w:spacing w:after="0" w:line="113" w:lineRule="exact"/>
        <w:rPr>
          <w:sz w:val="20"/>
          <w:szCs w:val="20"/>
          <w:color w:val="auto"/>
        </w:rPr>
      </w:pPr>
    </w:p>
    <w:p>
      <w:pPr>
        <w:ind w:right="80" w:firstLine="913"/>
        <w:spacing w:after="0" w:line="254" w:lineRule="auto"/>
        <w:rPr>
          <w:sz w:val="20"/>
          <w:szCs w:val="20"/>
          <w:color w:val="auto"/>
        </w:rPr>
      </w:pPr>
      <w:r>
        <w:rPr>
          <w:rFonts w:ascii="Arial" w:cs="Arial" w:eastAsia="Arial" w:hAnsi="Arial"/>
          <w:sz w:val="18"/>
          <w:szCs w:val="18"/>
          <w:color w:val="auto"/>
        </w:rPr>
        <w:t>References to the Registrant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or is or was serving at the request of such constituent corporation as a director, officer, employee or agent of another corporation, partnership, joint venture, trust or other enterprise or entity, stands in the same position with respect to the resulting or surviving corporation as such person would have had with respect to such constituent corporation if its separate existence had continued.</w:t>
      </w:r>
    </w:p>
    <w:p>
      <w:pPr>
        <w:spacing w:after="0" w:line="144"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References to “other enterprises” includes employee benefit plans; references to “fines” includes any excise taxes assessed on a person with respect to any employee benefit plan; and references to “serving at the request of the Registrant” includes any service as a director, officer, employee or agent of the Registrant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Registrant.”</w:t>
      </w:r>
    </w:p>
    <w:p>
      <w:pPr>
        <w:spacing w:after="0" w:line="116" w:lineRule="exact"/>
        <w:rPr>
          <w:sz w:val="20"/>
          <w:szCs w:val="20"/>
          <w:color w:val="auto"/>
        </w:rPr>
      </w:pPr>
    </w:p>
    <w:p>
      <w:pPr>
        <w:ind w:right="120" w:firstLine="913"/>
        <w:spacing w:after="0" w:line="255" w:lineRule="auto"/>
        <w:rPr>
          <w:sz w:val="20"/>
          <w:szCs w:val="20"/>
          <w:color w:val="auto"/>
        </w:rPr>
      </w:pPr>
      <w:r>
        <w:rPr>
          <w:rFonts w:ascii="Arial" w:cs="Arial" w:eastAsia="Arial" w:hAnsi="Arial"/>
          <w:sz w:val="18"/>
          <w:szCs w:val="18"/>
          <w:color w:val="auto"/>
        </w:rPr>
        <w:t>A member of the Board of Directors, or a member of any committee designated by the Board of Directors, will, in the performance of such member’s duties, be fully protected in relying in good faith upon the records of the Registrant and upon such information, opinions, reports or statements presented to the Registrant by any of the Registrant’s officers or employees, or committees of the Board of Directors, or by any other person as to matters the member reasonably believes are within such other person’s professional or expert competence and who has been selected with reasonable care by or on behalf of the Registrant.</w:t>
      </w:r>
    </w:p>
    <w:p>
      <w:pPr>
        <w:spacing w:after="0" w:line="143" w:lineRule="exact"/>
        <w:rPr>
          <w:sz w:val="20"/>
          <w:szCs w:val="20"/>
          <w:color w:val="auto"/>
        </w:rPr>
      </w:pPr>
    </w:p>
    <w:p>
      <w:pPr>
        <w:ind w:right="80" w:firstLine="913"/>
        <w:spacing w:after="0" w:line="268" w:lineRule="auto"/>
        <w:rPr>
          <w:sz w:val="20"/>
          <w:szCs w:val="20"/>
          <w:color w:val="auto"/>
        </w:rPr>
      </w:pPr>
      <w:r>
        <w:rPr>
          <w:rFonts w:ascii="Arial" w:cs="Arial" w:eastAsia="Arial" w:hAnsi="Arial"/>
          <w:sz w:val="18"/>
          <w:szCs w:val="18"/>
          <w:color w:val="auto"/>
        </w:rPr>
        <w:t>In addition, the Registrant maintains directors’ and officers’ liability insurance that insures against certain liabilities that the officers and directors of the Registrant may incur in such capacities.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Exemption from Registration Claimed.</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Exhibits.</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documents are filed as a part of this Registration Statement or incorporated by reference herein: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0"/>
              </w:rPr>
              <w:t>Exhibit No.</w:t>
            </w:r>
          </w:p>
        </w:tc>
        <w:tc>
          <w:tcPr>
            <w:tcW w:w="10700" w:type="dxa"/>
            <w:vAlign w:val="bottom"/>
            <w:gridSpan w:val="2"/>
          </w:tcPr>
          <w:p>
            <w:pPr>
              <w:ind w:left="860"/>
              <w:spacing w:after="0"/>
              <w:rPr>
                <w:sz w:val="20"/>
                <w:szCs w:val="20"/>
                <w:color w:val="auto"/>
              </w:rPr>
            </w:pPr>
            <w:r>
              <w:rPr>
                <w:rFonts w:ascii="Arial" w:cs="Arial" w:eastAsia="Arial" w:hAnsi="Arial"/>
                <w:sz w:val="14"/>
                <w:szCs w:val="14"/>
                <w:b w:val="1"/>
                <w:bCs w:val="1"/>
                <w:color w:val="auto"/>
              </w:rPr>
              <w:t>Description</w:t>
            </w:r>
          </w:p>
        </w:tc>
      </w:tr>
      <w:tr>
        <w:trPr>
          <w:trHeight w:val="27"/>
        </w:trPr>
        <w:tc>
          <w:tcPr>
            <w:tcW w:w="72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9840" w:type="dxa"/>
            <w:vAlign w:val="bottom"/>
            <w:shd w:val="clear" w:color="auto" w:fill="000000"/>
          </w:tcPr>
          <w:p>
            <w:pPr>
              <w:spacing w:after="0"/>
              <w:rPr>
                <w:sz w:val="2"/>
                <w:szCs w:val="2"/>
                <w:color w:val="auto"/>
              </w:rPr>
            </w:pPr>
          </w:p>
        </w:tc>
      </w:tr>
      <w:tr>
        <w:trPr>
          <w:trHeight w:val="302"/>
        </w:trPr>
        <w:tc>
          <w:tcPr>
            <w:tcW w:w="7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700" w:type="dxa"/>
            <w:vAlign w:val="bottom"/>
            <w:gridSpan w:val="2"/>
          </w:tcPr>
          <w:p>
            <w:pPr>
              <w:ind w:left="860"/>
              <w:spacing w:after="0"/>
              <w:rPr>
                <w:sz w:val="20"/>
                <w:szCs w:val="20"/>
                <w:color w:val="auto"/>
              </w:rPr>
            </w:pPr>
            <w:r>
              <w:rPr>
                <w:rFonts w:ascii="Arial" w:cs="Arial" w:eastAsia="Arial" w:hAnsi="Arial"/>
                <w:sz w:val="18"/>
                <w:szCs w:val="18"/>
                <w:color w:val="auto"/>
                <w:w w:val="91"/>
              </w:rPr>
              <w:t>Articles of Incorporation of Schlumberger Limited (Schlumberger N.V.), as last amended on April 6, 2011 (incorporated by reference to</w:t>
            </w:r>
          </w:p>
        </w:tc>
      </w:tr>
      <w:tr>
        <w:trPr>
          <w:trHeight w:val="222"/>
        </w:trPr>
        <w:tc>
          <w:tcPr>
            <w:tcW w:w="720" w:type="dxa"/>
            <w:vAlign w:val="bottom"/>
          </w:tcPr>
          <w:p>
            <w:pPr>
              <w:spacing w:after="0"/>
              <w:rPr>
                <w:sz w:val="19"/>
                <w:szCs w:val="19"/>
                <w:color w:val="auto"/>
              </w:rPr>
            </w:pPr>
          </w:p>
        </w:tc>
        <w:tc>
          <w:tcPr>
            <w:tcW w:w="10700" w:type="dxa"/>
            <w:vAlign w:val="bottom"/>
            <w:gridSpan w:val="2"/>
          </w:tcPr>
          <w:p>
            <w:pPr>
              <w:ind w:left="860"/>
              <w:spacing w:after="0"/>
              <w:rPr>
                <w:sz w:val="20"/>
                <w:szCs w:val="20"/>
                <w:color w:val="auto"/>
              </w:rPr>
            </w:pPr>
            <w:r>
              <w:rPr>
                <w:rFonts w:ascii="Arial" w:cs="Arial" w:eastAsia="Arial" w:hAnsi="Arial"/>
                <w:sz w:val="18"/>
                <w:szCs w:val="18"/>
                <w:color w:val="auto"/>
              </w:rPr>
              <w:t>Exhibit 3.1 to Schlumberger’s Current Report on 8-K filed on April 7, 2011).</w:t>
            </w:r>
          </w:p>
        </w:tc>
      </w:tr>
      <w:tr>
        <w:trPr>
          <w:trHeight w:val="318"/>
        </w:trPr>
        <w:tc>
          <w:tcPr>
            <w:tcW w:w="72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0700" w:type="dxa"/>
            <w:vAlign w:val="bottom"/>
            <w:gridSpan w:val="2"/>
          </w:tcPr>
          <w:p>
            <w:pPr>
              <w:ind w:left="860"/>
              <w:spacing w:after="0"/>
              <w:rPr>
                <w:sz w:val="20"/>
                <w:szCs w:val="20"/>
                <w:color w:val="auto"/>
              </w:rPr>
            </w:pPr>
            <w:r>
              <w:rPr>
                <w:rFonts w:ascii="Arial" w:cs="Arial" w:eastAsia="Arial" w:hAnsi="Arial"/>
                <w:sz w:val="18"/>
                <w:szCs w:val="18"/>
                <w:color w:val="auto"/>
                <w:w w:val="88"/>
              </w:rPr>
              <w:t>Amended and Restated Bylaws of Schlumberger Limited (Schlumberger N.V.), as last amended on July 19, 2012 (incorporated by reference</w:t>
            </w:r>
          </w:p>
        </w:tc>
      </w:tr>
      <w:tr>
        <w:trPr>
          <w:trHeight w:val="222"/>
        </w:trPr>
        <w:tc>
          <w:tcPr>
            <w:tcW w:w="720" w:type="dxa"/>
            <w:vAlign w:val="bottom"/>
          </w:tcPr>
          <w:p>
            <w:pPr>
              <w:spacing w:after="0"/>
              <w:rPr>
                <w:sz w:val="19"/>
                <w:szCs w:val="19"/>
                <w:color w:val="auto"/>
              </w:rPr>
            </w:pPr>
          </w:p>
        </w:tc>
        <w:tc>
          <w:tcPr>
            <w:tcW w:w="10700" w:type="dxa"/>
            <w:vAlign w:val="bottom"/>
            <w:gridSpan w:val="2"/>
          </w:tcPr>
          <w:p>
            <w:pPr>
              <w:ind w:left="860"/>
              <w:spacing w:after="0"/>
              <w:rPr>
                <w:sz w:val="20"/>
                <w:szCs w:val="20"/>
                <w:color w:val="auto"/>
              </w:rPr>
            </w:pPr>
            <w:r>
              <w:rPr>
                <w:rFonts w:ascii="Arial" w:cs="Arial" w:eastAsia="Arial" w:hAnsi="Arial"/>
                <w:sz w:val="18"/>
                <w:szCs w:val="18"/>
                <w:color w:val="auto"/>
              </w:rPr>
              <w:t>to Exhibit 3.1 to Schlumberger’s Current Report on Form 8-K filed July 19, 2012).</w:t>
            </w:r>
          </w:p>
        </w:tc>
      </w:tr>
      <w:tr>
        <w:trPr>
          <w:trHeight w:val="318"/>
        </w:trPr>
        <w:tc>
          <w:tcPr>
            <w:tcW w:w="72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0700" w:type="dxa"/>
            <w:vAlign w:val="bottom"/>
            <w:gridSpan w:val="2"/>
          </w:tcPr>
          <w:p>
            <w:pPr>
              <w:ind w:left="860"/>
              <w:spacing w:after="0"/>
              <w:rPr>
                <w:sz w:val="20"/>
                <w:szCs w:val="20"/>
                <w:color w:val="auto"/>
              </w:rPr>
            </w:pPr>
            <w:r>
              <w:rPr>
                <w:rFonts w:ascii="Arial" w:cs="Arial" w:eastAsia="Arial" w:hAnsi="Arial"/>
                <w:sz w:val="18"/>
                <w:szCs w:val="18"/>
                <w:color w:val="auto"/>
                <w:w w:val="89"/>
              </w:rPr>
              <w:t>Schlumberger 2013 Omnibus Stock Incentive Plan (incorporated by reference to Appendix A to Schlumberger’s definitive proxy statement</w:t>
            </w:r>
          </w:p>
        </w:tc>
      </w:tr>
      <w:tr>
        <w:trPr>
          <w:trHeight w:val="222"/>
        </w:trPr>
        <w:tc>
          <w:tcPr>
            <w:tcW w:w="720" w:type="dxa"/>
            <w:vAlign w:val="bottom"/>
          </w:tcPr>
          <w:p>
            <w:pPr>
              <w:spacing w:after="0"/>
              <w:rPr>
                <w:sz w:val="19"/>
                <w:szCs w:val="19"/>
                <w:color w:val="auto"/>
              </w:rPr>
            </w:pPr>
          </w:p>
        </w:tc>
        <w:tc>
          <w:tcPr>
            <w:tcW w:w="10700" w:type="dxa"/>
            <w:vAlign w:val="bottom"/>
            <w:gridSpan w:val="2"/>
          </w:tcPr>
          <w:p>
            <w:pPr>
              <w:ind w:left="860"/>
              <w:spacing w:after="0"/>
              <w:rPr>
                <w:sz w:val="20"/>
                <w:szCs w:val="20"/>
                <w:color w:val="auto"/>
              </w:rPr>
            </w:pPr>
            <w:r>
              <w:rPr>
                <w:rFonts w:ascii="Arial" w:cs="Arial" w:eastAsia="Arial" w:hAnsi="Arial"/>
                <w:sz w:val="18"/>
                <w:szCs w:val="18"/>
                <w:color w:val="auto"/>
              </w:rPr>
              <w:t>for the 2013 Annual General Meeting of Stockholders held on April 10, 2013).</w:t>
            </w:r>
          </w:p>
        </w:tc>
      </w:tr>
      <w:tr>
        <w:trPr>
          <w:trHeight w:val="365"/>
        </w:trPr>
        <w:tc>
          <w:tcPr>
            <w:tcW w:w="720" w:type="dxa"/>
            <w:vAlign w:val="bottom"/>
          </w:tcPr>
          <w:p>
            <w:pPr>
              <w:spacing w:after="0"/>
              <w:rPr>
                <w:sz w:val="24"/>
                <w:szCs w:val="24"/>
                <w:color w:val="auto"/>
              </w:rPr>
            </w:pPr>
          </w:p>
        </w:tc>
        <w:tc>
          <w:tcPr>
            <w:tcW w:w="10700" w:type="dxa"/>
            <w:vAlign w:val="bottom"/>
            <w:gridSpan w:val="2"/>
          </w:tcPr>
          <w:p>
            <w:pPr>
              <w:ind w:left="4840"/>
              <w:spacing w:after="0"/>
              <w:rPr>
                <w:sz w:val="20"/>
                <w:szCs w:val="20"/>
                <w:color w:val="auto"/>
              </w:rPr>
            </w:pPr>
            <w:r>
              <w:rPr>
                <w:rFonts w:ascii="Arial" w:cs="Arial" w:eastAsia="Arial" w:hAnsi="Arial"/>
                <w:sz w:val="18"/>
                <w:szCs w:val="18"/>
                <w:color w:val="auto"/>
              </w:rPr>
              <w:t>- 3 -</w:t>
            </w:r>
          </w:p>
        </w:tc>
      </w:tr>
    </w:tbl>
    <w:p>
      <w:pPr>
        <w:sectPr>
          <w:pgSz w:w="11900" w:h="16838" w:orient="portrait"/>
          <w:cols w:equalWidth="0" w:num="1">
            <w:col w:w="11420"/>
          </w:cols>
          <w:pgMar w:left="240" w:top="280" w:right="239" w:bottom="1440" w:gutter="0" w:footer="0" w:header="0"/>
        </w:sectPr>
      </w:pPr>
    </w:p>
    <w:bookmarkStart w:id="4" w:name="page5"/>
    <w:bookmarkEnd w:id="4"/>
    <w:p>
      <w:pPr>
        <w:spacing w:after="0"/>
        <w:tabs>
          <w:tab w:leader="none" w:pos="1440" w:val="left"/>
        </w:tabs>
        <w:rPr>
          <w:sz w:val="20"/>
          <w:szCs w:val="20"/>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No.</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931545</wp:posOffset>
            </wp:positionH>
            <wp:positionV relativeFrom="paragraph">
              <wp:posOffset>8890</wp:posOffset>
            </wp:positionV>
            <wp:extent cx="63201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20155" cy="8890"/>
                    </a:xfrm>
                    <a:prstGeom prst="rect">
                      <a:avLst/>
                    </a:prstGeom>
                    <a:noFill/>
                  </pic:spPr>
                </pic:pic>
              </a:graphicData>
            </a:graphic>
          </wp:anchor>
        </w:drawing>
      </w:r>
    </w:p>
    <w:p>
      <w:pPr>
        <w:spacing w:after="0" w:line="94" w:lineRule="exact"/>
        <w:rPr>
          <w:sz w:val="20"/>
          <w:szCs w:val="20"/>
          <w:color w:val="auto"/>
        </w:rPr>
      </w:pPr>
    </w:p>
    <w:p>
      <w:pPr>
        <w:ind w:left="1460" w:hanging="1145"/>
        <w:spacing w:after="0"/>
        <w:tabs>
          <w:tab w:leader="none" w:pos="1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Opinion of STvB Advocaten (Curaçao), N.V. as to the legality of the shares of common stock being registered (filed herewith).</w:t>
      </w:r>
    </w:p>
    <w:p>
      <w:pPr>
        <w:spacing w:after="0" w:line="140" w:lineRule="exact"/>
        <w:rPr>
          <w:sz w:val="20"/>
          <w:szCs w:val="20"/>
          <w:color w:val="auto"/>
        </w:rPr>
      </w:pPr>
    </w:p>
    <w:tbl>
      <w:tblPr>
        <w:tblLayout w:type="fixed"/>
        <w:tblInd w:w="200" w:type="dxa"/>
        <w:tblCellMar>
          <w:top w:w="0" w:type="dxa"/>
          <w:left w:w="0" w:type="dxa"/>
          <w:bottom w:w="0" w:type="dxa"/>
          <w:right w:w="0" w:type="dxa"/>
        </w:tblCellMar>
      </w:tblPr>
      <w:tr>
        <w:trPr>
          <w:trHeight w:val="222"/>
        </w:trPr>
        <w:tc>
          <w:tcPr>
            <w:tcW w:w="780" w:type="dxa"/>
            <w:vAlign w:val="bottom"/>
          </w:tcPr>
          <w:p>
            <w:pPr>
              <w:jc w:val="center"/>
              <w:ind w:right="372"/>
              <w:spacing w:after="0"/>
              <w:rPr>
                <w:sz w:val="20"/>
                <w:szCs w:val="20"/>
                <w:color w:val="auto"/>
              </w:rPr>
            </w:pPr>
            <w:r>
              <w:rPr>
                <w:rFonts w:ascii="Arial" w:cs="Arial" w:eastAsia="Arial" w:hAnsi="Arial"/>
                <w:sz w:val="18"/>
                <w:szCs w:val="18"/>
                <w:color w:val="auto"/>
                <w:w w:val="91"/>
              </w:rPr>
              <w:t>23.1</w:t>
            </w:r>
          </w:p>
        </w:tc>
        <w:tc>
          <w:tcPr>
            <w:tcW w:w="7880" w:type="dxa"/>
            <w:vAlign w:val="bottom"/>
          </w:tcPr>
          <w:p>
            <w:pPr>
              <w:ind w:left="480"/>
              <w:spacing w:after="0"/>
              <w:rPr>
                <w:sz w:val="20"/>
                <w:szCs w:val="20"/>
                <w:color w:val="auto"/>
              </w:rPr>
            </w:pPr>
            <w:r>
              <w:rPr>
                <w:rFonts w:ascii="Arial" w:cs="Arial" w:eastAsia="Arial" w:hAnsi="Arial"/>
                <w:sz w:val="18"/>
                <w:szCs w:val="18"/>
                <w:color w:val="auto"/>
                <w:w w:val="88"/>
              </w:rPr>
              <w:t>Consent of PricewaterhouseCoopers LLP, independent registered public accounting firm (filed herewith).</w:t>
            </w:r>
          </w:p>
        </w:tc>
      </w:tr>
      <w:tr>
        <w:trPr>
          <w:trHeight w:val="324"/>
        </w:trPr>
        <w:tc>
          <w:tcPr>
            <w:tcW w:w="780" w:type="dxa"/>
            <w:vAlign w:val="bottom"/>
          </w:tcPr>
          <w:p>
            <w:pPr>
              <w:jc w:val="center"/>
              <w:ind w:right="372"/>
              <w:spacing w:after="0"/>
              <w:rPr>
                <w:sz w:val="20"/>
                <w:szCs w:val="20"/>
                <w:color w:val="auto"/>
              </w:rPr>
            </w:pPr>
            <w:r>
              <w:rPr>
                <w:rFonts w:ascii="Arial" w:cs="Arial" w:eastAsia="Arial" w:hAnsi="Arial"/>
                <w:sz w:val="18"/>
                <w:szCs w:val="18"/>
                <w:color w:val="auto"/>
                <w:w w:val="91"/>
              </w:rPr>
              <w:t>23.2</w:t>
            </w:r>
          </w:p>
        </w:tc>
        <w:tc>
          <w:tcPr>
            <w:tcW w:w="7880" w:type="dxa"/>
            <w:vAlign w:val="bottom"/>
          </w:tcPr>
          <w:p>
            <w:pPr>
              <w:ind w:left="480"/>
              <w:spacing w:after="0"/>
              <w:rPr>
                <w:sz w:val="20"/>
                <w:szCs w:val="20"/>
                <w:color w:val="auto"/>
              </w:rPr>
            </w:pPr>
            <w:r>
              <w:rPr>
                <w:rFonts w:ascii="Arial" w:cs="Arial" w:eastAsia="Arial" w:hAnsi="Arial"/>
                <w:sz w:val="18"/>
                <w:szCs w:val="18"/>
                <w:color w:val="auto"/>
              </w:rPr>
              <w:t>Consent of STvB Advocaten (Curaçao), N.V. (included in Exhibit 5).</w:t>
            </w:r>
          </w:p>
        </w:tc>
      </w:tr>
      <w:tr>
        <w:trPr>
          <w:trHeight w:val="324"/>
        </w:trPr>
        <w:tc>
          <w:tcPr>
            <w:tcW w:w="780" w:type="dxa"/>
            <w:vAlign w:val="bottom"/>
          </w:tcPr>
          <w:p>
            <w:pPr>
              <w:jc w:val="center"/>
              <w:ind w:right="372"/>
              <w:spacing w:after="0"/>
              <w:rPr>
                <w:sz w:val="20"/>
                <w:szCs w:val="20"/>
                <w:color w:val="auto"/>
              </w:rPr>
            </w:pPr>
            <w:r>
              <w:rPr>
                <w:rFonts w:ascii="Arial" w:cs="Arial" w:eastAsia="Arial" w:hAnsi="Arial"/>
                <w:sz w:val="18"/>
                <w:szCs w:val="18"/>
                <w:color w:val="auto"/>
                <w:w w:val="79"/>
              </w:rPr>
              <w:t>24</w:t>
            </w:r>
          </w:p>
        </w:tc>
        <w:tc>
          <w:tcPr>
            <w:tcW w:w="7880" w:type="dxa"/>
            <w:vAlign w:val="bottom"/>
          </w:tcPr>
          <w:p>
            <w:pPr>
              <w:ind w:left="480"/>
              <w:spacing w:after="0"/>
              <w:rPr>
                <w:sz w:val="20"/>
                <w:szCs w:val="20"/>
                <w:color w:val="auto"/>
              </w:rPr>
            </w:pPr>
            <w:r>
              <w:rPr>
                <w:rFonts w:ascii="Arial" w:cs="Arial" w:eastAsia="Arial" w:hAnsi="Arial"/>
                <w:sz w:val="18"/>
                <w:szCs w:val="18"/>
                <w:color w:val="auto"/>
              </w:rPr>
              <w:t>Powers of Attorney (filed herewith).</w:t>
            </w: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Undertakings.</w:t>
      </w:r>
    </w:p>
    <w:p>
      <w:pPr>
        <w:spacing w:after="0" w:line="96" w:lineRule="exact"/>
        <w:rPr>
          <w:sz w:val="20"/>
          <w:szCs w:val="20"/>
          <w:color w:val="auto"/>
        </w:rPr>
      </w:pPr>
    </w:p>
    <w:p>
      <w:pPr>
        <w:ind w:left="700" w:hanging="236"/>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90" w:lineRule="exact"/>
        <w:rPr>
          <w:rFonts w:ascii="Arial" w:cs="Arial" w:eastAsia="Arial" w:hAnsi="Arial"/>
          <w:sz w:val="18"/>
          <w:szCs w:val="18"/>
          <w:color w:val="auto"/>
        </w:rPr>
      </w:pPr>
    </w:p>
    <w:p>
      <w:pPr>
        <w:ind w:left="1560" w:hanging="219"/>
        <w:spacing w:after="0"/>
        <w:tabs>
          <w:tab w:leader="none" w:pos="1560" w:val="left"/>
        </w:tabs>
        <w:numPr>
          <w:ilvl w:val="2"/>
          <w:numId w:val="5"/>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90" w:lineRule="exact"/>
        <w:rPr>
          <w:rFonts w:ascii="Arial" w:cs="Arial" w:eastAsia="Arial" w:hAnsi="Arial"/>
          <w:sz w:val="18"/>
          <w:szCs w:val="18"/>
          <w:color w:val="auto"/>
        </w:rPr>
      </w:pPr>
    </w:p>
    <w:p>
      <w:pPr>
        <w:ind w:left="920" w:firstLine="421"/>
        <w:spacing w:after="0" w:line="253" w:lineRule="auto"/>
        <w:tabs>
          <w:tab w:leader="none" w:pos="1598" w:val="left"/>
        </w:tabs>
        <w:numPr>
          <w:ilvl w:val="2"/>
          <w:numId w:val="5"/>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of the Securities Act of 1933 if, in the aggregate, the changes in volume and price represent no more than a 20% change in the maximum aggregate offering price set forth in the “Calculation of Registration Fee” table in the effective registration statement; and</w:t>
      </w:r>
    </w:p>
    <w:p>
      <w:pPr>
        <w:spacing w:after="0" w:line="66" w:lineRule="exact"/>
        <w:rPr>
          <w:rFonts w:ascii="Arial" w:cs="Arial" w:eastAsia="Arial" w:hAnsi="Arial"/>
          <w:sz w:val="18"/>
          <w:szCs w:val="18"/>
          <w:color w:val="auto"/>
        </w:rPr>
      </w:pPr>
    </w:p>
    <w:p>
      <w:pPr>
        <w:ind w:left="920" w:right="260" w:firstLine="421"/>
        <w:spacing w:after="0" w:line="268" w:lineRule="auto"/>
        <w:tabs>
          <w:tab w:leader="none" w:pos="1647" w:val="left"/>
        </w:tabs>
        <w:numPr>
          <w:ilvl w:val="2"/>
          <w:numId w:val="5"/>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51" w:lineRule="exact"/>
        <w:rPr>
          <w:sz w:val="20"/>
          <w:szCs w:val="20"/>
          <w:color w:val="auto"/>
        </w:rPr>
      </w:pPr>
    </w:p>
    <w:p>
      <w:pPr>
        <w:ind w:left="460" w:right="20"/>
        <w:spacing w:after="0" w:line="306" w:lineRule="auto"/>
        <w:rPr>
          <w:sz w:val="20"/>
          <w:szCs w:val="20"/>
          <w:color w:val="auto"/>
        </w:rPr>
      </w:pPr>
      <w:r>
        <w:rPr>
          <w:rFonts w:ascii="Arial" w:cs="Arial" w:eastAsia="Arial" w:hAnsi="Arial"/>
          <w:sz w:val="16"/>
          <w:szCs w:val="16"/>
          <w:i w:val="1"/>
          <w:iCs w:val="1"/>
          <w:color w:val="auto"/>
        </w:rPr>
        <w:t xml:space="preserve">provided, however, </w:t>
      </w:r>
      <w:r>
        <w:rPr>
          <w:rFonts w:ascii="Arial" w:cs="Arial" w:eastAsia="Arial" w:hAnsi="Arial"/>
          <w:sz w:val="16"/>
          <w:szCs w:val="16"/>
          <w:color w:val="auto"/>
        </w:rPr>
        <w:t>that the undertakings set forth in paragraphs (a)(1)(i) and (a)(1)(ii) above do not apply if the information required to be included in a</w:t>
      </w:r>
      <w:r>
        <w:rPr>
          <w:rFonts w:ascii="Arial" w:cs="Arial" w:eastAsia="Arial" w:hAnsi="Arial"/>
          <w:sz w:val="16"/>
          <w:szCs w:val="16"/>
          <w:i w:val="1"/>
          <w:iCs w:val="1"/>
          <w:color w:val="auto"/>
        </w:rPr>
        <w:t xml:space="preserve"> </w:t>
      </w:r>
      <w:r>
        <w:rPr>
          <w:rFonts w:ascii="Arial" w:cs="Arial" w:eastAsia="Arial" w:hAnsi="Arial"/>
          <w:sz w:val="16"/>
          <w:szCs w:val="16"/>
          <w:color w:val="auto"/>
        </w:rPr>
        <w:t>post-effective amendment by those paragraphs is contained in reports filed with or furnished to the Commission by the Registrant pursuant to Section 13 or Section 15(d) of the Securities Exchange Act of 1934 that are incorporated by reference in the registration statement.</w:t>
      </w:r>
    </w:p>
    <w:p>
      <w:pPr>
        <w:spacing w:after="0" w:line="26" w:lineRule="exact"/>
        <w:rPr>
          <w:sz w:val="20"/>
          <w:szCs w:val="20"/>
          <w:color w:val="auto"/>
        </w:rPr>
      </w:pPr>
    </w:p>
    <w:p>
      <w:pPr>
        <w:ind w:left="460" w:firstLine="443"/>
        <w:spacing w:after="0" w:line="259" w:lineRule="auto"/>
        <w:tabs>
          <w:tab w:leader="none" w:pos="1147" w:val="left"/>
        </w:tabs>
        <w:numPr>
          <w:ilvl w:val="1"/>
          <w:numId w:val="6"/>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59" w:lineRule="exact"/>
        <w:rPr>
          <w:rFonts w:ascii="Arial" w:cs="Arial" w:eastAsia="Arial" w:hAnsi="Arial"/>
          <w:sz w:val="18"/>
          <w:szCs w:val="18"/>
          <w:color w:val="auto"/>
        </w:rPr>
      </w:pPr>
    </w:p>
    <w:p>
      <w:pPr>
        <w:ind w:left="460" w:right="800" w:firstLine="443"/>
        <w:spacing w:after="0" w:line="268" w:lineRule="auto"/>
        <w:tabs>
          <w:tab w:leader="none" w:pos="1147" w:val="left"/>
        </w:tabs>
        <w:numPr>
          <w:ilvl w:val="1"/>
          <w:numId w:val="6"/>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31" w:lineRule="exact"/>
        <w:rPr>
          <w:rFonts w:ascii="Arial" w:cs="Arial" w:eastAsia="Arial" w:hAnsi="Arial"/>
          <w:sz w:val="18"/>
          <w:szCs w:val="18"/>
          <w:color w:val="auto"/>
        </w:rPr>
      </w:pPr>
    </w:p>
    <w:p>
      <w:pPr>
        <w:ind w:right="180" w:firstLine="464"/>
        <w:spacing w:after="0" w:line="255" w:lineRule="auto"/>
        <w:tabs>
          <w:tab w:leader="none" w:pos="705"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42" w:lineRule="exact"/>
        <w:rPr>
          <w:rFonts w:ascii="Arial" w:cs="Arial" w:eastAsia="Arial" w:hAnsi="Arial"/>
          <w:sz w:val="18"/>
          <w:szCs w:val="18"/>
          <w:color w:val="auto"/>
        </w:rPr>
      </w:pPr>
    </w:p>
    <w:p>
      <w:pPr>
        <w:ind w:right="180" w:firstLine="464"/>
        <w:spacing w:after="0" w:line="289" w:lineRule="auto"/>
        <w:tabs>
          <w:tab w:leader="none" w:pos="695" w:val="left"/>
        </w:tabs>
        <w:numPr>
          <w:ilvl w:val="0"/>
          <w:numId w:val="7"/>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provisions described under Item 6 above, or otherwise, the Registrant has been advised that in the opinion of the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04" w:lineRule="exact"/>
        <w:rPr>
          <w:rFonts w:ascii="Arial" w:cs="Arial" w:eastAsia="Arial" w:hAnsi="Arial"/>
          <w:sz w:val="16"/>
          <w:szCs w:val="16"/>
          <w:color w:val="auto"/>
        </w:rPr>
      </w:pPr>
    </w:p>
    <w:p>
      <w:pPr>
        <w:ind w:left="5680" w:hanging="112"/>
        <w:spacing w:after="0"/>
        <w:tabs>
          <w:tab w:leader="none" w:pos="5680" w:val="left"/>
        </w:tabs>
        <w:numPr>
          <w:ilvl w:val="2"/>
          <w:numId w:val="7"/>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1400"/>
          </w:cols>
          <w:pgMar w:left="240" w:top="275" w:right="259" w:bottom="1440" w:gutter="0" w:footer="0" w:header="0"/>
        </w:sectPr>
      </w:pPr>
    </w:p>
    <w:bookmarkStart w:id="5" w:name="page6"/>
    <w:bookmarkEnd w:id="5"/>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Houston, State of Texas, on May 14, 2013.</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Howard Guild</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Accounting Officer</w:t>
      </w:r>
    </w:p>
    <w:p>
      <w:pPr>
        <w:spacing w:after="0" w:line="165"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on May 14, 2013 in the capacities indicated.</w:t>
      </w:r>
    </w:p>
    <w:p>
      <w:pPr>
        <w:sectPr>
          <w:pgSz w:w="11900" w:h="16838" w:orient="portrait"/>
          <w:cols w:equalWidth="0" w:num="1">
            <w:col w:w="11360"/>
          </w:cols>
          <w:pgMar w:left="240" w:top="274" w:right="299" w:bottom="1440" w:gutter="0" w:footer="0" w:header="0"/>
        </w:sectPr>
      </w:pP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5591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Paal Kibsgaard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5591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Simon Ayat</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Executive Vice President and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5591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Howard Guild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Accounting Officer</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5591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Peter L.S. Currie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5591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Tony Isaac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5591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K. Vaman Kamath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5591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Nikolay Kudryavtsev</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wp:posOffset>
            </wp:positionV>
            <wp:extent cx="34048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Adrian Lajous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427355</wp:posOffset>
            </wp:positionV>
            <wp:extent cx="34048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color w:val="auto"/>
        </w:rPr>
        <w:t>Michael E. Marks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wp:posOffset>
            </wp:positionV>
            <wp:extent cx="34048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Lubna S. Olayan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wp:posOffset>
            </wp:positionV>
            <wp:extent cx="34048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Leo Rafael Reif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wp:posOffset>
            </wp:positionV>
            <wp:extent cx="34048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Tore I. Sandvold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wp:posOffset>
            </wp:positionV>
            <wp:extent cx="34048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Henri Seydoux</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1104" w:lineRule="exact"/>
        <w:rPr>
          <w:sz w:val="20"/>
          <w:szCs w:val="20"/>
          <w:color w:val="auto"/>
        </w:rPr>
      </w:pPr>
    </w:p>
    <w:p>
      <w:pPr>
        <w:sectPr>
          <w:pgSz w:w="11900" w:h="16838" w:orient="portrait"/>
          <w:cols w:equalWidth="0" w:num="2">
            <w:col w:w="5340" w:space="720"/>
            <w:col w:w="5300"/>
          </w:cols>
          <w:pgMar w:left="240" w:top="274" w:right="299" w:bottom="1440" w:gutter="0" w:footer="0" w:header="0"/>
          <w:type w:val="continuous"/>
        </w:sectPr>
      </w:pPr>
    </w:p>
    <w:p>
      <w:pPr>
        <w:spacing w:after="0" w:line="19"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tab/>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263271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Howard Guild</w:t>
      </w:r>
    </w:p>
    <w:p>
      <w:pPr>
        <w:spacing w:after="0" w:line="1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Attorney-in-Fact</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- 5 -</w:t>
      </w:r>
    </w:p>
    <w:p>
      <w:pPr>
        <w:sectPr>
          <w:pgSz w:w="11900" w:h="16838" w:orient="portrait"/>
          <w:cols w:equalWidth="0" w:num="1">
            <w:col w:w="11360"/>
          </w:cols>
          <w:pgMar w:left="240" w:top="274" w:right="29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960" w:type="dxa"/>
            <w:vAlign w:val="bottom"/>
          </w:tcPr>
          <w:p>
            <w:pPr>
              <w:ind w:left="3580"/>
              <w:spacing w:after="0"/>
              <w:rPr>
                <w:sz w:val="20"/>
                <w:szCs w:val="20"/>
                <w:color w:val="auto"/>
              </w:rPr>
            </w:pPr>
            <w:r>
              <w:rPr>
                <w:rFonts w:ascii="Arial" w:cs="Arial" w:eastAsia="Arial" w:hAnsi="Arial"/>
                <w:sz w:val="18"/>
                <w:szCs w:val="18"/>
                <w:b w:val="1"/>
                <w:bCs w:val="1"/>
                <w:color w:val="auto"/>
              </w:rPr>
              <w:t>EXHIBIT INDEX</w:t>
            </w:r>
          </w:p>
        </w:tc>
      </w:tr>
      <w:tr>
        <w:trPr>
          <w:trHeight w:val="360"/>
        </w:trPr>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Exhibit No.</w:t>
            </w:r>
          </w:p>
        </w:tc>
        <w:tc>
          <w:tcPr>
            <w:tcW w:w="740" w:type="dxa"/>
            <w:vAlign w:val="bottom"/>
          </w:tcPr>
          <w:p>
            <w:pPr>
              <w:spacing w:after="0"/>
              <w:rPr>
                <w:sz w:val="24"/>
                <w:szCs w:val="24"/>
                <w:color w:val="auto"/>
              </w:rPr>
            </w:pPr>
          </w:p>
        </w:tc>
        <w:tc>
          <w:tcPr>
            <w:tcW w:w="9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302"/>
        </w:trPr>
        <w:tc>
          <w:tcPr>
            <w:tcW w:w="7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700" w:type="dxa"/>
            <w:vAlign w:val="bottom"/>
            <w:gridSpan w:val="2"/>
          </w:tcPr>
          <w:p>
            <w:pPr>
              <w:ind w:left="740"/>
              <w:spacing w:after="0"/>
              <w:rPr>
                <w:sz w:val="20"/>
                <w:szCs w:val="20"/>
                <w:color w:val="auto"/>
              </w:rPr>
            </w:pPr>
            <w:r>
              <w:rPr>
                <w:rFonts w:ascii="Arial" w:cs="Arial" w:eastAsia="Arial" w:hAnsi="Arial"/>
                <w:sz w:val="18"/>
                <w:szCs w:val="18"/>
                <w:color w:val="auto"/>
                <w:w w:val="93"/>
              </w:rPr>
              <w:t>Articles of Incorporation of Schlumberger Limited (Schlumberger N.V.), as last amended on April 6, 2011 (incorporated by reference to</w:t>
            </w:r>
          </w:p>
        </w:tc>
      </w:tr>
      <w:tr>
        <w:trPr>
          <w:trHeight w:val="222"/>
        </w:trPr>
        <w:tc>
          <w:tcPr>
            <w:tcW w:w="720" w:type="dxa"/>
            <w:vAlign w:val="bottom"/>
          </w:tcPr>
          <w:p>
            <w:pPr>
              <w:spacing w:after="0"/>
              <w:rPr>
                <w:sz w:val="19"/>
                <w:szCs w:val="19"/>
                <w:color w:val="auto"/>
              </w:rPr>
            </w:pPr>
          </w:p>
        </w:tc>
        <w:tc>
          <w:tcPr>
            <w:tcW w:w="10700" w:type="dxa"/>
            <w:vAlign w:val="bottom"/>
            <w:gridSpan w:val="2"/>
          </w:tcPr>
          <w:p>
            <w:pPr>
              <w:ind w:left="740"/>
              <w:spacing w:after="0"/>
              <w:rPr>
                <w:sz w:val="20"/>
                <w:szCs w:val="20"/>
                <w:color w:val="auto"/>
              </w:rPr>
            </w:pPr>
            <w:r>
              <w:rPr>
                <w:rFonts w:ascii="Arial" w:cs="Arial" w:eastAsia="Arial" w:hAnsi="Arial"/>
                <w:sz w:val="18"/>
                <w:szCs w:val="18"/>
                <w:color w:val="auto"/>
              </w:rPr>
              <w:t>Exhibit 3.1 to Schlumberger’s Current Report on 8-K filed on April 7, 2011).</w:t>
            </w:r>
          </w:p>
        </w:tc>
      </w:tr>
      <w:tr>
        <w:trPr>
          <w:trHeight w:val="318"/>
        </w:trPr>
        <w:tc>
          <w:tcPr>
            <w:tcW w:w="72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0700" w:type="dxa"/>
            <w:vAlign w:val="bottom"/>
            <w:gridSpan w:val="2"/>
          </w:tcPr>
          <w:p>
            <w:pPr>
              <w:ind w:left="740"/>
              <w:spacing w:after="0"/>
              <w:rPr>
                <w:sz w:val="20"/>
                <w:szCs w:val="20"/>
                <w:color w:val="auto"/>
              </w:rPr>
            </w:pPr>
            <w:r>
              <w:rPr>
                <w:rFonts w:ascii="Arial" w:cs="Arial" w:eastAsia="Arial" w:hAnsi="Arial"/>
                <w:sz w:val="18"/>
                <w:szCs w:val="18"/>
                <w:color w:val="auto"/>
                <w:w w:val="89"/>
              </w:rPr>
              <w:t>Amended and Restated Bylaws of Schlumberger Limited (Schlumberger N.V.), as last amended on July 19, 2012 (incorporated by reference</w:t>
            </w:r>
          </w:p>
        </w:tc>
      </w:tr>
      <w:tr>
        <w:trPr>
          <w:trHeight w:val="222"/>
        </w:trPr>
        <w:tc>
          <w:tcPr>
            <w:tcW w:w="720" w:type="dxa"/>
            <w:vAlign w:val="bottom"/>
          </w:tcPr>
          <w:p>
            <w:pPr>
              <w:spacing w:after="0"/>
              <w:rPr>
                <w:sz w:val="19"/>
                <w:szCs w:val="19"/>
                <w:color w:val="auto"/>
              </w:rPr>
            </w:pPr>
          </w:p>
        </w:tc>
        <w:tc>
          <w:tcPr>
            <w:tcW w:w="10700" w:type="dxa"/>
            <w:vAlign w:val="bottom"/>
            <w:gridSpan w:val="2"/>
          </w:tcPr>
          <w:p>
            <w:pPr>
              <w:ind w:left="740"/>
              <w:spacing w:after="0"/>
              <w:rPr>
                <w:sz w:val="20"/>
                <w:szCs w:val="20"/>
                <w:color w:val="auto"/>
              </w:rPr>
            </w:pPr>
            <w:r>
              <w:rPr>
                <w:rFonts w:ascii="Arial" w:cs="Arial" w:eastAsia="Arial" w:hAnsi="Arial"/>
                <w:sz w:val="18"/>
                <w:szCs w:val="18"/>
                <w:color w:val="auto"/>
              </w:rPr>
              <w:t>to Exhibit 3.1 to Schlumberger’s Current Report on Form 8-K filed July 19, 2012).</w:t>
            </w:r>
          </w:p>
        </w:tc>
      </w:tr>
      <w:tr>
        <w:trPr>
          <w:trHeight w:val="318"/>
        </w:trPr>
        <w:tc>
          <w:tcPr>
            <w:tcW w:w="72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0700" w:type="dxa"/>
            <w:vAlign w:val="bottom"/>
            <w:gridSpan w:val="2"/>
          </w:tcPr>
          <w:p>
            <w:pPr>
              <w:ind w:left="740"/>
              <w:spacing w:after="0"/>
              <w:rPr>
                <w:sz w:val="20"/>
                <w:szCs w:val="20"/>
                <w:color w:val="auto"/>
              </w:rPr>
            </w:pPr>
            <w:r>
              <w:rPr>
                <w:rFonts w:ascii="Arial" w:cs="Arial" w:eastAsia="Arial" w:hAnsi="Arial"/>
                <w:sz w:val="18"/>
                <w:szCs w:val="18"/>
                <w:color w:val="auto"/>
                <w:w w:val="90"/>
              </w:rPr>
              <w:t>Schlumberger 2013 Omnibus Stock Incentive Plan (incorporated by reference to Appendix A to Schlumberger’s definitive proxy statement</w:t>
            </w:r>
          </w:p>
        </w:tc>
      </w:tr>
      <w:tr>
        <w:trPr>
          <w:trHeight w:val="222"/>
        </w:trPr>
        <w:tc>
          <w:tcPr>
            <w:tcW w:w="720" w:type="dxa"/>
            <w:vAlign w:val="bottom"/>
          </w:tcPr>
          <w:p>
            <w:pPr>
              <w:spacing w:after="0"/>
              <w:rPr>
                <w:sz w:val="19"/>
                <w:szCs w:val="19"/>
                <w:color w:val="auto"/>
              </w:rPr>
            </w:pPr>
          </w:p>
        </w:tc>
        <w:tc>
          <w:tcPr>
            <w:tcW w:w="10700" w:type="dxa"/>
            <w:vAlign w:val="bottom"/>
            <w:gridSpan w:val="2"/>
          </w:tcPr>
          <w:p>
            <w:pPr>
              <w:ind w:left="740"/>
              <w:spacing w:after="0"/>
              <w:rPr>
                <w:sz w:val="20"/>
                <w:szCs w:val="20"/>
                <w:color w:val="auto"/>
              </w:rPr>
            </w:pPr>
            <w:r>
              <w:rPr>
                <w:rFonts w:ascii="Arial" w:cs="Arial" w:eastAsia="Arial" w:hAnsi="Arial"/>
                <w:sz w:val="18"/>
                <w:szCs w:val="18"/>
                <w:color w:val="auto"/>
              </w:rPr>
              <w:t>for the 2013 Annual General Meeting of Stockholders held on April 10, 2013).</w:t>
            </w:r>
          </w:p>
        </w:tc>
      </w:tr>
    </w:tbl>
    <w:p>
      <w:pPr>
        <w:spacing w:after="0" w:line="1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1460" w:hanging="1145"/>
        <w:spacing w:after="0"/>
        <w:tabs>
          <w:tab w:leader="none" w:pos="1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Opinion of STvB Advocaten (Curaçao), N.V. as to the legality of the shares of common stock being registered (filed herewith).</w:t>
      </w:r>
    </w:p>
    <w:p>
      <w:pPr>
        <w:spacing w:after="0" w:line="140" w:lineRule="exact"/>
        <w:rPr>
          <w:sz w:val="20"/>
          <w:szCs w:val="20"/>
          <w:color w:val="auto"/>
        </w:rPr>
      </w:pPr>
    </w:p>
    <w:tbl>
      <w:tblPr>
        <w:tblLayout w:type="fixed"/>
        <w:tblInd w:w="200" w:type="dxa"/>
        <w:tblCellMar>
          <w:top w:w="0" w:type="dxa"/>
          <w:left w:w="0" w:type="dxa"/>
          <w:bottom w:w="0" w:type="dxa"/>
          <w:right w:w="0" w:type="dxa"/>
        </w:tblCellMar>
      </w:tblPr>
      <w:tr>
        <w:trPr>
          <w:trHeight w:val="222"/>
        </w:trPr>
        <w:tc>
          <w:tcPr>
            <w:tcW w:w="780" w:type="dxa"/>
            <w:vAlign w:val="bottom"/>
          </w:tcPr>
          <w:p>
            <w:pPr>
              <w:jc w:val="center"/>
              <w:ind w:right="372"/>
              <w:spacing w:after="0"/>
              <w:rPr>
                <w:sz w:val="20"/>
                <w:szCs w:val="20"/>
                <w:color w:val="auto"/>
              </w:rPr>
            </w:pPr>
            <w:r>
              <w:rPr>
                <w:rFonts w:ascii="Arial" w:cs="Arial" w:eastAsia="Arial" w:hAnsi="Arial"/>
                <w:sz w:val="18"/>
                <w:szCs w:val="18"/>
                <w:color w:val="auto"/>
                <w:w w:val="91"/>
              </w:rPr>
              <w:t>23.1</w:t>
            </w:r>
          </w:p>
        </w:tc>
        <w:tc>
          <w:tcPr>
            <w:tcW w:w="7880" w:type="dxa"/>
            <w:vAlign w:val="bottom"/>
          </w:tcPr>
          <w:p>
            <w:pPr>
              <w:ind w:left="480"/>
              <w:spacing w:after="0"/>
              <w:rPr>
                <w:sz w:val="20"/>
                <w:szCs w:val="20"/>
                <w:color w:val="auto"/>
              </w:rPr>
            </w:pPr>
            <w:r>
              <w:rPr>
                <w:rFonts w:ascii="Arial" w:cs="Arial" w:eastAsia="Arial" w:hAnsi="Arial"/>
                <w:sz w:val="18"/>
                <w:szCs w:val="18"/>
                <w:color w:val="auto"/>
                <w:w w:val="88"/>
              </w:rPr>
              <w:t>Consent of PricewaterhouseCoopers LLP, independent registered public accounting firm (filed herewith).</w:t>
            </w:r>
          </w:p>
        </w:tc>
      </w:tr>
      <w:tr>
        <w:trPr>
          <w:trHeight w:val="324"/>
        </w:trPr>
        <w:tc>
          <w:tcPr>
            <w:tcW w:w="780" w:type="dxa"/>
            <w:vAlign w:val="bottom"/>
          </w:tcPr>
          <w:p>
            <w:pPr>
              <w:jc w:val="center"/>
              <w:ind w:right="372"/>
              <w:spacing w:after="0"/>
              <w:rPr>
                <w:sz w:val="20"/>
                <w:szCs w:val="20"/>
                <w:color w:val="auto"/>
              </w:rPr>
            </w:pPr>
            <w:r>
              <w:rPr>
                <w:rFonts w:ascii="Arial" w:cs="Arial" w:eastAsia="Arial" w:hAnsi="Arial"/>
                <w:sz w:val="18"/>
                <w:szCs w:val="18"/>
                <w:color w:val="auto"/>
                <w:w w:val="91"/>
              </w:rPr>
              <w:t>23.2</w:t>
            </w:r>
          </w:p>
        </w:tc>
        <w:tc>
          <w:tcPr>
            <w:tcW w:w="7880" w:type="dxa"/>
            <w:vAlign w:val="bottom"/>
          </w:tcPr>
          <w:p>
            <w:pPr>
              <w:ind w:left="480"/>
              <w:spacing w:after="0"/>
              <w:rPr>
                <w:sz w:val="20"/>
                <w:szCs w:val="20"/>
                <w:color w:val="auto"/>
              </w:rPr>
            </w:pPr>
            <w:r>
              <w:rPr>
                <w:rFonts w:ascii="Arial" w:cs="Arial" w:eastAsia="Arial" w:hAnsi="Arial"/>
                <w:sz w:val="18"/>
                <w:szCs w:val="18"/>
                <w:color w:val="auto"/>
              </w:rPr>
              <w:t>Consent of STvB Advocaten (Curaçao), N.V. (included in Exhibit 5).</w:t>
            </w:r>
          </w:p>
        </w:tc>
      </w:tr>
      <w:tr>
        <w:trPr>
          <w:trHeight w:val="324"/>
        </w:trPr>
        <w:tc>
          <w:tcPr>
            <w:tcW w:w="780" w:type="dxa"/>
            <w:vAlign w:val="bottom"/>
          </w:tcPr>
          <w:p>
            <w:pPr>
              <w:jc w:val="center"/>
              <w:ind w:right="372"/>
              <w:spacing w:after="0"/>
              <w:rPr>
                <w:sz w:val="20"/>
                <w:szCs w:val="20"/>
                <w:color w:val="auto"/>
              </w:rPr>
            </w:pPr>
            <w:r>
              <w:rPr>
                <w:rFonts w:ascii="Arial" w:cs="Arial" w:eastAsia="Arial" w:hAnsi="Arial"/>
                <w:sz w:val="18"/>
                <w:szCs w:val="18"/>
                <w:color w:val="auto"/>
                <w:w w:val="79"/>
              </w:rPr>
              <w:t>24</w:t>
            </w:r>
          </w:p>
        </w:tc>
        <w:tc>
          <w:tcPr>
            <w:tcW w:w="7880" w:type="dxa"/>
            <w:vAlign w:val="bottom"/>
          </w:tcPr>
          <w:p>
            <w:pPr>
              <w:ind w:left="480"/>
              <w:spacing w:after="0"/>
              <w:rPr>
                <w:sz w:val="20"/>
                <w:szCs w:val="20"/>
                <w:color w:val="auto"/>
              </w:rPr>
            </w:pPr>
            <w:r>
              <w:rPr>
                <w:rFonts w:ascii="Arial" w:cs="Arial" w:eastAsia="Arial" w:hAnsi="Arial"/>
                <w:sz w:val="18"/>
                <w:szCs w:val="18"/>
                <w:color w:val="auto"/>
              </w:rPr>
              <w:t>Powers of Attorney (filed herewith)</w:t>
            </w:r>
          </w:p>
        </w:tc>
      </w:tr>
      <w:tr>
        <w:trPr>
          <w:trHeight w:val="365"/>
        </w:trPr>
        <w:tc>
          <w:tcPr>
            <w:tcW w:w="780" w:type="dxa"/>
            <w:vAlign w:val="bottom"/>
          </w:tcPr>
          <w:p>
            <w:pPr>
              <w:spacing w:after="0"/>
              <w:rPr>
                <w:sz w:val="24"/>
                <w:szCs w:val="24"/>
                <w:color w:val="auto"/>
              </w:rPr>
            </w:pPr>
          </w:p>
        </w:tc>
        <w:tc>
          <w:tcPr>
            <w:tcW w:w="7880" w:type="dxa"/>
            <w:vAlign w:val="bottom"/>
          </w:tcPr>
          <w:p>
            <w:pPr>
              <w:jc w:val="right"/>
              <w:ind w:right="2912"/>
              <w:spacing w:after="0"/>
              <w:rPr>
                <w:sz w:val="20"/>
                <w:szCs w:val="20"/>
                <w:color w:val="auto"/>
              </w:rPr>
            </w:pPr>
            <w:r>
              <w:rPr>
                <w:rFonts w:ascii="Arial" w:cs="Arial" w:eastAsia="Arial" w:hAnsi="Arial"/>
                <w:sz w:val="18"/>
                <w:szCs w:val="18"/>
                <w:color w:val="auto"/>
              </w:rPr>
              <w:t>- 6 -</w:t>
            </w:r>
          </w:p>
        </w:tc>
      </w:tr>
    </w:tbl>
    <w:p>
      <w:pPr>
        <w:sectPr>
          <w:pgSz w:w="11900" w:h="16838" w:orient="portrait"/>
          <w:cols w:equalWidth="0" w:num="1">
            <w:col w:w="11420"/>
          </w:cols>
          <w:pgMar w:left="240" w:top="274"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Schlumberger N.V.</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(Schlumberger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5599 San Felipe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17</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77056</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Curaçao, May 14, 2013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have acted as Curaçao legal counsel for Schlumberger N.V. (also referred to as Schlumberger Limited), a corporation with limited liability organized and existing under the laws of Curaçao (the “</w:t>
      </w:r>
      <w:r>
        <w:rPr>
          <w:rFonts w:ascii="Arial" w:cs="Arial" w:eastAsia="Arial" w:hAnsi="Arial"/>
          <w:sz w:val="18"/>
          <w:szCs w:val="18"/>
          <w:b w:val="1"/>
          <w:bCs w:val="1"/>
          <w:color w:val="auto"/>
        </w:rPr>
        <w:t>Company</w:t>
      </w:r>
      <w:r>
        <w:rPr>
          <w:rFonts w:ascii="Arial" w:cs="Arial" w:eastAsia="Arial" w:hAnsi="Arial"/>
          <w:sz w:val="18"/>
          <w:szCs w:val="18"/>
          <w:color w:val="auto"/>
        </w:rPr>
        <w:t>”), in connection with the registration of 35,000,000 shares of the Company’s common stock, par value $0.01 per share (the “</w:t>
      </w:r>
      <w:r>
        <w:rPr>
          <w:rFonts w:ascii="Arial" w:cs="Arial" w:eastAsia="Arial" w:hAnsi="Arial"/>
          <w:sz w:val="18"/>
          <w:szCs w:val="18"/>
          <w:b w:val="1"/>
          <w:bCs w:val="1"/>
          <w:color w:val="auto"/>
        </w:rPr>
        <w:t>Shares</w:t>
      </w:r>
      <w:r>
        <w:rPr>
          <w:rFonts w:ascii="Arial" w:cs="Arial" w:eastAsia="Arial" w:hAnsi="Arial"/>
          <w:sz w:val="18"/>
          <w:szCs w:val="18"/>
          <w:color w:val="auto"/>
        </w:rPr>
        <w:t>”), issuable pursuant to the Schlumberger 2013 Omnibus Stock Incentive Plan (the “</w:t>
      </w:r>
      <w:r>
        <w:rPr>
          <w:rFonts w:ascii="Arial" w:cs="Arial" w:eastAsia="Arial" w:hAnsi="Arial"/>
          <w:sz w:val="18"/>
          <w:szCs w:val="18"/>
          <w:b w:val="1"/>
          <w:bCs w:val="1"/>
          <w:color w:val="auto"/>
        </w:rPr>
        <w:t>2013 Plan</w:t>
      </w:r>
      <w:r>
        <w:rPr>
          <w:rFonts w:ascii="Arial" w:cs="Arial" w:eastAsia="Arial" w:hAnsi="Arial"/>
          <w:sz w:val="18"/>
          <w:szCs w:val="18"/>
          <w:color w:val="auto"/>
        </w:rPr>
        <w:t>”). We understand that a registration statement on Form S-8 relating to the 2013 Plan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is being filed by the Company with the Securities and Exchange Commission under the Securities Act of 1933, as amended, on May 14, 2013.</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As Curaçao legal counsel for the Company we have examined and relied upon the following documents in original, photo static or facsimile form:</w:t>
      </w:r>
    </w:p>
    <w:p>
      <w:pPr>
        <w:spacing w:after="0" w:line="113"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copy of the Registration Statement;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copy of the 2013 Plan;</w:t>
      </w:r>
    </w:p>
    <w:p>
      <w:pPr>
        <w:spacing w:after="0" w:line="84"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certified copy of the articles of incorporation of the Company (the “</w:t>
      </w:r>
      <w:r>
        <w:rPr>
          <w:rFonts w:ascii="Arial" w:cs="Arial" w:eastAsia="Arial" w:hAnsi="Arial"/>
          <w:sz w:val="18"/>
          <w:szCs w:val="18"/>
          <w:b w:val="1"/>
          <w:bCs w:val="1"/>
          <w:color w:val="auto"/>
        </w:rPr>
        <w:t>Articles of Incorporation</w:t>
      </w:r>
      <w:r>
        <w:rPr>
          <w:rFonts w:ascii="Arial" w:cs="Arial" w:eastAsia="Arial" w:hAnsi="Arial"/>
          <w:sz w:val="18"/>
          <w:szCs w:val="18"/>
          <w:color w:val="auto"/>
        </w:rPr>
        <w:t>”), as presently in effect;</w:t>
      </w:r>
    </w:p>
    <w:p>
      <w:pPr>
        <w:spacing w:after="0" w:line="96"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extract obtained online on May 14, 2013 from the Curaçao Commercial Register, relating to the registration of the Company; and</w:t>
      </w:r>
    </w:p>
    <w:p>
      <w:pPr>
        <w:spacing w:after="0" w:line="84" w:lineRule="exact"/>
        <w:rPr>
          <w:rFonts w:ascii="Arial" w:cs="Arial" w:eastAsia="Arial" w:hAnsi="Arial"/>
          <w:sz w:val="18"/>
          <w:szCs w:val="18"/>
          <w:color w:val="auto"/>
        </w:rPr>
      </w:pPr>
    </w:p>
    <w:p>
      <w:pPr>
        <w:ind w:left="460" w:right="920" w:hanging="452"/>
        <w:spacing w:after="0" w:line="275"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certified copy of the resolutions of the board of directors of the Company (the “</w:t>
      </w:r>
      <w:r>
        <w:rPr>
          <w:rFonts w:ascii="Arial" w:cs="Arial" w:eastAsia="Arial" w:hAnsi="Arial"/>
          <w:sz w:val="18"/>
          <w:szCs w:val="18"/>
          <w:b w:val="1"/>
          <w:bCs w:val="1"/>
          <w:color w:val="auto"/>
        </w:rPr>
        <w:t>Board</w:t>
      </w:r>
      <w:r>
        <w:rPr>
          <w:rFonts w:ascii="Arial" w:cs="Arial" w:eastAsia="Arial" w:hAnsi="Arial"/>
          <w:sz w:val="18"/>
          <w:szCs w:val="18"/>
          <w:color w:val="auto"/>
        </w:rPr>
        <w:t>”) providing for the issuance of the Shares (the “</w:t>
      </w:r>
      <w:r>
        <w:rPr>
          <w:rFonts w:ascii="Arial" w:cs="Arial" w:eastAsia="Arial" w:hAnsi="Arial"/>
          <w:sz w:val="18"/>
          <w:szCs w:val="18"/>
          <w:b w:val="1"/>
          <w:bCs w:val="1"/>
          <w:color w:val="auto"/>
        </w:rPr>
        <w:t>Board</w:t>
      </w:r>
      <w:r>
        <w:rPr>
          <w:rFonts w:ascii="Arial" w:cs="Arial" w:eastAsia="Arial" w:hAnsi="Arial"/>
          <w:sz w:val="18"/>
          <w:szCs w:val="18"/>
          <w:color w:val="auto"/>
        </w:rPr>
        <w:t xml:space="preserve"> </w:t>
      </w:r>
      <w:r>
        <w:rPr>
          <w:rFonts w:ascii="Arial" w:cs="Arial" w:eastAsia="Arial" w:hAnsi="Arial"/>
          <w:sz w:val="18"/>
          <w:szCs w:val="18"/>
          <w:b w:val="1"/>
          <w:bCs w:val="1"/>
          <w:color w:val="auto"/>
        </w:rPr>
        <w:t>Resolutions</w:t>
      </w:r>
      <w:r>
        <w:rPr>
          <w:rFonts w:ascii="Arial" w:cs="Arial" w:eastAsia="Arial" w:hAnsi="Arial"/>
          <w:sz w:val="18"/>
          <w:szCs w:val="18"/>
          <w:color w:val="auto"/>
        </w:rPr>
        <w:t>”).</w:t>
      </w:r>
    </w:p>
    <w:p>
      <w:pPr>
        <w:sectPr>
          <w:pgSz w:w="11900" w:h="16838" w:orient="portrait"/>
          <w:cols w:equalWidth="0" w:num="1">
            <w:col w:w="11420"/>
          </w:cols>
          <w:pgMar w:left="240" w:top="125"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May 14, 2013</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In our examination of the documents referred to above and in expressing our opinion, we have assumed without independent verification of any kind:</w:t>
      </w:r>
    </w:p>
    <w:p>
      <w:pPr>
        <w:spacing w:after="0" w:line="113"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genuineness of all signatures on all documents we have reviewed;</w:t>
      </w:r>
    </w:p>
    <w:p>
      <w:pPr>
        <w:spacing w:after="0" w:line="90" w:lineRule="exact"/>
        <w:rPr>
          <w:rFonts w:ascii="Arial" w:cs="Arial" w:eastAsia="Arial" w:hAnsi="Arial"/>
          <w:sz w:val="18"/>
          <w:szCs w:val="18"/>
          <w:color w:val="auto"/>
        </w:rPr>
      </w:pPr>
    </w:p>
    <w:p>
      <w:pPr>
        <w:ind w:left="460" w:right="220" w:hanging="452"/>
        <w:spacing w:after="0" w:line="26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authenticity of all such documents submitted to us as originals, and that each of the documents has been duly executed in the form, or substantially in the form submitted to us as execution copies; and</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conformity with originals of all documents submitted to us as copies.</w:t>
      </w:r>
    </w:p>
    <w:p>
      <w:pPr>
        <w:spacing w:after="0" w:line="171"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In rendering the following, we are opining on the matters hereinafter referred to, only insofar as they are governed by the laws of Curaçao as currently in effect and as they are interpreted under presently published case law of Curaçao, including the Supreme Court of the Netherlands (</w:t>
      </w:r>
      <w:r>
        <w:rPr>
          <w:rFonts w:ascii="Arial" w:cs="Arial" w:eastAsia="Arial" w:hAnsi="Arial"/>
          <w:sz w:val="16"/>
          <w:szCs w:val="16"/>
          <w:i w:val="1"/>
          <w:iCs w:val="1"/>
          <w:u w:val="single" w:color="auto"/>
          <w:color w:val="auto"/>
        </w:rPr>
        <w:t>Hoge Raad der Nederlanden</w:t>
      </w:r>
      <w:r>
        <w:rPr>
          <w:rFonts w:ascii="Arial" w:cs="Arial" w:eastAsia="Arial" w:hAnsi="Arial"/>
          <w:sz w:val="16"/>
          <w:szCs w:val="16"/>
          <w:color w:val="auto"/>
        </w:rPr>
        <w:t>).</w:t>
      </w:r>
    </w:p>
    <w:p>
      <w:pPr>
        <w:spacing w:after="0" w:line="8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Based upon and subject to the foregoing and subject to the qualifications set forth below and having due regard for such legal considerations as we deem relevant, we are of the opinion that:</w:t>
      </w:r>
    </w:p>
    <w:p>
      <w:pPr>
        <w:spacing w:after="0" w:line="51" w:lineRule="exact"/>
        <w:rPr>
          <w:sz w:val="20"/>
          <w:szCs w:val="20"/>
          <w:color w:val="auto"/>
        </w:rPr>
      </w:pPr>
    </w:p>
    <w:p>
      <w:pPr>
        <w:ind w:left="460" w:right="20" w:hanging="452"/>
        <w:spacing w:after="0" w:line="306"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Company has been duly incorporated under the laws of the former Netherlands Antilles, is currently validly existing under the laws of Curaçao and has all requisite corporate power and authority to own its properties and to conduct its business within the limits of its objects clause as set forth in article 2 of the Articles of Incorporation. The Company has been duly registered with the Curaçao Commercial Register under number 1674.</w:t>
      </w:r>
    </w:p>
    <w:p>
      <w:pPr>
        <w:spacing w:after="0" w:line="25" w:lineRule="exact"/>
        <w:rPr>
          <w:rFonts w:ascii="Arial" w:cs="Arial" w:eastAsia="Arial" w:hAnsi="Arial"/>
          <w:sz w:val="16"/>
          <w:szCs w:val="16"/>
          <w:color w:val="auto"/>
        </w:rPr>
      </w:pPr>
    </w:p>
    <w:p>
      <w:pPr>
        <w:ind w:left="460" w:right="40" w:hanging="452"/>
        <w:spacing w:after="0" w:line="291"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Following due authorization of a particular award as provided in and in accordance with the 2013 Plan, the Shares issuable pursuant to such award will have been duly authorized by all necessary corporate action on the part of the Company. Upon issuance and delivery of such Shares from time to time pursuant to and in accordance with the terms of the 2013 Plan and the applicable award, including, without limitation, the lapse of any restrictions relating thereto, the satisfaction of any performance conditions associated therewith and any requisite determinations by or pursuant to the authority of the Board or a duly constituted authorized committee thereof as provided therein, and, in the case of stock option awards, payment of the exercise price fixed in such option at least equal to the par value of such Shares, such Shares will be validly issued, fully paid and non-assessable.</w:t>
      </w:r>
    </w:p>
    <w:p>
      <w:pPr>
        <w:spacing w:after="0" w:line="39" w:lineRule="exact"/>
        <w:rPr>
          <w:rFonts w:ascii="Arial" w:cs="Arial" w:eastAsia="Arial" w:hAnsi="Arial"/>
          <w:sz w:val="16"/>
          <w:szCs w:val="16"/>
          <w:color w:val="auto"/>
        </w:rPr>
      </w:pPr>
    </w:p>
    <w:p>
      <w:pPr>
        <w:ind w:left="460" w:hanging="452"/>
        <w:spacing w:after="0"/>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No personal liability will attach to the holders of the Shares under the laws of Curaçao by reason of their being stockholders of the Company.</w:t>
      </w:r>
    </w:p>
    <w:p>
      <w:pPr>
        <w:spacing w:after="0" w:line="113" w:lineRule="exact"/>
        <w:rPr>
          <w:rFonts w:ascii="Arial" w:cs="Arial" w:eastAsia="Arial" w:hAnsi="Arial"/>
          <w:sz w:val="16"/>
          <w:szCs w:val="16"/>
          <w:color w:val="auto"/>
        </w:rPr>
      </w:pPr>
    </w:p>
    <w:p>
      <w:pPr>
        <w:ind w:left="460" w:right="560" w:hanging="452"/>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 consents, approvals, authorizations or other orders of Curaçao governmental authorities are legally required for the issuance of the Shares by the Company.</w:t>
      </w:r>
    </w:p>
    <w:p>
      <w:pPr>
        <w:spacing w:after="0" w:line="132"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This opinion is strictly limited to the matters stated herein and may not read as extending by implication to any matters not specifically referred to herein, including tax matters.</w:t>
      </w:r>
    </w:p>
    <w:p>
      <w:pPr>
        <w:sectPr>
          <w:pgSz w:w="11900" w:h="16838" w:orient="portrait"/>
          <w:cols w:equalWidth="0" w:num="1">
            <w:col w:w="11420"/>
          </w:cols>
          <w:pgMar w:left="240" w:top="280"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May 14, 2013</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w:t>
      </w:r>
    </w:p>
    <w:p>
      <w:pPr>
        <w:spacing w:after="0" w:line="151" w:lineRule="exact"/>
        <w:rPr>
          <w:sz w:val="20"/>
          <w:szCs w:val="20"/>
          <w:color w:val="auto"/>
        </w:rPr>
      </w:pPr>
    </w:p>
    <w:p>
      <w:pPr>
        <w:jc w:val="both"/>
        <w:ind w:right="440"/>
        <w:spacing w:after="0" w:line="259" w:lineRule="auto"/>
        <w:rPr>
          <w:sz w:val="20"/>
          <w:szCs w:val="20"/>
          <w:color w:val="auto"/>
        </w:rPr>
      </w:pPr>
      <w:r>
        <w:rPr>
          <w:rFonts w:ascii="Arial" w:cs="Arial" w:eastAsia="Arial" w:hAnsi="Arial"/>
          <w:sz w:val="18"/>
          <w:szCs w:val="18"/>
          <w:color w:val="auto"/>
        </w:rPr>
        <w:t>We consent to the filing of this opinion as an exhibit to the Registration Statement. In giving such consent, we do not thereby concede that we are within the category of persons whose consent is required under Section 7 of the Securities Act or the rules and regulations of the Securities and Exchange Commission promulgated thereunder.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Sincerely yours,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STvB Advocaten (Curaçao) N.V.</w:t>
      </w:r>
    </w:p>
    <w:p>
      <w:pPr>
        <w:sectPr>
          <w:pgSz w:w="11900" w:h="16838" w:orient="portrait"/>
          <w:cols w:equalWidth="0" w:num="1">
            <w:col w:w="11420"/>
          </w:cols>
          <w:pgMar w:left="240" w:top="280" w:right="2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600" w:firstLine="913"/>
        <w:spacing w:after="0" w:line="259" w:lineRule="auto"/>
        <w:rPr>
          <w:sz w:val="20"/>
          <w:szCs w:val="20"/>
          <w:color w:val="auto"/>
        </w:rPr>
      </w:pPr>
      <w:r>
        <w:rPr>
          <w:rFonts w:ascii="Arial" w:cs="Arial" w:eastAsia="Arial" w:hAnsi="Arial"/>
          <w:sz w:val="18"/>
          <w:szCs w:val="18"/>
          <w:color w:val="auto"/>
        </w:rPr>
        <w:t>We hereby consent to the incorporation by reference in this Registration Statement on Form S-8 of Schlumberger Limited of our report dated January 31, 2013 relating to the consolidated financial statements and the effectiveness of internal control over financial reporting, which appears in Schlumberger Limited’s Annual Report on Form 10-K for the year ended December 31, 2012.</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14, 2013</w:t>
      </w:r>
    </w:p>
    <w:p>
      <w:pPr>
        <w:sectPr>
          <w:pgSz w:w="11900" w:h="16838" w:orient="portrait"/>
          <w:cols w:equalWidth="0" w:num="1">
            <w:col w:w="11420"/>
          </w:cols>
          <w:pgMar w:left="240" w:top="125" w:right="2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24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77" w:lineRule="exact"/>
        <w:rPr>
          <w:sz w:val="20"/>
          <w:szCs w:val="20"/>
          <w:color w:val="auto"/>
        </w:rPr>
      </w:pPr>
    </w:p>
    <w:p>
      <w:pPr>
        <w:ind w:right="20" w:firstLine="913"/>
        <w:spacing w:after="0" w:line="286" w:lineRule="auto"/>
        <w:rPr>
          <w:sz w:val="20"/>
          <w:szCs w:val="20"/>
          <w:color w:val="auto"/>
        </w:rPr>
      </w:pPr>
      <w:r>
        <w:rPr>
          <w:rFonts w:ascii="Arial" w:cs="Arial" w:eastAsia="Arial" w:hAnsi="Arial"/>
          <w:sz w:val="16"/>
          <w:szCs w:val="16"/>
          <w:color w:val="auto"/>
        </w:rPr>
        <w:t>Each of the undersigned, being a director or officer of Schlumberger Limited, a Curaçao corporation (the “Corporation”), hereby constitutes and appoints Alexander C. Juden, Howard Guild, or Saul R. Laureles, and each of them, his or her true and lawful attorney-in-fact and agent, with full and several power of substitution and resubstitution and to act with or without the others, for him or her and in his or her name, place and stead in any and all capacities to execute one or more registration statements (whether on Form S-8 or such other form as may be required), with respect to the registration of 35,000,000 shares of common stock, par value $0.01 per share, of the Corporation to be offered and issued under the Schlumberger Limited 2013 Omnibus Stock Incentive Plan, together with any and all amendments thereto (including post-effective amendments), and to file such registration statements and amendments, with any exhibits thereto and other documents in connection therewith, with the Securities and Exchange Commission, in each case, in such forms as they or any one of them may approve, granting unto said attorneys-in-fact and agents, and each of them, full power and authority to do and perform each and every act and thing requisite and necessary to be done to enable the Corporation to comply with the Securities Act of 1933, as amended, and the applicable Rules and Regulations adopted or issued pursuant thereto, as fully and to all intents and purposes as he or she might or could do in person, hereby ratifying and confirming all that said attorneys-in-fact and agents, or any of them or their substitute or resubstitute, may lawfully do or cause to be done by virtue hereof.</w:t>
      </w:r>
    </w:p>
    <w:p>
      <w:pPr>
        <w:sectPr>
          <w:pgSz w:w="11900" w:h="16838" w:orient="portrait"/>
          <w:cols w:equalWidth="0" w:num="1">
            <w:col w:w="11420"/>
          </w:cols>
          <w:pgMar w:left="240" w:top="125" w:right="239" w:bottom="1440" w:gutter="0" w:footer="0" w:header="0"/>
        </w:sectPr>
      </w:pP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/s/ Paal Kibsgaard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4131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Paal Kibsgaard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 Simon Ayat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41312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Simon Ayat</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Executive Vice President and Chief Financial Officer</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41312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Howard Guild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Accounting Officer</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 Peter L.S. Currie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41312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Peter L.S. Currie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 Tony Isaac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41312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Tony Isaac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 K. Vaman Kamath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41312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K. Vaman Kamath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 Nikolay Kudryavstev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41312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Nikolay Kudryavtsev</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Dated: April 18, 2013</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 Adrian Lajous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wp:posOffset>
            </wp:positionV>
            <wp:extent cx="34048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Adrian Lajous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427355</wp:posOffset>
            </wp:positionV>
            <wp:extent cx="34048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Michael E. Marks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color w:val="auto"/>
        </w:rPr>
        <w:t>/s/ Lubna S. Olayan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33020</wp:posOffset>
            </wp:positionV>
            <wp:extent cx="34048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Lubna S. Olayan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/s/ Leo Rafael Reif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25400</wp:posOffset>
            </wp:positionV>
            <wp:extent cx="34048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Leo Rafael Reif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/s/ Tore I. Sandvold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25400</wp:posOffset>
            </wp:positionV>
            <wp:extent cx="34048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Tore I. Sandvold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/s/ Henri Seydoux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25400</wp:posOffset>
            </wp:positionV>
            <wp:extent cx="34048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Henri Seydoux</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sectPr>
      <w:pgSz w:w="11900" w:h="16838" w:orient="portrait"/>
      <w:cols w:equalWidth="0" w:num="2">
        <w:col w:w="5340" w:space="720"/>
        <w:col w:w="5360"/>
      </w:cols>
      <w:pgMar w:left="240" w:top="125"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1"/>
    </w:lvl>
  </w:abstractNum>
  <w:abstractNum w:abstractNumId="1">
    <w:nsid w:val="2EB141F2"/>
    <w:multiLevelType w:val="hybridMultilevel"/>
    <w:lvl w:ilvl="0">
      <w:lvlJc w:val="left"/>
      <w:lvlText w:val="(%1)"/>
      <w:numFmt w:val="lowerLetter"/>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5"/>
      <w:numFmt w:val="bullet"/>
      <w:start w:val="1"/>
    </w:lvl>
  </w:abstractNum>
  <w:abstractNum w:abstractNumId="4">
    <w:nsid w:val="7545E146"/>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5">
    <w:nsid w:val="515F007C"/>
    <w:multiLevelType w:val="hybridMultilevel"/>
    <w:lvl w:ilvl="0">
      <w:lvlJc w:val="left"/>
      <w:lvlText w:val="%1"/>
      <w:numFmt w:val="lowerLetter"/>
      <w:start w:val="1"/>
    </w:lvl>
    <w:lvl w:ilvl="1">
      <w:lvlJc w:val="left"/>
      <w:lvlText w:val="(%2)"/>
      <w:numFmt w:val="decimal"/>
      <w:start w:val="2"/>
    </w:lvl>
    <w:lvl w:ilvl="2">
      <w:lvlJc w:val="left"/>
      <w:lvlText w:val="-"/>
      <w:numFmt w:val="bullet"/>
      <w:start w:val="1"/>
    </w:lvl>
  </w:abstractNum>
  <w:abstractNum w:abstractNumId="6">
    <w:nsid w:val="5BD062C2"/>
    <w:multiLevelType w:val="hybridMultilevel"/>
    <w:lvl w:ilvl="0">
      <w:lvlJc w:val="left"/>
      <w:lvlText w:val="(%1)"/>
      <w:numFmt w:val="lowerLetter"/>
      <w:start w:val="2"/>
    </w:lvl>
    <w:lvl w:ilvl="1">
      <w:lvlJc w:val="left"/>
      <w:lvlText w:val="%2"/>
      <w:numFmt w:val="decimal"/>
      <w:start w:val="1"/>
    </w:lvl>
    <w:lvl w:ilvl="2">
      <w:lvlJc w:val="left"/>
      <w:lvlText w:val="-"/>
      <w:numFmt w:val="bullet"/>
      <w:start w:val="1"/>
    </w:lvl>
  </w:abstractNum>
  <w:abstractNum w:abstractNumId="7">
    <w:nsid w:val="12200854"/>
    <w:multiLevelType w:val="hybridMultilevel"/>
    <w:lvl w:ilvl="0">
      <w:lvlJc w:val="left"/>
      <w:lvlText w:val="5"/>
      <w:numFmt w:val="bullet"/>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Roman"/>
      <w:start w:val="1"/>
    </w:lvl>
  </w:abstractNum>
  <w:abstractNum w:abstractNumId="10">
    <w:nsid w:val="1F16E9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2019-12-05T15:06:12Z</dcterms:created>
  <dcterms:modified xsi:type="dcterms:W3CDTF">2019-12-05T15:06:12Z</dcterms:modified>
</cp:coreProperties>
</file>