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3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3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35" w:right="1440" w:bottom="1440" w:gutter="0" w:footer="0" w:header="0"/>
        </w:sectPr>
      </w:pPr>
    </w:p>
    <w:p>
      <w:pPr>
        <w:spacing w:after="0" w:line="147" w:lineRule="exact"/>
        <w:rPr>
          <w:sz w:val="24"/>
          <w:szCs w:val="24"/>
          <w:color w:val="auto"/>
        </w:rPr>
      </w:pPr>
    </w:p>
    <w:p>
      <w:pPr>
        <w:jc w:val="center"/>
        <w:ind w:right="820"/>
        <w:spacing w:after="0"/>
        <w:rPr>
          <w:sz w:val="20"/>
          <w:szCs w:val="20"/>
          <w:color w:val="auto"/>
        </w:rPr>
      </w:pPr>
      <w:r>
        <w:rPr>
          <w:rFonts w:ascii="Courier New" w:cs="Courier New" w:eastAsia="Courier New" w:hAnsi="Courier New"/>
          <w:sz w:val="14"/>
          <w:szCs w:val="14"/>
          <w:color w:val="auto"/>
        </w:rPr>
        <w:t>For the Quarter ended:</w:t>
      </w:r>
    </w:p>
    <w:p>
      <w:pPr>
        <w:spacing w:after="0" w:line="33" w:lineRule="exact"/>
        <w:rPr>
          <w:sz w:val="24"/>
          <w:szCs w:val="24"/>
          <w:color w:val="auto"/>
        </w:rPr>
      </w:pPr>
    </w:p>
    <w:p>
      <w:pPr>
        <w:jc w:val="center"/>
        <w:ind w:right="900"/>
        <w:spacing w:after="0"/>
        <w:rPr>
          <w:sz w:val="20"/>
          <w:szCs w:val="20"/>
          <w:color w:val="auto"/>
        </w:rPr>
      </w:pPr>
      <w:r>
        <w:rPr>
          <w:rFonts w:ascii="Courier New" w:cs="Courier New" w:eastAsia="Courier New" w:hAnsi="Courier New"/>
          <w:sz w:val="14"/>
          <w:szCs w:val="14"/>
          <w:color w:val="auto"/>
        </w:rPr>
        <w:t>JUNE 30, 1999</w:t>
      </w:r>
    </w:p>
    <w:p>
      <w:pPr>
        <w:spacing w:after="0" w:line="7" w:lineRule="exact"/>
        <w:rPr>
          <w:sz w:val="24"/>
          <w:szCs w:val="24"/>
          <w:color w:val="auto"/>
        </w:rPr>
      </w:pPr>
    </w:p>
    <w:p>
      <w:pPr>
        <w:jc w:val="center"/>
        <w:ind w:right="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3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1-4601</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sectPr>
          <w:pgSz w:w="11900" w:h="16838" w:orient="portrait"/>
          <w:cols w:equalWidth="0" w:num="2">
            <w:col w:w="3760" w:space="720"/>
            <w:col w:w="5759"/>
          </w:cols>
          <w:pgMar w:left="220" w:top="535" w:right="1440"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4740" w:type="dxa"/>
            <w:vAlign w:val="bottom"/>
          </w:tcPr>
          <w:p>
            <w:pPr>
              <w:ind w:left="2680"/>
              <w:spacing w:after="0"/>
              <w:rPr>
                <w:sz w:val="20"/>
                <w:szCs w:val="20"/>
                <w:color w:val="auto"/>
              </w:rPr>
            </w:pPr>
            <w:r>
              <w:rPr>
                <w:rFonts w:ascii="Courier New" w:cs="Courier New" w:eastAsia="Courier New" w:hAnsi="Courier New"/>
                <w:sz w:val="14"/>
                <w:szCs w:val="14"/>
                <w:color w:val="auto"/>
              </w:rPr>
              <w:t>SCHLUMBERGER N.V.</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40" w:type="dxa"/>
            <w:vAlign w:val="bottom"/>
          </w:tcPr>
          <w:p>
            <w:pPr>
              <w:jc w:val="center"/>
              <w:ind w:left="1929"/>
              <w:spacing w:after="0"/>
              <w:rPr>
                <w:sz w:val="20"/>
                <w:szCs w:val="20"/>
                <w:color w:val="auto"/>
              </w:rPr>
            </w:pPr>
            <w:r>
              <w:rPr>
                <w:rFonts w:ascii="Courier New" w:cs="Courier New" w:eastAsia="Courier New" w:hAnsi="Courier New"/>
                <w:sz w:val="14"/>
                <w:szCs w:val="14"/>
                <w:color w:val="auto"/>
              </w:rPr>
              <w:t>(SCHLUMBERGER LIMITED)</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2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82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NETHERLANDS ANTILLES</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52-0684746</w:t>
            </w:r>
          </w:p>
        </w:tc>
        <w:tc>
          <w:tcPr>
            <w:tcW w:w="0" w:type="dxa"/>
            <w:vAlign w:val="bottom"/>
          </w:tcPr>
          <w:p>
            <w:pPr>
              <w:spacing w:after="0"/>
              <w:rPr>
                <w:sz w:val="1"/>
                <w:szCs w:val="1"/>
                <w:color w:val="auto"/>
              </w:rPr>
            </w:pPr>
          </w:p>
        </w:tc>
      </w:tr>
      <w:tr>
        <w:trPr>
          <w:trHeight w:val="166"/>
        </w:trPr>
        <w:tc>
          <w:tcPr>
            <w:tcW w:w="4740" w:type="dxa"/>
            <w:vAlign w:val="bottom"/>
            <w:vMerge w:val="restart"/>
          </w:tcPr>
          <w:p>
            <w:pPr>
              <w:jc w:val="center"/>
              <w:ind w:right="1989"/>
              <w:spacing w:after="0"/>
              <w:rPr>
                <w:sz w:val="20"/>
                <w:szCs w:val="20"/>
                <w:color w:val="auto"/>
              </w:rPr>
            </w:pPr>
            <w:r>
              <w:rPr>
                <w:rFonts w:ascii="Courier New" w:cs="Courier New" w:eastAsia="Courier New" w:hAnsi="Courier New"/>
                <w:sz w:val="12"/>
                <w:szCs w:val="12"/>
                <w:color w:val="auto"/>
                <w:w w:val="70"/>
              </w:rPr>
              <w:t>(State</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orotherjurisdiction of</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40" w:type="dxa"/>
            <w:vAlign w:val="bottom"/>
            <w:vMerge w:val="continue"/>
          </w:tcPr>
          <w:p>
            <w:pPr>
              <w:spacing w:after="0"/>
              <w:rPr>
                <w:sz w:val="14"/>
                <w:szCs w:val="14"/>
                <w:color w:val="auto"/>
              </w:rPr>
            </w:pPr>
          </w:p>
        </w:tc>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4740" w:type="dxa"/>
            <w:vAlign w:val="bottom"/>
          </w:tcPr>
          <w:p>
            <w:pPr>
              <w:jc w:val="center"/>
              <w:ind w:right="1889"/>
              <w:spacing w:after="0"/>
              <w:rPr>
                <w:sz w:val="20"/>
                <w:szCs w:val="20"/>
                <w:color w:val="auto"/>
              </w:rPr>
            </w:pPr>
            <w:r>
              <w:rPr>
                <w:rFonts w:ascii="Courier New" w:cs="Courier New" w:eastAsia="Courier New" w:hAnsi="Courier New"/>
                <w:sz w:val="14"/>
                <w:szCs w:val="14"/>
                <w:color w:val="auto"/>
              </w:rPr>
              <w:t>incorporation or organization)</w:t>
            </w:r>
          </w:p>
        </w:tc>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255"/>
        </w:trPr>
        <w:tc>
          <w:tcPr>
            <w:tcW w:w="4740" w:type="dxa"/>
            <w:vAlign w:val="bottom"/>
          </w:tcPr>
          <w:p>
            <w:pPr>
              <w:jc w:val="center"/>
              <w:ind w:right="1989"/>
              <w:spacing w:after="0"/>
              <w:rPr>
                <w:sz w:val="20"/>
                <w:szCs w:val="20"/>
                <w:color w:val="auto"/>
              </w:rPr>
            </w:pPr>
            <w:r>
              <w:rPr>
                <w:rFonts w:ascii="Courier New" w:cs="Courier New" w:eastAsia="Courier New" w:hAnsi="Courier New"/>
                <w:sz w:val="14"/>
                <w:szCs w:val="14"/>
                <w:color w:val="auto"/>
              </w:rPr>
              <w:t>277 PARK AVENUE</w:t>
            </w:r>
          </w:p>
        </w:tc>
        <w:tc>
          <w:tcPr>
            <w:tcW w:w="2080" w:type="dxa"/>
            <w:vAlign w:val="bottom"/>
            <w:vMerge w:val="restart"/>
          </w:tcPr>
          <w:p>
            <w:pPr>
              <w:jc w:val="center"/>
              <w:ind w:left="188"/>
              <w:spacing w:after="0"/>
              <w:rPr>
                <w:sz w:val="20"/>
                <w:szCs w:val="20"/>
                <w:color w:val="auto"/>
              </w:rPr>
            </w:pPr>
            <w:r>
              <w:rPr>
                <w:rFonts w:ascii="Courier New" w:cs="Courier New" w:eastAsia="Courier New" w:hAnsi="Courier New"/>
                <w:sz w:val="14"/>
                <w:szCs w:val="14"/>
                <w:color w:val="auto"/>
                <w:w w:val="99"/>
              </w:rPr>
              <w:t>10172</w:t>
            </w:r>
          </w:p>
        </w:tc>
        <w:tc>
          <w:tcPr>
            <w:tcW w:w="0" w:type="dxa"/>
            <w:vAlign w:val="bottom"/>
          </w:tcPr>
          <w:p>
            <w:pPr>
              <w:spacing w:after="0"/>
              <w:rPr>
                <w:sz w:val="1"/>
                <w:szCs w:val="1"/>
                <w:color w:val="auto"/>
              </w:rPr>
            </w:pPr>
          </w:p>
        </w:tc>
      </w:tr>
      <w:tr>
        <w:trPr>
          <w:trHeight w:val="242"/>
        </w:trPr>
        <w:tc>
          <w:tcPr>
            <w:tcW w:w="4740" w:type="dxa"/>
            <w:vAlign w:val="bottom"/>
          </w:tcPr>
          <w:p>
            <w:pPr>
              <w:jc w:val="center"/>
              <w:ind w:right="1909"/>
              <w:spacing w:after="0"/>
              <w:rPr>
                <w:sz w:val="20"/>
                <w:szCs w:val="20"/>
                <w:color w:val="auto"/>
              </w:rPr>
            </w:pPr>
            <w:r>
              <w:rPr>
                <w:rFonts w:ascii="Courier New" w:cs="Courier New" w:eastAsia="Courier New" w:hAnsi="Courier New"/>
                <w:sz w:val="14"/>
                <w:szCs w:val="14"/>
                <w:color w:val="auto"/>
              </w:rPr>
              <w:t>NEW YORK, NEW YORK, U.S.A.</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jc w:val="center"/>
              <w:ind w:right="1889"/>
              <w:spacing w:after="0"/>
              <w:rPr>
                <w:sz w:val="20"/>
                <w:szCs w:val="20"/>
                <w:color w:val="auto"/>
              </w:rPr>
            </w:pPr>
            <w:r>
              <w:rPr>
                <w:rFonts w:ascii="Courier New" w:cs="Courier New" w:eastAsia="Courier New" w:hAnsi="Courier New"/>
                <w:sz w:val="14"/>
                <w:szCs w:val="14"/>
                <w:color w:val="auto"/>
              </w:rPr>
              <w:t>42 RUE SAINT-DOMINIQUE</w:t>
            </w:r>
          </w:p>
        </w:tc>
        <w:tc>
          <w:tcPr>
            <w:tcW w:w="2080" w:type="dxa"/>
            <w:vAlign w:val="bottom"/>
            <w:vMerge w:val="restart"/>
          </w:tcPr>
          <w:p>
            <w:pPr>
              <w:jc w:val="center"/>
              <w:ind w:left="188"/>
              <w:spacing w:after="0"/>
              <w:rPr>
                <w:sz w:val="20"/>
                <w:szCs w:val="20"/>
                <w:color w:val="auto"/>
              </w:rPr>
            </w:pPr>
            <w:r>
              <w:rPr>
                <w:rFonts w:ascii="Courier New" w:cs="Courier New" w:eastAsia="Courier New" w:hAnsi="Courier New"/>
                <w:sz w:val="14"/>
                <w:szCs w:val="14"/>
                <w:color w:val="auto"/>
                <w:w w:val="99"/>
              </w:rPr>
              <w:t>75007</w:t>
            </w:r>
          </w:p>
        </w:tc>
        <w:tc>
          <w:tcPr>
            <w:tcW w:w="0" w:type="dxa"/>
            <w:vAlign w:val="bottom"/>
          </w:tcPr>
          <w:p>
            <w:pPr>
              <w:spacing w:after="0"/>
              <w:rPr>
                <w:sz w:val="1"/>
                <w:szCs w:val="1"/>
                <w:color w:val="auto"/>
              </w:rPr>
            </w:pPr>
          </w:p>
        </w:tc>
      </w:tr>
      <w:tr>
        <w:trPr>
          <w:trHeight w:val="242"/>
        </w:trPr>
        <w:tc>
          <w:tcPr>
            <w:tcW w:w="4740" w:type="dxa"/>
            <w:vAlign w:val="bottom"/>
          </w:tcPr>
          <w:p>
            <w:pPr>
              <w:jc w:val="center"/>
              <w:ind w:right="1989"/>
              <w:spacing w:after="0"/>
              <w:rPr>
                <w:sz w:val="20"/>
                <w:szCs w:val="20"/>
                <w:color w:val="auto"/>
              </w:rPr>
            </w:pPr>
            <w:r>
              <w:rPr>
                <w:rFonts w:ascii="Courier New" w:cs="Courier New" w:eastAsia="Courier New" w:hAnsi="Courier New"/>
                <w:sz w:val="14"/>
                <w:szCs w:val="14"/>
                <w:color w:val="auto"/>
              </w:rPr>
              <w:t>PARIS, FRANCE</w:t>
            </w: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tcPr>
          <w:p>
            <w:pPr>
              <w:jc w:val="center"/>
              <w:ind w:right="1989"/>
              <w:spacing w:after="0"/>
              <w:rPr>
                <w:sz w:val="20"/>
                <w:szCs w:val="20"/>
                <w:color w:val="auto"/>
              </w:rPr>
            </w:pPr>
            <w:r>
              <w:rPr>
                <w:rFonts w:ascii="Courier New" w:cs="Courier New" w:eastAsia="Courier New" w:hAnsi="Courier New"/>
                <w:sz w:val="14"/>
                <w:szCs w:val="14"/>
                <w:color w:val="auto"/>
              </w:rPr>
              <w:t>PARKSTRAAT 83</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740" w:type="dxa"/>
            <w:vAlign w:val="bottom"/>
          </w:tcPr>
          <w:p>
            <w:pPr>
              <w:jc w:val="center"/>
              <w:ind w:right="1889"/>
              <w:spacing w:after="0"/>
              <w:rPr>
                <w:sz w:val="20"/>
                <w:szCs w:val="20"/>
                <w:color w:val="auto"/>
              </w:rPr>
            </w:pPr>
            <w:r>
              <w:rPr>
                <w:rFonts w:ascii="Courier New" w:cs="Courier New" w:eastAsia="Courier New" w:hAnsi="Courier New"/>
                <w:sz w:val="14"/>
                <w:szCs w:val="14"/>
                <w:color w:val="auto"/>
              </w:rPr>
              <w:t>THE HAGUE,</w:t>
            </w:r>
          </w:p>
        </w:tc>
        <w:tc>
          <w:tcPr>
            <w:tcW w:w="208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2514 JG</w:t>
            </w:r>
          </w:p>
        </w:tc>
        <w:tc>
          <w:tcPr>
            <w:tcW w:w="0" w:type="dxa"/>
            <w:vAlign w:val="bottom"/>
          </w:tcPr>
          <w:p>
            <w:pPr>
              <w:spacing w:after="0"/>
              <w:rPr>
                <w:sz w:val="1"/>
                <w:szCs w:val="1"/>
                <w:color w:val="auto"/>
              </w:rPr>
            </w:pPr>
          </w:p>
        </w:tc>
      </w:tr>
      <w:tr>
        <w:trPr>
          <w:trHeight w:val="166"/>
        </w:trPr>
        <w:tc>
          <w:tcPr>
            <w:tcW w:w="4740" w:type="dxa"/>
            <w:vAlign w:val="bottom"/>
          </w:tcPr>
          <w:p>
            <w:pPr>
              <w:jc w:val="center"/>
              <w:ind w:right="1989"/>
              <w:spacing w:after="0"/>
              <w:rPr>
                <w:sz w:val="20"/>
                <w:szCs w:val="20"/>
                <w:color w:val="auto"/>
              </w:rPr>
            </w:pPr>
            <w:r>
              <w:rPr>
                <w:rFonts w:ascii="Courier New" w:cs="Courier New" w:eastAsia="Courier New" w:hAnsi="Courier New"/>
                <w:sz w:val="14"/>
                <w:szCs w:val="14"/>
                <w:color w:val="auto"/>
              </w:rPr>
              <w:t>THE NETHERLANDS</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40" w:type="dxa"/>
            <w:vAlign w:val="bottom"/>
            <w:vMerge w:val="restart"/>
          </w:tcPr>
          <w:p>
            <w:pPr>
              <w:spacing w:after="0"/>
              <w:rPr>
                <w:sz w:val="20"/>
                <w:szCs w:val="20"/>
                <w:color w:val="auto"/>
              </w:rPr>
            </w:pPr>
            <w:r>
              <w:rPr>
                <w:rFonts w:ascii="Courier New" w:cs="Courier New" w:eastAsia="Courier New" w:hAnsi="Courier New"/>
                <w:sz w:val="14"/>
                <w:szCs w:val="14"/>
                <w:color w:val="auto"/>
              </w:rPr>
              <w:t>(Addresses</w:t>
            </w:r>
            <w:r>
              <w:rPr>
                <w:rFonts w:ascii="Courier New" w:cs="Courier New" w:eastAsia="Courier New" w:hAnsi="Courier New"/>
                <w:sz w:val="28"/>
                <w:szCs w:val="28"/>
                <w:color w:val="auto"/>
                <w:vertAlign w:val="superscript"/>
              </w:rPr>
              <w:t>---------------</w:t>
            </w:r>
            <w:r>
              <w:rPr>
                <w:rFonts w:ascii="Courier New" w:cs="Courier New" w:eastAsia="Courier New" w:hAnsi="Courier New"/>
                <w:sz w:val="14"/>
                <w:szCs w:val="14"/>
                <w:color w:val="auto"/>
              </w:rPr>
              <w:t>ofprincipal executive</w:t>
            </w:r>
          </w:p>
        </w:tc>
        <w:tc>
          <w:tcPr>
            <w:tcW w:w="208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40" w:type="dxa"/>
            <w:vAlign w:val="bottom"/>
            <w:vMerge w:val="continue"/>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(Zip Codes)</w:t>
            </w:r>
          </w:p>
        </w:tc>
        <w:tc>
          <w:tcPr>
            <w:tcW w:w="0" w:type="dxa"/>
            <w:vAlign w:val="bottom"/>
          </w:tcPr>
          <w:p>
            <w:pPr>
              <w:spacing w:after="0"/>
              <w:rPr>
                <w:sz w:val="1"/>
                <w:szCs w:val="1"/>
                <w:color w:val="auto"/>
              </w:rPr>
            </w:pPr>
          </w:p>
        </w:tc>
      </w:tr>
      <w:tr>
        <w:trPr>
          <w:trHeight w:val="242"/>
        </w:trPr>
        <w:tc>
          <w:tcPr>
            <w:tcW w:w="4740" w:type="dxa"/>
            <w:vAlign w:val="bottom"/>
          </w:tcPr>
          <w:p>
            <w:pPr>
              <w:ind w:left="860"/>
              <w:spacing w:after="0"/>
              <w:rPr>
                <w:sz w:val="20"/>
                <w:szCs w:val="20"/>
                <w:color w:val="auto"/>
              </w:rPr>
            </w:pPr>
            <w:r>
              <w:rPr>
                <w:rFonts w:ascii="Courier New" w:cs="Courier New" w:eastAsia="Courier New" w:hAnsi="Courier New"/>
                <w:sz w:val="14"/>
                <w:szCs w:val="14"/>
                <w:color w:val="auto"/>
              </w:rPr>
              <w:t>offices)</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(212) 350-9400</w:t>
      </w:r>
    </w:p>
    <w:p>
      <w:pPr>
        <w:spacing w:after="0" w:line="173" w:lineRule="exact"/>
        <w:rPr>
          <w:sz w:val="24"/>
          <w:szCs w:val="24"/>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35" w:right="1440" w:bottom="1440" w:gutter="0" w:footer="0" w:header="0"/>
          <w:type w:val="continuous"/>
        </w:sectPr>
      </w:pPr>
    </w:p>
    <w:p>
      <w:pPr>
        <w:spacing w:after="0" w:line="56"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2560"/>
        <w:spacing w:after="0"/>
        <w:rPr>
          <w:sz w:val="20"/>
          <w:szCs w:val="20"/>
          <w:color w:val="auto"/>
        </w:rPr>
      </w:pPr>
      <w:r>
        <w:rPr>
          <w:rFonts w:ascii="Courier New" w:cs="Courier New" w:eastAsia="Courier New" w:hAnsi="Courier New"/>
          <w:sz w:val="14"/>
          <w:szCs w:val="14"/>
          <w:color w:val="auto"/>
        </w:rPr>
        <w:t>X</w:t>
      </w:r>
    </w:p>
    <w:p>
      <w:pPr>
        <w:spacing w:after="0" w:line="33" w:lineRule="exact"/>
        <w:rPr>
          <w:sz w:val="24"/>
          <w:szCs w:val="24"/>
          <w:color w:val="auto"/>
        </w:rPr>
      </w:pPr>
    </w:p>
    <w:p>
      <w:pPr>
        <w:jc w:val="center"/>
        <w:ind w:right="2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_____</w:t>
      </w:r>
    </w:p>
    <w:p>
      <w:pPr>
        <w:spacing w:after="0" w:line="338" w:lineRule="exact"/>
        <w:rPr>
          <w:sz w:val="24"/>
          <w:szCs w:val="24"/>
          <w:color w:val="auto"/>
        </w:rPr>
      </w:pPr>
    </w:p>
    <w:p>
      <w:pPr>
        <w:sectPr>
          <w:pgSz w:w="11900" w:h="16838" w:orient="portrait"/>
          <w:cols w:equalWidth="0" w:num="3">
            <w:col w:w="1220" w:space="260"/>
            <w:col w:w="2980" w:space="720"/>
            <w:col w:w="5059"/>
          </w:cols>
          <w:pgMar w:left="220" w:top="535" w:right="1440" w:bottom="1440" w:gutter="0" w:footer="0" w:header="0"/>
          <w:type w:val="continuous"/>
        </w:sectPr>
      </w:pPr>
    </w:p>
    <w:p>
      <w:pPr>
        <w:ind w:right="3679"/>
        <w:spacing w:after="0" w:line="375"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w:t>
      </w:r>
    </w:p>
    <w:p>
      <w:pPr>
        <w:sectPr>
          <w:pgSz w:w="11900" w:h="16838" w:orient="portrait"/>
          <w:cols w:equalWidth="0" w:num="1">
            <w:col w:w="10239"/>
          </w:cols>
          <w:pgMar w:left="220" w:top="535" w:right="1440" w:bottom="1440" w:gutter="0" w:footer="0" w:header="0"/>
          <w:type w:val="continuous"/>
        </w:sectPr>
      </w:pPr>
    </w:p>
    <w:p>
      <w:pPr>
        <w:spacing w:after="0" w:line="1"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4"/>
          <w:szCs w:val="14"/>
          <w:color w:val="auto"/>
        </w:rPr>
        <w:t>Class</w:t>
      </w:r>
    </w:p>
    <w:p>
      <w:pPr>
        <w:spacing w:after="0" w:line="33"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Outstanding at July 31, 1999</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sectPr>
          <w:pgSz w:w="11900" w:h="16838" w:orient="portrait"/>
          <w:cols w:equalWidth="0" w:num="2">
            <w:col w:w="3160" w:space="720"/>
            <w:col w:w="6359"/>
          </w:cols>
          <w:pgMar w:left="220" w:top="5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547,595,000</w:t>
      </w:r>
    </w:p>
    <w:p>
      <w:pPr>
        <w:sectPr>
          <w:pgSz w:w="11900" w:h="16838" w:orient="portrait"/>
          <w:cols w:equalWidth="0" w:num="2">
            <w:col w:w="4020" w:space="720"/>
            <w:col w:w="5499"/>
          </w:cols>
          <w:pgMar w:left="220" w:top="535" w:right="1440" w:bottom="1440" w:gutter="0" w:footer="0" w:header="0"/>
          <w:type w:val="continuous"/>
        </w:sectPr>
      </w:pPr>
    </w:p>
    <w:bookmarkStart w:id="1" w:name="page2"/>
    <w:bookmarkEnd w:id="1"/>
    <w:p>
      <w:pPr>
        <w:ind w:left="2160"/>
        <w:spacing w:after="0"/>
        <w:rPr>
          <w:sz w:val="20"/>
          <w:szCs w:val="20"/>
          <w:color w:val="auto"/>
        </w:rPr>
      </w:pPr>
      <w:r>
        <w:rPr>
          <w:rFonts w:ascii="Courier New" w:cs="Courier New" w:eastAsia="Courier New" w:hAnsi="Courier New"/>
          <w:sz w:val="14"/>
          <w:szCs w:val="14"/>
          <w:color w:val="auto"/>
        </w:rPr>
        <w:t>PART I. FINANCIAL INFORMATION</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Financial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 OF INCOME (1)</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14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(Stated 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Periods Ended June 30,</w:t>
            </w: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7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Second Quarter</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Six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860" w:type="dxa"/>
            <w:vAlign w:val="bottom"/>
            <w:gridSpan w:val="2"/>
            <w:vMerge w:val="restart"/>
          </w:tcPr>
          <w:p>
            <w:pPr>
              <w:ind w:left="180"/>
              <w:spacing w:after="0"/>
              <w:rPr>
                <w:sz w:val="20"/>
                <w:szCs w:val="20"/>
                <w:color w:val="auto"/>
              </w:rPr>
            </w:pPr>
            <w:r>
              <w:rPr>
                <w:rFonts w:ascii="Courier New" w:cs="Courier New" w:eastAsia="Courier New" w:hAnsi="Courier New"/>
                <w:sz w:val="8"/>
                <w:szCs w:val="8"/>
                <w:color w:val="auto"/>
                <w:w w:val="75"/>
              </w:rPr>
              <w:t>------------------------------------------</w:t>
            </w:r>
            <w:r>
              <w:rPr>
                <w:rFonts w:ascii="Courier New" w:cs="Courier New" w:eastAsia="Courier New" w:hAnsi="Courier New"/>
                <w:sz w:val="11"/>
                <w:szCs w:val="11"/>
                <w:color w:val="auto"/>
                <w:w w:val="75"/>
                <w:vertAlign w:val="subscript"/>
              </w:rPr>
              <w:t>1999</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spacing w:after="0"/>
              <w:rPr>
                <w:sz w:val="14"/>
                <w:szCs w:val="14"/>
                <w:color w:val="auto"/>
              </w:rPr>
            </w:pPr>
          </w:p>
        </w:tc>
        <w:tc>
          <w:tcPr>
            <w:tcW w:w="3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$2,174,263</w:t>
            </w:r>
          </w:p>
        </w:tc>
        <w:tc>
          <w:tcPr>
            <w:tcW w:w="210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$3,083,905</w:t>
            </w:r>
          </w:p>
        </w:tc>
        <w:tc>
          <w:tcPr>
            <w:tcW w:w="186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$4,480,725</w:t>
            </w:r>
          </w:p>
        </w:tc>
        <w:tc>
          <w:tcPr>
            <w:tcW w:w="19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$6,107,606</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186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 &amp; other income</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57,473</w:t>
            </w: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37,252</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224,560</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72,427</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0"/>
                <w:szCs w:val="10"/>
                <w:color w:val="auto"/>
                <w:w w:val="70"/>
              </w:rPr>
              <w:t>------------------</w:t>
            </w: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2,231,736</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3,121,157</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4,705,285</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6,180,033</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960" w:type="dxa"/>
            <w:vAlign w:val="bottom"/>
          </w:tcPr>
          <w:p>
            <w:pPr>
              <w:spacing w:after="0"/>
              <w:rPr>
                <w:sz w:val="22"/>
                <w:szCs w:val="22"/>
                <w:color w:val="auto"/>
              </w:rPr>
            </w:pP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1,697,326</w:t>
            </w:r>
          </w:p>
        </w:tc>
        <w:tc>
          <w:tcPr>
            <w:tcW w:w="1160" w:type="dxa"/>
            <w:vAlign w:val="bottom"/>
          </w:tcPr>
          <w:p>
            <w:pPr>
              <w:spacing w:after="0"/>
              <w:rPr>
                <w:sz w:val="22"/>
                <w:szCs w:val="22"/>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2,213,644</w:t>
            </w:r>
          </w:p>
        </w:tc>
        <w:tc>
          <w:tcPr>
            <w:tcW w:w="960" w:type="dxa"/>
            <w:vAlign w:val="bottom"/>
          </w:tcPr>
          <w:p>
            <w:pPr>
              <w:spacing w:after="0"/>
              <w:rPr>
                <w:sz w:val="22"/>
                <w:szCs w:val="22"/>
                <w:color w:val="auto"/>
              </w:rPr>
            </w:pP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3,637,975</w:t>
            </w:r>
          </w:p>
        </w:tc>
        <w:tc>
          <w:tcPr>
            <w:tcW w:w="11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4,375,543</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Cost of goods sold &amp; services</w:t>
            </w:r>
          </w:p>
        </w:tc>
        <w:tc>
          <w:tcPr>
            <w:tcW w:w="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Research &amp; engineering</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129,249</w:t>
            </w: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149,792</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264,514</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293,492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107,176</w:t>
            </w: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117,443</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210,754</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229,115</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98,750</w:t>
            </w: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112,796</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201,839</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228,657</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46,691</w:t>
            </w: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25,685</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94,739</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51,189</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0"/>
                <w:szCs w:val="10"/>
                <w:color w:val="auto"/>
                <w:w w:val="70"/>
              </w:rPr>
              <w:t>------------------</w:t>
            </w: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2,079,192</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2,619,360</w:t>
            </w:r>
          </w:p>
        </w:tc>
        <w:tc>
          <w:tcPr>
            <w:tcW w:w="9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4,409,821</w:t>
            </w: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5,177,996</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9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152,544</w:t>
            </w:r>
          </w:p>
        </w:tc>
        <w:tc>
          <w:tcPr>
            <w:tcW w:w="11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501,797</w:t>
            </w:r>
          </w:p>
        </w:tc>
        <w:tc>
          <w:tcPr>
            <w:tcW w:w="9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295,464</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1,002,037</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Taxes on income</w:t>
            </w:r>
          </w:p>
        </w:tc>
        <w:tc>
          <w:tcPr>
            <w:tcW w:w="9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25,257</w:t>
            </w:r>
          </w:p>
        </w:tc>
        <w:tc>
          <w:tcPr>
            <w:tcW w:w="11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114,296</w:t>
            </w:r>
          </w:p>
        </w:tc>
        <w:tc>
          <w:tcPr>
            <w:tcW w:w="9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79,010</w:t>
            </w:r>
          </w:p>
        </w:tc>
        <w:tc>
          <w:tcPr>
            <w:tcW w:w="1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236,209</w:t>
            </w:r>
          </w:p>
        </w:tc>
        <w:tc>
          <w:tcPr>
            <w:tcW w:w="0" w:type="dxa"/>
            <w:vAlign w:val="bottom"/>
          </w:tcPr>
          <w:p>
            <w:pPr>
              <w:spacing w:after="0"/>
              <w:rPr>
                <w:sz w:val="1"/>
                <w:szCs w:val="1"/>
                <w:color w:val="auto"/>
              </w:rPr>
            </w:pPr>
          </w:p>
        </w:tc>
      </w:tr>
      <w:tr>
        <w:trPr>
          <w:trHeight w:val="166"/>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(2)</w:t>
            </w:r>
          </w:p>
        </w:tc>
        <w:tc>
          <w:tcPr>
            <w:tcW w:w="960" w:type="dxa"/>
            <w:vAlign w:val="bottom"/>
            <w:vMerge w:val="restart"/>
          </w:tcPr>
          <w:p>
            <w:pPr>
              <w:ind w:left="180"/>
              <w:spacing w:after="0"/>
              <w:rPr>
                <w:sz w:val="20"/>
                <w:szCs w:val="20"/>
                <w:color w:val="auto"/>
              </w:rPr>
            </w:pPr>
            <w:r>
              <w:rPr>
                <w:rFonts w:ascii="Courier New" w:cs="Courier New" w:eastAsia="Courier New" w:hAnsi="Courier New"/>
                <w:sz w:val="9"/>
                <w:szCs w:val="9"/>
                <w:color w:val="auto"/>
                <w:w w:val="73"/>
              </w:rPr>
              <w:t>------------------</w:t>
            </w:r>
            <w:r>
              <w:rPr>
                <w:rFonts w:ascii="Courier New" w:cs="Courier New" w:eastAsia="Courier New" w:hAnsi="Courier New"/>
                <w:sz w:val="14"/>
                <w:szCs w:val="14"/>
                <w:color w:val="auto"/>
                <w:w w:val="73"/>
                <w:vertAlign w:val="subscript"/>
              </w:rPr>
              <w:t>$</w:t>
            </w: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127,287</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387,501</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216,454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765,828</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Basic Earnings Per Share (2)</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0.71</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Diluted Earnings Per Share (2)</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0.69</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9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547,112</w:t>
            </w:r>
          </w:p>
        </w:tc>
        <w:tc>
          <w:tcPr>
            <w:tcW w:w="11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543,560</w:t>
            </w:r>
          </w:p>
        </w:tc>
        <w:tc>
          <w:tcPr>
            <w:tcW w:w="9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546,744</w:t>
            </w:r>
          </w:p>
        </w:tc>
        <w:tc>
          <w:tcPr>
            <w:tcW w:w="1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543,145</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960" w:type="dxa"/>
            <w:vAlign w:val="bottom"/>
          </w:tcPr>
          <w:p>
            <w:pPr>
              <w:spacing w:after="0"/>
              <w:rPr>
                <w:sz w:val="22"/>
                <w:szCs w:val="22"/>
                <w:color w:val="auto"/>
              </w:rPr>
            </w:pP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563,529</w:t>
            </w:r>
          </w:p>
        </w:tc>
        <w:tc>
          <w:tcPr>
            <w:tcW w:w="1160" w:type="dxa"/>
            <w:vAlign w:val="bottom"/>
          </w:tcPr>
          <w:p>
            <w:pPr>
              <w:spacing w:after="0"/>
              <w:rPr>
                <w:sz w:val="22"/>
                <w:szCs w:val="22"/>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564,784</w:t>
            </w:r>
          </w:p>
        </w:tc>
        <w:tc>
          <w:tcPr>
            <w:tcW w:w="960" w:type="dxa"/>
            <w:vAlign w:val="bottom"/>
          </w:tcPr>
          <w:p>
            <w:pPr>
              <w:spacing w:after="0"/>
              <w:rPr>
                <w:sz w:val="22"/>
                <w:szCs w:val="22"/>
                <w:color w:val="auto"/>
              </w:rPr>
            </w:pP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563,569</w:t>
            </w:r>
          </w:p>
        </w:tc>
        <w:tc>
          <w:tcPr>
            <w:tcW w:w="11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564,319</w:t>
            </w:r>
          </w:p>
        </w:tc>
        <w:tc>
          <w:tcPr>
            <w:tcW w:w="0" w:type="dxa"/>
            <w:vAlign w:val="bottom"/>
          </w:tcPr>
          <w:p>
            <w:pPr>
              <w:spacing w:after="0"/>
              <w:rPr>
                <w:sz w:val="1"/>
                <w:szCs w:val="1"/>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assuming dilution</w:t>
            </w:r>
          </w:p>
        </w:tc>
        <w:tc>
          <w:tcPr>
            <w:tcW w:w="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Dividends declared per share</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0.1875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0.1875</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0.3750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0.3750</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960" w:firstLine="8"/>
        <w:spacing w:after="0" w:line="375" w:lineRule="auto"/>
        <w:tabs>
          <w:tab w:leader="none" w:pos="34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prior periods have been restated to reflect the 1998 acquisition of Camco International Inc., which was accounted for as a pooling of interests.</w:t>
      </w:r>
    </w:p>
    <w:p>
      <w:pPr>
        <w:spacing w:after="0" w:line="1" w:lineRule="exact"/>
        <w:rPr>
          <w:rFonts w:ascii="Courier New" w:cs="Courier New" w:eastAsia="Courier New" w:hAnsi="Courier New"/>
          <w:sz w:val="14"/>
          <w:szCs w:val="14"/>
          <w:color w:val="auto"/>
        </w:rPr>
      </w:pPr>
    </w:p>
    <w:p>
      <w:pPr>
        <w:ind w:right="3880" w:firstLine="8"/>
        <w:spacing w:after="0" w:line="375" w:lineRule="auto"/>
        <w:tabs>
          <w:tab w:leader="none" w:pos="34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1999 first quarter results include an after-tax charge of $90 million ($0.16 per share) consisting of the following:</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520"/>
          </w:cols>
          <w:pgMar w:left="220" w:top="590" w:right="1159" w:bottom="1440" w:gutter="0" w:footer="0" w:header="0"/>
        </w:sectPr>
      </w:pPr>
    </w:p>
    <w:bookmarkStart w:id="2" w:name="page3"/>
    <w:bookmarkEnd w:id="2"/>
    <w:p>
      <w:pPr>
        <w:ind w:left="180" w:right="3339" w:hanging="172"/>
        <w:spacing w:after="0" w:line="313"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charge of $150 million related to Oilfield Services, including severance costs of $121 million, seismic vessel lay-up costs and provisions for possible legal claims.</w:t>
      </w:r>
    </w:p>
    <w:p>
      <w:pPr>
        <w:spacing w:after="0" w:line="42" w:lineRule="exact"/>
        <w:rPr>
          <w:rFonts w:ascii="Courier New" w:cs="Courier New" w:eastAsia="Courier New" w:hAnsi="Courier New"/>
          <w:sz w:val="14"/>
          <w:szCs w:val="14"/>
          <w:color w:val="auto"/>
        </w:rPr>
      </w:pPr>
    </w:p>
    <w:p>
      <w:pPr>
        <w:ind w:left="180" w:right="3519" w:hanging="172"/>
        <w:spacing w:after="0" w:line="313"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charge of $20 million related to Resource Management Services and Test &amp; Transactions consisting principally of severance costs at several RMS facilities.</w:t>
      </w:r>
    </w:p>
    <w:p>
      <w:pPr>
        <w:spacing w:after="0" w:line="42" w:lineRule="exact"/>
        <w:rPr>
          <w:rFonts w:ascii="Courier New" w:cs="Courier New" w:eastAsia="Courier New" w:hAnsi="Courier New"/>
          <w:sz w:val="14"/>
          <w:szCs w:val="14"/>
          <w:color w:val="auto"/>
        </w:rPr>
      </w:pPr>
    </w:p>
    <w:p>
      <w:pPr>
        <w:ind w:left="180" w:right="3859" w:hanging="172"/>
        <w:spacing w:after="0" w:line="375"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credit of $80 million from the gain on sale of financial instruments received in connection with the 1998 sale of Retail Petroleum Systems.</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pretax charge of $189 million is classified in cost of goods sold and services. The pretax credit of $103 million resulting from the gain on sale of financial instruments is classified in interest and other income.</w:t>
      </w:r>
    </w:p>
    <w:p>
      <w:pPr>
        <w:spacing w:after="0" w:line="4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3" w:name="page4"/>
    <w:bookmarkEnd w:id="3"/>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80" w:type="dxa"/>
            <w:vAlign w:val="bottom"/>
          </w:tcPr>
          <w:p>
            <w:pPr>
              <w:spacing w:after="0"/>
              <w:rPr>
                <w:sz w:val="21"/>
                <w:szCs w:val="21"/>
                <w:color w:val="auto"/>
              </w:rPr>
            </w:pP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(Dollars in thousands)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580" w:type="dxa"/>
            <w:vAlign w:val="bottom"/>
          </w:tcPr>
          <w:p>
            <w:pPr>
              <w:spacing w:after="0"/>
              <w:rPr>
                <w:sz w:val="24"/>
                <w:szCs w:val="24"/>
                <w:color w:val="auto"/>
              </w:rPr>
            </w:pPr>
          </w:p>
        </w:tc>
        <w:tc>
          <w:tcPr>
            <w:tcW w:w="2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Dec. 31,</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1999</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1"/>
                <w:szCs w:val="21"/>
                <w:color w:val="auto"/>
              </w:rPr>
            </w:pPr>
          </w:p>
        </w:tc>
        <w:tc>
          <w:tcPr>
            <w:tcW w:w="25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5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5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$ 4,022,846</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$ 3,956,694</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25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25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2,658,038</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2,968,070</w:t>
            </w:r>
          </w:p>
        </w:tc>
        <w:tc>
          <w:tcPr>
            <w:tcW w:w="0" w:type="dxa"/>
            <w:vAlign w:val="bottom"/>
          </w:tcPr>
          <w:p>
            <w:pPr>
              <w:spacing w:after="0"/>
              <w:rPr>
                <w:sz w:val="1"/>
                <w:szCs w:val="1"/>
                <w:color w:val="auto"/>
              </w:rPr>
            </w:pP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(1999 - $91,818; 1998 - $89,556)</w:t>
            </w:r>
          </w:p>
        </w:tc>
        <w:tc>
          <w:tcPr>
            <w:tcW w:w="25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1,330,656</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1,333,131</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273,680</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295,974</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281,683</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251,355</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8,566,903</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540" w:type="dxa"/>
            <w:vAlign w:val="bottom"/>
            <w:vMerge w:val="continue"/>
          </w:tcPr>
          <w:p>
            <w:pPr>
              <w:spacing w:after="0"/>
              <w:rPr>
                <w:sz w:val="22"/>
                <w:szCs w:val="22"/>
                <w:color w:val="auto"/>
              </w:rPr>
            </w:pP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8,805,224</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0"/>
                <w:szCs w:val="20"/>
                <w:color w:val="auto"/>
              </w:rPr>
            </w:pPr>
            <w:r>
              <w:rPr>
                <w:rFonts w:ascii="Courier New" w:cs="Courier New" w:eastAsia="Courier New" w:hAnsi="Courier New"/>
                <w:sz w:val="14"/>
                <w:szCs w:val="14"/>
                <w:color w:val="auto"/>
              </w:rPr>
              <w:t>LONG-TERM INVESTMENTS, HELD TO MATURITY</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652,573</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855,172</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25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11,828,886</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11,658,743</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5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(7,006,535)</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(6,964,278)</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4,822,351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vMerge w:val="restart"/>
          </w:tcPr>
          <w:p>
            <w:pPr>
              <w:spacing w:after="0"/>
              <w:rPr>
                <w:sz w:val="20"/>
                <w:szCs w:val="20"/>
                <w:color w:val="auto"/>
              </w:rPr>
            </w:pPr>
            <w:r>
              <w:rPr>
                <w:rFonts w:ascii="Courier New" w:cs="Courier New" w:eastAsia="Courier New" w:hAnsi="Courier New"/>
                <w:sz w:val="14"/>
                <w:szCs w:val="14"/>
                <w:color w:val="auto"/>
              </w:rPr>
              <w:t>EXCESS OF INVESTMENT OVER NET ASSETS OF</w:t>
            </w:r>
          </w:p>
        </w:tc>
        <w:tc>
          <w:tcPr>
            <w:tcW w:w="2540" w:type="dxa"/>
            <w:vAlign w:val="bottom"/>
            <w:vMerge w:val="continue"/>
          </w:tcPr>
          <w:p>
            <w:pPr>
              <w:spacing w:after="0"/>
              <w:rPr>
                <w:sz w:val="22"/>
                <w:szCs w:val="22"/>
                <w:color w:val="auto"/>
              </w:rPr>
            </w:pP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4,694,465</w:t>
            </w:r>
          </w:p>
        </w:tc>
        <w:tc>
          <w:tcPr>
            <w:tcW w:w="0" w:type="dxa"/>
            <w:vAlign w:val="bottom"/>
          </w:tcPr>
          <w:p>
            <w:pPr>
              <w:spacing w:after="0"/>
              <w:rPr>
                <w:sz w:val="1"/>
                <w:szCs w:val="1"/>
                <w:color w:val="auto"/>
              </w:rPr>
            </w:pPr>
          </w:p>
        </w:tc>
      </w:tr>
      <w:tr>
        <w:trPr>
          <w:trHeight w:val="76"/>
        </w:trPr>
        <w:tc>
          <w:tcPr>
            <w:tcW w:w="4580" w:type="dxa"/>
            <w:vAlign w:val="bottom"/>
            <w:vMerge w:val="continue"/>
          </w:tcPr>
          <w:p>
            <w:pPr>
              <w:spacing w:after="0"/>
              <w:rPr>
                <w:sz w:val="6"/>
                <w:szCs w:val="6"/>
                <w:color w:val="auto"/>
              </w:rPr>
            </w:pPr>
          </w:p>
        </w:tc>
        <w:tc>
          <w:tcPr>
            <w:tcW w:w="25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1,269,463</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1,302,678</w:t>
            </w:r>
          </w:p>
        </w:tc>
        <w:tc>
          <w:tcPr>
            <w:tcW w:w="0" w:type="dxa"/>
            <w:vAlign w:val="bottom"/>
          </w:tcPr>
          <w:p>
            <w:pPr>
              <w:spacing w:after="0"/>
              <w:rPr>
                <w:sz w:val="1"/>
                <w:szCs w:val="1"/>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COMPANIES PURCHASED less amortization</w:t>
            </w:r>
          </w:p>
        </w:tc>
        <w:tc>
          <w:tcPr>
            <w:tcW w:w="25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209,508</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202,630</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221,889</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217,760</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1"/>
                <w:szCs w:val="21"/>
                <w:color w:val="auto"/>
              </w:rPr>
            </w:pPr>
          </w:p>
        </w:tc>
        <w:tc>
          <w:tcPr>
            <w:tcW w:w="25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$15,742,687</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$16,077,929</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1"/>
                <w:szCs w:val="21"/>
                <w:color w:val="auto"/>
              </w:rPr>
            </w:pPr>
          </w:p>
        </w:tc>
        <w:tc>
          <w:tcPr>
            <w:tcW w:w="25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0"/>
                <w:szCs w:val="20"/>
                <w:color w:val="auto"/>
              </w:rPr>
            </w:pPr>
            <w:r>
              <w:rPr>
                <w:rFonts w:ascii="Courier New" w:cs="Courier New" w:eastAsia="Courier New" w:hAnsi="Courier New"/>
                <w:sz w:val="14"/>
                <w:szCs w:val="14"/>
                <w:color w:val="auto"/>
              </w:rPr>
              <w:t>LIABILITIES &amp; STOCKHOLDERS' EQUITY</w:t>
            </w:r>
          </w:p>
        </w:tc>
        <w:tc>
          <w:tcPr>
            <w:tcW w:w="25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5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$ 2,494,610</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$ 2,539,954</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25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Estimated liability for taxes on income</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409,845</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480,123</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Bank loans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492,265</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708,978</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Dividend payable</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103,165</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102,891</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Long-term debt due within one year</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130,162</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86,722</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3,630,047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540" w:type="dxa"/>
            <w:vAlign w:val="bottom"/>
            <w:vMerge w:val="continue"/>
          </w:tcPr>
          <w:p>
            <w:pPr>
              <w:spacing w:after="0"/>
              <w:rPr>
                <w:sz w:val="22"/>
                <w:szCs w:val="22"/>
                <w:color w:val="auto"/>
              </w:rPr>
            </w:pP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3,918,668</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3,207,040</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3,285,444</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POSTRETIREMENT BENEFITS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444,924</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432,791</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315,886</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321,951</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7,597,897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7,958,854</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1"/>
                <w:szCs w:val="21"/>
                <w:color w:val="auto"/>
              </w:rPr>
            </w:pPr>
          </w:p>
        </w:tc>
        <w:tc>
          <w:tcPr>
            <w:tcW w:w="25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5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1,555,114</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1,539,408</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retained for use in the business</w:t>
            </w: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8,893,861</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8,882,455</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Treasury stock at cost</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(2,198,071)</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(2,221,308)</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(106,114)</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(81,480)</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restart"/>
          </w:tcPr>
          <w:p>
            <w:pPr>
              <w:ind w:left="600"/>
              <w:spacing w:after="0"/>
              <w:rPr>
                <w:sz w:val="20"/>
                <w:szCs w:val="20"/>
                <w:color w:val="auto"/>
              </w:rPr>
            </w:pP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8,144,790</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8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8,119,075</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1"/>
                <w:szCs w:val="21"/>
                <w:color w:val="auto"/>
              </w:rPr>
            </w:pPr>
          </w:p>
        </w:tc>
        <w:tc>
          <w:tcPr>
            <w:tcW w:w="25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80" w:type="dxa"/>
            <w:vAlign w:val="bottom"/>
          </w:tcPr>
          <w:p>
            <w:pPr>
              <w:spacing w:after="0"/>
              <w:rPr>
                <w:sz w:val="22"/>
                <w:szCs w:val="22"/>
                <w:color w:val="auto"/>
              </w:rPr>
            </w:pPr>
          </w:p>
        </w:tc>
        <w:tc>
          <w:tcPr>
            <w:tcW w:w="25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$15,742,687</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$16,077,929</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1"/>
                <w:szCs w:val="21"/>
                <w:color w:val="auto"/>
              </w:rPr>
            </w:pPr>
          </w:p>
        </w:tc>
        <w:tc>
          <w:tcPr>
            <w:tcW w:w="25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4" w:name="page5"/>
    <w:bookmarkEnd w:id="4"/>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CASH FLOW</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40" w:type="dxa"/>
            <w:vAlign w:val="bottom"/>
          </w:tcPr>
          <w:p>
            <w:pPr>
              <w:spacing w:after="0"/>
              <w:rPr>
                <w:sz w:val="21"/>
                <w:szCs w:val="21"/>
                <w:color w:val="auto"/>
              </w:rPr>
            </w:pPr>
          </w:p>
        </w:tc>
        <w:tc>
          <w:tcPr>
            <w:tcW w:w="31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2"/>
                <w:szCs w:val="22"/>
                <w:color w:val="auto"/>
              </w:rPr>
            </w:pPr>
          </w:p>
        </w:tc>
        <w:tc>
          <w:tcPr>
            <w:tcW w:w="31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Six Months Ended</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14"/>
                <w:szCs w:val="14"/>
                <w:color w:val="auto"/>
              </w:rPr>
            </w:pPr>
          </w:p>
        </w:tc>
        <w:tc>
          <w:tcPr>
            <w:tcW w:w="31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June 30,</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6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$ 216,454</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$ 765,828</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First-quarter charge</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90,117</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provided by operating activities:</w:t>
            </w:r>
          </w:p>
        </w:tc>
        <w:tc>
          <w:tcPr>
            <w:tcW w:w="16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563,682</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556,609</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Earnings of companies carried at equity,</w:t>
            </w: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less dividends received (Dividends:</w:t>
            </w:r>
          </w:p>
        </w:tc>
        <w:tc>
          <w:tcPr>
            <w:tcW w:w="16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(4,332)</w:t>
            </w:r>
          </w:p>
        </w:tc>
        <w:tc>
          <w:tcPr>
            <w:tcW w:w="14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(5,499)</w:t>
            </w:r>
          </w:p>
        </w:tc>
        <w:tc>
          <w:tcPr>
            <w:tcW w:w="0" w:type="dxa"/>
            <w:vAlign w:val="bottom"/>
          </w:tcPr>
          <w:p>
            <w:pPr>
              <w:spacing w:after="0"/>
              <w:rPr>
                <w:sz w:val="1"/>
                <w:szCs w:val="1"/>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1999 - $616; 1998 - $1,324)</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18,928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16,943</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Other adjustments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16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126,936</w:t>
            </w:r>
          </w:p>
        </w:tc>
        <w:tc>
          <w:tcPr>
            <w:tcW w:w="14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(337,957)</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Decrease (increase) in receivables</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(Increase) in inventories</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(15,631)</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(151,654)</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deferred taxes on income</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(1,248)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4,718</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Decrease in accounts payable and accrued</w:t>
            </w:r>
          </w:p>
        </w:tc>
        <w:tc>
          <w:tcPr>
            <w:tcW w:w="16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(251,044)</w:t>
            </w:r>
          </w:p>
        </w:tc>
        <w:tc>
          <w:tcPr>
            <w:tcW w:w="14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(4,644)</w:t>
            </w:r>
          </w:p>
        </w:tc>
        <w:tc>
          <w:tcPr>
            <w:tcW w:w="0" w:type="dxa"/>
            <w:vAlign w:val="bottom"/>
          </w:tcPr>
          <w:p>
            <w:pPr>
              <w:spacing w:after="0"/>
              <w:rPr>
                <w:sz w:val="1"/>
                <w:szCs w:val="1"/>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liabilities</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(Decrease) increase in estimated liability</w:t>
            </w:r>
          </w:p>
        </w:tc>
        <w:tc>
          <w:tcPr>
            <w:tcW w:w="16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(49,727)</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50,492</w:t>
            </w:r>
          </w:p>
        </w:tc>
        <w:tc>
          <w:tcPr>
            <w:tcW w:w="0" w:type="dxa"/>
            <w:vAlign w:val="bottom"/>
          </w:tcPr>
          <w:p>
            <w:pPr>
              <w:spacing w:after="0"/>
              <w:rPr>
                <w:sz w:val="1"/>
                <w:szCs w:val="1"/>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for taxes on income</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Other - net</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(40,919)</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(81,404)</w:t>
            </w:r>
          </w:p>
        </w:tc>
        <w:tc>
          <w:tcPr>
            <w:tcW w:w="0" w:type="dxa"/>
            <w:vAlign w:val="bottom"/>
          </w:tcPr>
          <w:p>
            <w:pPr>
              <w:spacing w:after="0"/>
              <w:rPr>
                <w:sz w:val="1"/>
                <w:szCs w:val="1"/>
                <w:color w:val="auto"/>
              </w:rPr>
            </w:pPr>
          </w:p>
        </w:tc>
      </w:tr>
      <w:tr>
        <w:trPr>
          <w:trHeight w:val="166"/>
        </w:trPr>
        <w:tc>
          <w:tcPr>
            <w:tcW w:w="45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vMerge w:val="continue"/>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653,216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813,448</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6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(667,259)</w:t>
            </w:r>
          </w:p>
        </w:tc>
        <w:tc>
          <w:tcPr>
            <w:tcW w:w="14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(835,311)</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Purchase of fixed assets</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Sales/retirements of fixed assets</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(14,538)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49,633</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Decrease in investments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184,853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51,372</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Sale of financial instruments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203,572</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Business acquired</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(54,581)</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(19,496)</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Decrease in other assets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5,871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5,731</w:t>
            </w:r>
          </w:p>
        </w:tc>
        <w:tc>
          <w:tcPr>
            <w:tcW w:w="0" w:type="dxa"/>
            <w:vAlign w:val="bottom"/>
          </w:tcPr>
          <w:p>
            <w:pPr>
              <w:spacing w:after="0"/>
              <w:rPr>
                <w:sz w:val="1"/>
                <w:szCs w:val="1"/>
                <w:color w:val="auto"/>
              </w:rPr>
            </w:pPr>
          </w:p>
        </w:tc>
      </w:tr>
      <w:tr>
        <w:trPr>
          <w:trHeight w:val="166"/>
        </w:trPr>
        <w:tc>
          <w:tcPr>
            <w:tcW w:w="45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cash used in investing activities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vMerge w:val="continue"/>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(342,082)</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(748,071)</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6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(204,839)</w:t>
            </w:r>
          </w:p>
        </w:tc>
        <w:tc>
          <w:tcPr>
            <w:tcW w:w="14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(190,586)</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Dividends paid</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employee stock purchase plan</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52,250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49,550</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exercise of stock options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38,943</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35,796</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long-term debt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932,491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693,944</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Payments of principal on long-term debt</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(883,347)</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(546,048)</w:t>
            </w:r>
          </w:p>
        </w:tc>
        <w:tc>
          <w:tcPr>
            <w:tcW w:w="0" w:type="dxa"/>
            <w:vAlign w:val="bottom"/>
          </w:tcPr>
          <w:p>
            <w:pPr>
              <w:spacing w:after="0"/>
              <w:rPr>
                <w:sz w:val="1"/>
                <w:szCs w:val="1"/>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decrease in short-term debt</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(194,607)</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(49,344)</w:t>
            </w:r>
          </w:p>
        </w:tc>
        <w:tc>
          <w:tcPr>
            <w:tcW w:w="0" w:type="dxa"/>
            <w:vAlign w:val="bottom"/>
          </w:tcPr>
          <w:p>
            <w:pPr>
              <w:spacing w:after="0"/>
              <w:rPr>
                <w:sz w:val="1"/>
                <w:szCs w:val="1"/>
                <w:color w:val="auto"/>
              </w:rPr>
            </w:pPr>
          </w:p>
        </w:tc>
      </w:tr>
      <w:tr>
        <w:trPr>
          <w:trHeight w:val="166"/>
        </w:trPr>
        <w:tc>
          <w:tcPr>
            <w:tcW w:w="45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Net cash used in financing activities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40" w:type="dxa"/>
            <w:vAlign w:val="bottom"/>
            <w:vMerge w:val="continue"/>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(259,109)</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(6,688)</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increase in cash</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52,025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58,689</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beginning of period</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105,321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173,963</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end of period</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$ 157,346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$ 232,652</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5" w:name="page6"/>
    <w:bookmarkEnd w:id="5"/>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STOCKHOLDERS' EQUITY</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540" w:type="dxa"/>
            <w:vAlign w:val="bottom"/>
          </w:tcPr>
          <w:p>
            <w:pPr>
              <w:spacing w:after="0"/>
              <w:rPr>
                <w:sz w:val="21"/>
                <w:szCs w:val="21"/>
                <w:color w:val="auto"/>
              </w:rPr>
            </w:pPr>
          </w:p>
        </w:tc>
        <w:tc>
          <w:tcPr>
            <w:tcW w:w="2040" w:type="dxa"/>
            <w:vAlign w:val="bottom"/>
          </w:tcPr>
          <w:p>
            <w:pPr>
              <w:jc w:val="right"/>
              <w:ind w:right="630"/>
              <w:spacing w:after="0"/>
              <w:rPr>
                <w:sz w:val="20"/>
                <w:szCs w:val="20"/>
                <w:color w:val="auto"/>
              </w:rPr>
            </w:pPr>
            <w:r>
              <w:rPr>
                <w:rFonts w:ascii="Courier New" w:cs="Courier New" w:eastAsia="Courier New" w:hAnsi="Courier New"/>
                <w:sz w:val="14"/>
                <w:szCs w:val="14"/>
                <w:color w:val="auto"/>
              </w:rPr>
              <w:t>(Unaudited)</w:t>
            </w:r>
          </w:p>
        </w:tc>
        <w:tc>
          <w:tcPr>
            <w:tcW w:w="1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2"/>
        </w:trPr>
        <w:tc>
          <w:tcPr>
            <w:tcW w:w="2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0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3840" w:type="dxa"/>
            <w:vAlign w:val="bottom"/>
            <w:gridSpan w:val="2"/>
          </w:tcPr>
          <w:p>
            <w:pPr>
              <w:jc w:val="right"/>
              <w:ind w:right="1208"/>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Retained</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Translation</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Comprehensive</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38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Income</w:t>
            </w:r>
          </w:p>
        </w:tc>
        <w:tc>
          <w:tcPr>
            <w:tcW w:w="15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Adjustment</w:t>
            </w:r>
          </w:p>
        </w:tc>
        <w:tc>
          <w:tcPr>
            <w:tcW w:w="1540" w:type="dxa"/>
            <w:vAlign w:val="bottom"/>
            <w:gridSpan w:val="2"/>
            <w:vMerge w:val="restart"/>
          </w:tcPr>
          <w:p>
            <w:pPr>
              <w:ind w:left="680"/>
              <w:spacing w:after="0"/>
              <w:rPr>
                <w:sz w:val="20"/>
                <w:szCs w:val="20"/>
                <w:color w:val="auto"/>
              </w:rPr>
            </w:pPr>
            <w:r>
              <w:rPr>
                <w:rFonts w:ascii="Courier New" w:cs="Courier New" w:eastAsia="Courier New" w:hAnsi="Courier New"/>
                <w:sz w:val="14"/>
                <w:szCs w:val="14"/>
                <w:color w:val="auto"/>
              </w:rPr>
              <w:t>Income</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204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Issued</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 Treasury</w:t>
            </w: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2040" w:type="dxa"/>
            <w:vAlign w:val="bottom"/>
          </w:tcPr>
          <w:p>
            <w:pPr>
              <w:jc w:val="center"/>
              <w:ind w:left="5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Balance, January 1, 1999</w:t>
            </w:r>
          </w:p>
        </w:tc>
        <w:tc>
          <w:tcPr>
            <w:tcW w:w="2040" w:type="dxa"/>
            <w:vAlign w:val="bottom"/>
          </w:tcPr>
          <w:p>
            <w:pPr>
              <w:jc w:val="center"/>
              <w:ind w:left="70"/>
              <w:spacing w:after="0"/>
              <w:rPr>
                <w:sz w:val="20"/>
                <w:szCs w:val="20"/>
                <w:color w:val="auto"/>
              </w:rPr>
            </w:pPr>
            <w:r>
              <w:rPr>
                <w:rFonts w:ascii="Courier New" w:cs="Courier New" w:eastAsia="Courier New" w:hAnsi="Courier New"/>
                <w:sz w:val="14"/>
                <w:szCs w:val="14"/>
                <w:color w:val="auto"/>
              </w:rPr>
              <w:t>$1,539,408</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$(2,221,308)</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$8,882,455</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 (81,480)</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216,454</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216,454</w:t>
            </w:r>
          </w:p>
        </w:tc>
        <w:tc>
          <w:tcPr>
            <w:tcW w:w="0" w:type="dxa"/>
            <w:vAlign w:val="bottom"/>
          </w:tcPr>
          <w:p>
            <w:pPr>
              <w:spacing w:after="0"/>
              <w:rPr>
                <w:sz w:val="1"/>
                <w:szCs w:val="1"/>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(24,634)</w:t>
            </w:r>
          </w:p>
        </w:tc>
        <w:tc>
          <w:tcPr>
            <w:tcW w:w="7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(24,634)</w:t>
            </w:r>
          </w:p>
        </w:tc>
        <w:tc>
          <w:tcPr>
            <w:tcW w:w="0" w:type="dxa"/>
            <w:vAlign w:val="bottom"/>
          </w:tcPr>
          <w:p>
            <w:pPr>
              <w:spacing w:after="0"/>
              <w:rPr>
                <w:sz w:val="1"/>
                <w:szCs w:val="1"/>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(205,048)</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0"/>
                <w:szCs w:val="20"/>
                <w:color w:val="auto"/>
              </w:rPr>
            </w:pPr>
            <w:r>
              <w:rPr>
                <w:rFonts w:ascii="Courier New" w:cs="Courier New" w:eastAsia="Courier New" w:hAnsi="Courier New"/>
                <w:sz w:val="14"/>
                <w:szCs w:val="14"/>
                <w:color w:val="auto"/>
              </w:rPr>
              <w:t>Shares sold to optionees,</w:t>
            </w:r>
          </w:p>
        </w:tc>
        <w:tc>
          <w:tcPr>
            <w:tcW w:w="2040" w:type="dxa"/>
            <w:vAlign w:val="bottom"/>
            <w:vMerge w:val="restart"/>
          </w:tcPr>
          <w:p>
            <w:pPr>
              <w:jc w:val="right"/>
              <w:ind w:right="450"/>
              <w:spacing w:after="0"/>
              <w:rPr>
                <w:sz w:val="20"/>
                <w:szCs w:val="20"/>
                <w:color w:val="auto"/>
              </w:rPr>
            </w:pPr>
            <w:r>
              <w:rPr>
                <w:rFonts w:ascii="Courier New" w:cs="Courier New" w:eastAsia="Courier New" w:hAnsi="Courier New"/>
                <w:sz w:val="14"/>
                <w:szCs w:val="14"/>
                <w:color w:val="auto"/>
              </w:rPr>
              <w:t>15,706</w:t>
            </w:r>
          </w:p>
        </w:tc>
        <w:tc>
          <w:tcPr>
            <w:tcW w:w="18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23,237</w:t>
            </w:r>
          </w:p>
        </w:tc>
        <w:tc>
          <w:tcPr>
            <w:tcW w:w="1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40" w:type="dxa"/>
            <w:vAlign w:val="bottom"/>
          </w:tcPr>
          <w:p>
            <w:pPr>
              <w:ind w:left="100"/>
              <w:spacing w:after="0"/>
              <w:rPr>
                <w:sz w:val="20"/>
                <w:szCs w:val="20"/>
                <w:color w:val="auto"/>
              </w:rPr>
            </w:pPr>
            <w:r>
              <w:rPr>
                <w:rFonts w:ascii="Courier New" w:cs="Courier New" w:eastAsia="Courier New" w:hAnsi="Courier New"/>
                <w:sz w:val="14"/>
                <w:szCs w:val="14"/>
                <w:color w:val="auto"/>
              </w:rPr>
              <w:t>DSPP less fees</w:t>
            </w:r>
          </w:p>
        </w:tc>
        <w:tc>
          <w:tcPr>
            <w:tcW w:w="204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540" w:type="dxa"/>
            <w:vAlign w:val="bottom"/>
            <w:vMerge w:val="restart"/>
          </w:tcPr>
          <w:p>
            <w:pPr>
              <w:spacing w:after="0"/>
              <w:rPr>
                <w:sz w:val="20"/>
                <w:szCs w:val="20"/>
                <w:color w:val="auto"/>
              </w:rPr>
            </w:pPr>
            <w:r>
              <w:rPr>
                <w:rFonts w:ascii="Courier New" w:cs="Courier New" w:eastAsia="Courier New" w:hAnsi="Courier New"/>
                <w:sz w:val="14"/>
                <w:szCs w:val="14"/>
                <w:color w:val="auto"/>
              </w:rPr>
              <w:t>Balance, June 30, 1999</w:t>
            </w:r>
          </w:p>
        </w:tc>
        <w:tc>
          <w:tcPr>
            <w:tcW w:w="2040" w:type="dxa"/>
            <w:vAlign w:val="bottom"/>
            <w:vMerge w:val="restart"/>
          </w:tcPr>
          <w:p>
            <w:pPr>
              <w:jc w:val="center"/>
              <w:ind w:left="5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$1,555,114</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5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$(2,198,071)</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$8,893,861</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$(106,114)</w:t>
            </w: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$191,820</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2040" w:type="dxa"/>
            <w:vAlign w:val="bottom"/>
          </w:tcPr>
          <w:p>
            <w:pPr>
              <w:jc w:val="center"/>
              <w:ind w:left="5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860"/>
          </w:cols>
          <w:pgMar w:left="220" w:top="590" w:right="819" w:bottom="1440" w:gutter="0" w:footer="0" w:header="0"/>
        </w:sectPr>
      </w:pPr>
    </w:p>
    <w:bookmarkStart w:id="6" w:name="page7"/>
    <w:bookmarkEnd w:id="6"/>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and Subsidiary Companies</w:t>
      </w:r>
    </w:p>
    <w:p>
      <w:pPr>
        <w:spacing w:after="0" w:line="14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31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1998 Annual Report. These policies have been consistently applied during the interim period presented in this report. The results of operations for the three and six month periods ended June 30, 1999 are not necessarily indicative of the results of operations that may be expected for the entire year.</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second quarter and the first six months of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40" w:type="dxa"/>
            <w:vAlign w:val="bottom"/>
          </w:tcPr>
          <w:p>
            <w:pPr>
              <w:spacing w:after="0"/>
              <w:rPr>
                <w:sz w:val="21"/>
                <w:szCs w:val="21"/>
                <w:color w:val="auto"/>
              </w:rPr>
            </w:pPr>
          </w:p>
        </w:tc>
        <w:tc>
          <w:tcPr>
            <w:tcW w:w="434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(Stated in thousands except per share amounts)</w:t>
            </w:r>
          </w:p>
        </w:tc>
        <w:tc>
          <w:tcPr>
            <w:tcW w:w="0" w:type="dxa"/>
            <w:vAlign w:val="bottom"/>
          </w:tcPr>
          <w:p>
            <w:pPr>
              <w:spacing w:after="0"/>
              <w:rPr>
                <w:sz w:val="1"/>
                <w:szCs w:val="1"/>
                <w:color w:val="auto"/>
              </w:rPr>
            </w:pPr>
          </w:p>
        </w:tc>
      </w:tr>
      <w:tr>
        <w:trPr>
          <w:trHeight w:val="395"/>
        </w:trPr>
        <w:tc>
          <w:tcPr>
            <w:tcW w:w="2040" w:type="dxa"/>
            <w:vAlign w:val="bottom"/>
          </w:tcPr>
          <w:p>
            <w:pPr>
              <w:spacing w:after="0"/>
              <w:rPr>
                <w:sz w:val="24"/>
                <w:szCs w:val="24"/>
                <w:color w:val="auto"/>
              </w:rPr>
            </w:pPr>
          </w:p>
        </w:tc>
        <w:tc>
          <w:tcPr>
            <w:tcW w:w="1240" w:type="dxa"/>
            <w:vAlign w:val="bottom"/>
            <w:vMerge w:val="restart"/>
          </w:tcPr>
          <w:p>
            <w:pPr>
              <w:ind w:left="720"/>
              <w:spacing w:after="0"/>
              <w:rPr>
                <w:sz w:val="20"/>
                <w:szCs w:val="20"/>
                <w:color w:val="auto"/>
              </w:rPr>
            </w:pPr>
            <w:r>
              <w:rPr>
                <w:rFonts w:ascii="Courier New" w:cs="Courier New" w:eastAsia="Courier New" w:hAnsi="Courier New"/>
                <w:sz w:val="14"/>
                <w:szCs w:val="14"/>
                <w:color w:val="auto"/>
              </w:rPr>
              <w:t>Net</w:t>
            </w:r>
          </w:p>
        </w:tc>
        <w:tc>
          <w:tcPr>
            <w:tcW w:w="17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240" w:type="dxa"/>
            <w:vAlign w:val="bottom"/>
          </w:tcPr>
          <w:p>
            <w:pPr>
              <w:ind w:left="640"/>
              <w:spacing w:after="0"/>
              <w:rPr>
                <w:sz w:val="20"/>
                <w:szCs w:val="20"/>
                <w:color w:val="auto"/>
              </w:rPr>
            </w:pPr>
            <w:r>
              <w:rPr>
                <w:rFonts w:ascii="Courier New" w:cs="Courier New" w:eastAsia="Courier New" w:hAnsi="Courier New"/>
                <w:sz w:val="14"/>
                <w:szCs w:val="14"/>
                <w:color w:val="auto"/>
              </w:rPr>
              <w:t>Income</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Outstanding</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$127,287</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547,112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$ 0.23</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1240" w:type="dxa"/>
            <w:vAlign w:val="bottom"/>
          </w:tcPr>
          <w:p>
            <w:pPr>
              <w:spacing w:after="0"/>
              <w:rPr>
                <w:sz w:val="14"/>
                <w:szCs w:val="14"/>
                <w:color w:val="auto"/>
              </w:rPr>
            </w:pPr>
          </w:p>
        </w:tc>
        <w:tc>
          <w:tcPr>
            <w:tcW w:w="17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8,649</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Warrants</w:t>
            </w:r>
          </w:p>
        </w:tc>
        <w:tc>
          <w:tcPr>
            <w:tcW w:w="1240" w:type="dxa"/>
            <w:vAlign w:val="bottom"/>
            <w:vMerge w:val="restart"/>
          </w:tcPr>
          <w:p>
            <w:pPr>
              <w:ind w:left="560"/>
              <w:spacing w:after="0"/>
              <w:rPr>
                <w:sz w:val="20"/>
                <w:szCs w:val="20"/>
                <w:color w:val="auto"/>
              </w:rPr>
            </w:pPr>
            <w:r>
              <w:rPr>
                <w:rFonts w:ascii="Courier New" w:cs="Courier New" w:eastAsia="Courier New" w:hAnsi="Courier New"/>
                <w:sz w:val="14"/>
                <w:szCs w:val="14"/>
                <w:color w:val="auto"/>
                <w:w w:val="98"/>
              </w:rPr>
              <w: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7,768</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1240" w:type="dxa"/>
            <w:vAlign w:val="bottom"/>
            <w:vMerge w:val="continue"/>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$ 0.23</w:t>
            </w:r>
          </w:p>
        </w:tc>
        <w:tc>
          <w:tcPr>
            <w:tcW w:w="0" w:type="dxa"/>
            <w:vAlign w:val="bottom"/>
          </w:tcPr>
          <w:p>
            <w:pPr>
              <w:spacing w:after="0"/>
              <w:rPr>
                <w:sz w:val="1"/>
                <w:szCs w:val="1"/>
                <w:color w:val="auto"/>
              </w:rPr>
            </w:pPr>
          </w:p>
        </w:tc>
      </w:tr>
      <w:tr>
        <w:trPr>
          <w:trHeight w:val="166"/>
        </w:trPr>
        <w:tc>
          <w:tcPr>
            <w:tcW w:w="2040" w:type="dxa"/>
            <w:vAlign w:val="bottom"/>
            <w:vMerge w:val="continue"/>
          </w:tcPr>
          <w:p>
            <w:pPr>
              <w:spacing w:after="0"/>
              <w:rPr>
                <w:sz w:val="14"/>
                <w:szCs w:val="14"/>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$127,287</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563,529</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0"/>
                <w:szCs w:val="20"/>
                <w:color w:val="auto"/>
              </w:rPr>
            </w:pPr>
            <w:r>
              <w:rPr>
                <w:rFonts w:ascii="Courier New" w:cs="Courier New" w:eastAsia="Courier New" w:hAnsi="Courier New"/>
                <w:sz w:val="14"/>
                <w:szCs w:val="14"/>
                <w:color w:val="auto"/>
              </w:rPr>
              <w:t>Six Months</w:t>
            </w:r>
          </w:p>
        </w:tc>
        <w:tc>
          <w:tcPr>
            <w:tcW w:w="1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40" w:type="dxa"/>
            <w:vAlign w:val="bottom"/>
            <w:vMerge w:val="restart"/>
          </w:tcPr>
          <w:p>
            <w:pPr>
              <w:ind w:left="640"/>
              <w:spacing w:after="0"/>
              <w:rPr>
                <w:sz w:val="20"/>
                <w:szCs w:val="20"/>
                <w:color w:val="auto"/>
              </w:rPr>
            </w:pPr>
            <w:r>
              <w:rPr>
                <w:rFonts w:ascii="Courier New" w:cs="Courier New" w:eastAsia="Courier New" w:hAnsi="Courier New"/>
                <w:sz w:val="14"/>
                <w:szCs w:val="14"/>
                <w:color w:val="auto"/>
              </w:rPr>
              <w:t>Net</w:t>
            </w:r>
          </w:p>
        </w:tc>
        <w:tc>
          <w:tcPr>
            <w:tcW w:w="17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Income</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Outstanding</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0" w:type="dxa"/>
            <w:vAlign w:val="bottom"/>
          </w:tcPr>
          <w:p>
            <w:pPr>
              <w:spacing w:after="0"/>
              <w:rPr>
                <w:sz w:val="1"/>
                <w:szCs w:val="1"/>
                <w:color w:val="auto"/>
              </w:rPr>
            </w:pPr>
          </w:p>
        </w:tc>
      </w:tr>
      <w:tr>
        <w:trPr>
          <w:trHeight w:val="166"/>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40" w:type="dxa"/>
            <w:vAlign w:val="bottom"/>
            <w:vMerge w:val="continue"/>
          </w:tcPr>
          <w:p>
            <w:pPr>
              <w:spacing w:after="0"/>
              <w:rPr>
                <w:sz w:val="14"/>
                <w:szCs w:val="14"/>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$216,454</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546,744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$ 0.39</w:t>
            </w:r>
          </w:p>
        </w:tc>
        <w:tc>
          <w:tcPr>
            <w:tcW w:w="0" w:type="dxa"/>
            <w:vAlign w:val="bottom"/>
          </w:tcPr>
          <w:p>
            <w:pPr>
              <w:spacing w:after="0"/>
              <w:rPr>
                <w:sz w:val="1"/>
                <w:szCs w:val="1"/>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Effect of dilution:</w:t>
            </w:r>
          </w:p>
        </w:tc>
        <w:tc>
          <w:tcPr>
            <w:tcW w:w="1240" w:type="dxa"/>
            <w:vAlign w:val="bottom"/>
          </w:tcPr>
          <w:p>
            <w:pPr>
              <w:spacing w:after="0"/>
              <w:rPr>
                <w:sz w:val="14"/>
                <w:szCs w:val="14"/>
                <w:color w:val="auto"/>
              </w:rPr>
            </w:pPr>
          </w:p>
        </w:tc>
        <w:tc>
          <w:tcPr>
            <w:tcW w:w="17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8,730</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Warrants</w:t>
            </w:r>
          </w:p>
        </w:tc>
        <w:tc>
          <w:tcPr>
            <w:tcW w:w="1240" w:type="dxa"/>
            <w:vAlign w:val="bottom"/>
            <w:vMerge w:val="restart"/>
          </w:tcPr>
          <w:p>
            <w:pPr>
              <w:ind w:left="560"/>
              <w:spacing w:after="0"/>
              <w:rPr>
                <w:sz w:val="20"/>
                <w:szCs w:val="20"/>
                <w:color w:val="auto"/>
              </w:rPr>
            </w:pPr>
            <w:r>
              <w:rPr>
                <w:rFonts w:ascii="Courier New" w:cs="Courier New" w:eastAsia="Courier New" w:hAnsi="Courier New"/>
                <w:sz w:val="14"/>
                <w:szCs w:val="14"/>
                <w:color w:val="auto"/>
                <w:w w:val="98"/>
              </w:rPr>
              <w: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8,095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1240" w:type="dxa"/>
            <w:vAlign w:val="bottom"/>
            <w:vMerge w:val="continue"/>
          </w:tcPr>
          <w:p>
            <w:pPr>
              <w:spacing w:after="0"/>
              <w:rPr>
                <w:sz w:val="14"/>
                <w:szCs w:val="1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$ 0.39</w:t>
            </w:r>
          </w:p>
        </w:tc>
        <w:tc>
          <w:tcPr>
            <w:tcW w:w="0" w:type="dxa"/>
            <w:vAlign w:val="bottom"/>
          </w:tcPr>
          <w:p>
            <w:pPr>
              <w:spacing w:after="0"/>
              <w:rPr>
                <w:sz w:val="1"/>
                <w:szCs w:val="1"/>
                <w:color w:val="auto"/>
              </w:rPr>
            </w:pPr>
          </w:p>
        </w:tc>
      </w:tr>
      <w:tr>
        <w:trPr>
          <w:trHeight w:val="166"/>
        </w:trPr>
        <w:tc>
          <w:tcPr>
            <w:tcW w:w="2040" w:type="dxa"/>
            <w:vAlign w:val="bottom"/>
            <w:vMerge w:val="continue"/>
          </w:tcPr>
          <w:p>
            <w:pPr>
              <w:spacing w:after="0"/>
              <w:rPr>
                <w:sz w:val="14"/>
                <w:szCs w:val="14"/>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$216,454</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563,569</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5"/>
              </w:rPr>
              <w:t>-7-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Contingencies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monitoring and maintenance requirements at facilities or locations that are no longer in operation. Due to a number of uncertainties, including uncertainty of timing, future technology, regulatory changes and other factors, it is possible that the ultimate costs may exceed the amounts estimated. However, in the opinion of management, such additional costs are not expected to be material relative to consolidated liquidity, financial position or future results of operations.</w:t>
      </w:r>
    </w:p>
    <w:p>
      <w:pPr>
        <w:spacing w:after="0" w:line="249" w:lineRule="exact"/>
        <w:rPr>
          <w:sz w:val="20"/>
          <w:szCs w:val="20"/>
          <w:color w:val="auto"/>
        </w:rPr>
      </w:pPr>
    </w:p>
    <w:p>
      <w:pPr>
        <w:ind w:right="3419"/>
        <w:spacing w:after="0" w:line="284" w:lineRule="auto"/>
        <w:rPr>
          <w:sz w:val="20"/>
          <w:szCs w:val="20"/>
          <w:color w:val="auto"/>
        </w:rPr>
      </w:pPr>
      <w:r>
        <w:rPr>
          <w:rFonts w:ascii="Courier New" w:cs="Courier New" w:eastAsia="Courier New" w:hAnsi="Courier New"/>
          <w:sz w:val="14"/>
          <w:szCs w:val="14"/>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OFFSHORE CONTRACT DRILLING BUSINESS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On July 12, 1999, Schlumberger Limited and Transocean Offshore Inc. announced the signing of a definitive merger agreement under which the offshore contract drilling business of Schlumberger (Sedco Forex Offshore) will be spun off and promptly combined with Transocean Offshore in a merger of equals. The transaction is expected to close by December 31, 1999.</w:t>
      </w:r>
    </w:p>
    <w:p>
      <w:pPr>
        <w:spacing w:after="0" w:line="62"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4"/>
          <w:szCs w:val="14"/>
          <w:color w:val="auto"/>
        </w:rPr>
        <w:t>Under the proposed agreement, Schlumberger stockholders will own 52 percent of the fully diluted stock in the resulting company, Transocean Sedco Forex Inc. Assuming the outstanding fully diluted share count of Transocean Offshore on June 30, 1999 (approximately 101 million shares), Schlumberger stockholders would receive approximately 109 million shares in the resulting company. Based on the Schlumberger shares outstanding on June 30, 1999, Schlumberger stockholders would receive approximately 1 newly issued Transocean Sedco Forex share for every 5 Schlumberger shares held. The 109 million shares to be issued for the transaction would be valued at approximately $3.2 billion using the closing price of Transocean Offshore stock on July 9, 1999, the last full trading day prior to the announcement of the transaction. The fully diluted ratio of ownership in the stock of the resulting company is fixed and not subject to adjustment. The spin-off and the merger transactions are expected to be free of US federal income taxes and will be accounted for as a purchase with Sedco Forex Offshore as the accounting acquirer.</w:t>
      </w:r>
    </w:p>
    <w:p>
      <w:pPr>
        <w:spacing w:after="0" w:line="83" w:lineRule="exact"/>
        <w:rPr>
          <w:sz w:val="20"/>
          <w:szCs w:val="20"/>
          <w:color w:val="auto"/>
        </w:rPr>
      </w:pPr>
    </w:p>
    <w:p>
      <w:pPr>
        <w:ind w:right="3339"/>
        <w:spacing w:after="0" w:line="299" w:lineRule="auto"/>
        <w:rPr>
          <w:sz w:val="20"/>
          <w:szCs w:val="20"/>
          <w:color w:val="auto"/>
        </w:rPr>
      </w:pPr>
      <w:r>
        <w:rPr>
          <w:rFonts w:ascii="Courier New" w:cs="Courier New" w:eastAsia="Courier New" w:hAnsi="Courier New"/>
          <w:sz w:val="14"/>
          <w:szCs w:val="14"/>
          <w:color w:val="auto"/>
        </w:rPr>
        <w:t>The agreement has been approved by the Board of Directors of Transocean Offshore and Schlumberger, and is subject to the approval of the stockholders of both companies as well as regulatory approvals and other customary closing conditions.</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SEGMENT INFORMATION (1)</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(Stated in millions)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Six Months 1999</w:t>
            </w:r>
          </w:p>
        </w:tc>
        <w:tc>
          <w:tcPr>
            <w:tcW w:w="16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North</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Latin</w:t>
            </w:r>
          </w:p>
        </w:tc>
        <w:tc>
          <w:tcPr>
            <w:tcW w:w="2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Europe</w:t>
            </w:r>
          </w:p>
        </w:tc>
        <w:tc>
          <w:tcPr>
            <w:tcW w:w="2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Other</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Camco</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Elims/</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Total</w:t>
            </w:r>
          </w:p>
        </w:tc>
        <w:tc>
          <w:tcPr>
            <w:tcW w:w="6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RMS</w:t>
            </w:r>
          </w:p>
        </w:tc>
        <w:tc>
          <w:tcPr>
            <w:tcW w:w="3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95"/>
              </w:rPr>
              <w:t>T&amp;T</w:t>
            </w:r>
          </w:p>
        </w:tc>
        <w:tc>
          <w:tcPr>
            <w:tcW w:w="12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w w:val="99"/>
              </w:rPr>
              <w:t>Elims/</w:t>
            </w:r>
          </w:p>
        </w:tc>
        <w:tc>
          <w:tcPr>
            <w:tcW w:w="136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Consolidated</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America</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America</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CIS/W. Afr.</w:t>
            </w:r>
          </w:p>
        </w:tc>
        <w:tc>
          <w:tcPr>
            <w:tcW w:w="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Eastern</w:t>
            </w:r>
          </w:p>
        </w:tc>
        <w:tc>
          <w:tcPr>
            <w:tcW w:w="780" w:type="dxa"/>
            <w:vAlign w:val="bottom"/>
            <w:vMerge w:val="continue"/>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OFS</w:t>
            </w:r>
          </w:p>
        </w:tc>
        <w:tc>
          <w:tcPr>
            <w:tcW w:w="6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Other</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21"/>
                <w:szCs w:val="21"/>
                <w:color w:val="auto"/>
              </w:rPr>
            </w:pPr>
          </w:p>
        </w:tc>
        <w:tc>
          <w:tcPr>
            <w:tcW w:w="930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894</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$3,268</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13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$4,481</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080" w:type="dxa"/>
            <w:vAlign w:val="bottom"/>
            <w:vMerge w:val="continue"/>
          </w:tcPr>
          <w:p>
            <w:pPr>
              <w:spacing w:after="0"/>
              <w:rPr>
                <w:sz w:val="21"/>
                <w:szCs w:val="21"/>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284</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Income Tax Expense (2)</w:t>
            </w:r>
          </w:p>
        </w:tc>
        <w:tc>
          <w:tcPr>
            <w:tcW w:w="160" w:type="dxa"/>
            <w:vAlign w:val="bottom"/>
          </w:tcPr>
          <w:p>
            <w:pPr>
              <w:spacing w:after="0"/>
              <w:rPr>
                <w:sz w:val="22"/>
                <w:szCs w:val="22"/>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22"/>
                <w:szCs w:val="22"/>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spacing w:after="0"/>
              <w:rPr>
                <w:sz w:val="22"/>
                <w:szCs w:val="22"/>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spacing w:after="0"/>
              <w:rPr>
                <w:sz w:val="22"/>
                <w:szCs w:val="22"/>
                <w:color w:val="auto"/>
              </w:rPr>
            </w:pPr>
          </w:p>
        </w:tc>
        <w:tc>
          <w:tcPr>
            <w:tcW w:w="1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Pretax Operating Income</w:t>
            </w: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$ 26</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359</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Income</w:t>
            </w: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0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112</w:t>
            </w:r>
          </w:p>
        </w:tc>
        <w:tc>
          <w:tcPr>
            <w:tcW w:w="0" w:type="dxa"/>
            <w:vAlign w:val="bottom"/>
          </w:tcPr>
          <w:p>
            <w:pPr>
              <w:spacing w:after="0"/>
              <w:rPr>
                <w:sz w:val="1"/>
                <w:szCs w:val="1"/>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First Quarter Charge</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Pretax Income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295</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
                <w:szCs w:val="1"/>
                <w:color w:val="auto"/>
              </w:rPr>
              <w:t>-----------------------------------------------------------------------------------------------</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Six Months 1998</w:t>
            </w:r>
          </w:p>
        </w:tc>
        <w:tc>
          <w:tcPr>
            <w:tcW w:w="16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North</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Latin</w:t>
            </w:r>
          </w:p>
        </w:tc>
        <w:tc>
          <w:tcPr>
            <w:tcW w:w="2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Europe</w:t>
            </w:r>
          </w:p>
        </w:tc>
        <w:tc>
          <w:tcPr>
            <w:tcW w:w="26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Other</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Camco</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Elims/</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Total</w:t>
            </w:r>
          </w:p>
        </w:tc>
        <w:tc>
          <w:tcPr>
            <w:tcW w:w="6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RMS</w:t>
            </w:r>
          </w:p>
        </w:tc>
        <w:tc>
          <w:tcPr>
            <w:tcW w:w="3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95"/>
              </w:rPr>
              <w:t>T&amp;T</w:t>
            </w:r>
          </w:p>
        </w:tc>
        <w:tc>
          <w:tcPr>
            <w:tcW w:w="1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Elims/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America</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America</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CIS/W. Afr.</w:t>
            </w:r>
          </w:p>
        </w:tc>
        <w:tc>
          <w:tcPr>
            <w:tcW w:w="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Eastern</w:t>
            </w:r>
          </w:p>
        </w:tc>
        <w:tc>
          <w:tcPr>
            <w:tcW w:w="780" w:type="dxa"/>
            <w:vAlign w:val="bottom"/>
            <w:vMerge w:val="continue"/>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OFS</w:t>
            </w:r>
          </w:p>
        </w:tc>
        <w:tc>
          <w:tcPr>
            <w:tcW w:w="6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Other(3) Consolidated</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21"/>
                <w:szCs w:val="21"/>
                <w:color w:val="auto"/>
              </w:rPr>
            </w:pPr>
          </w:p>
        </w:tc>
        <w:tc>
          <w:tcPr>
            <w:tcW w:w="930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8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$1,157</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w:t>
            </w:r>
          </w:p>
        </w:tc>
        <w:tc>
          <w:tcPr>
            <w:tcW w:w="1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$1,229</w:t>
            </w:r>
          </w:p>
        </w:tc>
        <w:tc>
          <w:tcPr>
            <w:tcW w:w="9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$1,107</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$4,600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$725</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$639</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w:t>
            </w:r>
          </w:p>
        </w:tc>
        <w:tc>
          <w:tcPr>
            <w:tcW w:w="13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w w:val="95"/>
              </w:rPr>
              <w:t>$6,108</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080" w:type="dxa"/>
            <w:vAlign w:val="bottom"/>
            <w:vMerge w:val="continue"/>
          </w:tcPr>
          <w:p>
            <w:pPr>
              <w:spacing w:after="0"/>
              <w:rPr>
                <w:sz w:val="21"/>
                <w:szCs w:val="21"/>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$ 83</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43$(33)</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87"/>
              </w:rPr>
              <w:t>748</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60" w:type="dxa"/>
            <w:vAlign w:val="bottom"/>
          </w:tcPr>
          <w:p>
            <w:pPr>
              <w:spacing w:after="0"/>
              <w:rPr>
                <w:sz w:val="22"/>
                <w:szCs w:val="22"/>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22"/>
                <w:szCs w:val="22"/>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w:t>
            </w:r>
          </w:p>
        </w:tc>
        <w:tc>
          <w:tcPr>
            <w:tcW w:w="260" w:type="dxa"/>
            <w:vAlign w:val="bottom"/>
          </w:tcPr>
          <w:p>
            <w:pPr>
              <w:spacing w:after="0"/>
              <w:rPr>
                <w:sz w:val="22"/>
                <w:szCs w:val="22"/>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260" w:type="dxa"/>
            <w:vAlign w:val="bottom"/>
          </w:tcPr>
          <w:p>
            <w:pPr>
              <w:spacing w:after="0"/>
              <w:rPr>
                <w:sz w:val="22"/>
                <w:szCs w:val="22"/>
                <w:color w:val="auto"/>
              </w:rPr>
            </w:pPr>
          </w:p>
        </w:tc>
        <w:tc>
          <w:tcPr>
            <w:tcW w:w="110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87"/>
              </w:rPr>
              <w:t>236</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Pretax Operating Income</w:t>
            </w:r>
          </w:p>
        </w:tc>
        <w:tc>
          <w:tcPr>
            <w:tcW w:w="9460" w:type="dxa"/>
            <w:vAlign w:val="bottom"/>
            <w:gridSpan w:val="17"/>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335</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$ 31</w:t>
            </w:r>
          </w:p>
        </w:tc>
        <w:tc>
          <w:tcPr>
            <w:tcW w:w="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$ 61</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87"/>
              </w:rPr>
              <w:t>984</w:t>
            </w:r>
          </w:p>
        </w:tc>
        <w:tc>
          <w:tcPr>
            <w:tcW w:w="0" w:type="dxa"/>
            <w:vAlign w:val="bottom"/>
          </w:tcPr>
          <w:p>
            <w:pPr>
              <w:spacing w:after="0"/>
              <w:rPr>
                <w:sz w:val="1"/>
                <w:szCs w:val="1"/>
                <w:color w:val="auto"/>
              </w:rPr>
            </w:pPr>
          </w:p>
        </w:tc>
      </w:tr>
      <w:tr>
        <w:trPr>
          <w:trHeight w:val="242"/>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Income</w:t>
            </w:r>
          </w:p>
        </w:tc>
        <w:tc>
          <w:tcPr>
            <w:tcW w:w="8100" w:type="dxa"/>
            <w:vAlign w:val="bottom"/>
            <w:gridSpan w:val="15"/>
          </w:tcPr>
          <w:p>
            <w:pPr>
              <w:ind w:left="8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1"/>
                <w:szCs w:val="21"/>
                <w:color w:val="auto"/>
              </w:rPr>
            </w:pPr>
          </w:p>
        </w:tc>
        <w:tc>
          <w:tcPr>
            <w:tcW w:w="110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65</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(47)</w:t>
            </w:r>
          </w:p>
        </w:tc>
        <w:tc>
          <w:tcPr>
            <w:tcW w:w="0" w:type="dxa"/>
            <w:vAlign w:val="bottom"/>
          </w:tcPr>
          <w:p>
            <w:pPr>
              <w:spacing w:after="0"/>
              <w:rPr>
                <w:sz w:val="1"/>
                <w:szCs w:val="1"/>
                <w:color w:val="auto"/>
              </w:rPr>
            </w:pPr>
          </w:p>
        </w:tc>
      </w:t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Pretax Income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w w:val="95"/>
              </w:rPr>
              <w:t>$1,002</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
                <w:szCs w:val="1"/>
                <w:color w:val="auto"/>
              </w:rPr>
              <w:t>---------------------------------------------------------------------------------------------</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500" w:right="4640" w:hanging="338"/>
        <w:spacing w:after="0" w:line="263" w:lineRule="auto"/>
        <w:tabs>
          <w:tab w:leader="none" w:pos="25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prior periods have been restated to reflect the 1998 acquisition of Camco International Inc., which was accounted for as a pooling of interests.</w:t>
      </w:r>
    </w:p>
    <w:p>
      <w:pPr>
        <w:spacing w:after="0" w:line="1" w:lineRule="exact"/>
        <w:rPr>
          <w:rFonts w:ascii="Courier New" w:cs="Courier New" w:eastAsia="Courier New" w:hAnsi="Courier New"/>
          <w:sz w:val="14"/>
          <w:szCs w:val="14"/>
          <w:color w:val="auto"/>
        </w:rPr>
      </w:pPr>
    </w:p>
    <w:p>
      <w:pPr>
        <w:ind w:left="2500" w:right="4980" w:hanging="338"/>
        <w:spacing w:after="0" w:line="250" w:lineRule="auto"/>
        <w:tabs>
          <w:tab w:leader="none" w:pos="25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excludes a net charge of $4 million related to the first quarter charge and gain on sale of financial instruments.</w:t>
      </w:r>
    </w:p>
    <w:p>
      <w:pPr>
        <w:spacing w:after="0" w:line="1" w:lineRule="exact"/>
        <w:rPr>
          <w:rFonts w:ascii="Courier New" w:cs="Courier New" w:eastAsia="Courier New" w:hAnsi="Courier New"/>
          <w:sz w:val="14"/>
          <w:szCs w:val="14"/>
          <w:color w:val="auto"/>
        </w:rPr>
      </w:pPr>
    </w:p>
    <w:p>
      <w:pPr>
        <w:ind w:left="2500" w:right="4980" w:hanging="338"/>
        <w:spacing w:after="0" w:line="336" w:lineRule="auto"/>
        <w:tabs>
          <w:tab w:leader="none" w:pos="25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Retail Petroleum Services business sold on October 1, 1998.</w:t>
      </w:r>
    </w:p>
    <w:p>
      <w:pPr>
        <w:spacing w:after="0" w:line="27" w:lineRule="exact"/>
        <w:rPr>
          <w:sz w:val="20"/>
          <w:szCs w:val="20"/>
          <w:color w:val="auto"/>
        </w:rPr>
      </w:pPr>
    </w:p>
    <w:p>
      <w:pPr>
        <w:ind w:right="4640"/>
        <w:spacing w:after="0" w:line="376"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REVIEW</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(Stated in millions)</w:t>
            </w: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Oilfield</w:t>
            </w:r>
          </w:p>
        </w:tc>
        <w:tc>
          <w:tcPr>
            <w:tcW w:w="104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Resource</w:t>
            </w:r>
          </w:p>
        </w:tc>
        <w:tc>
          <w:tcPr>
            <w:tcW w:w="600" w:type="dxa"/>
            <w:vAlign w:val="bottom"/>
          </w:tcPr>
          <w:p>
            <w:pPr>
              <w:spacing w:after="0"/>
              <w:rPr>
                <w:sz w:val="24"/>
                <w:szCs w:val="24"/>
                <w:color w:val="auto"/>
              </w:rPr>
            </w:pPr>
          </w:p>
        </w:tc>
        <w:tc>
          <w:tcPr>
            <w:tcW w:w="134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Test &amp;</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Management</w:t>
            </w:r>
          </w:p>
        </w:tc>
        <w:tc>
          <w:tcPr>
            <w:tcW w:w="6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Services</w:t>
            </w:r>
          </w:p>
        </w:tc>
        <w:tc>
          <w:tcPr>
            <w:tcW w:w="10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Services</w:t>
            </w:r>
          </w:p>
        </w:tc>
        <w:tc>
          <w:tcPr>
            <w:tcW w:w="60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Transactions(2)</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vMerge w:val="restart"/>
          </w:tcPr>
          <w:p>
            <w:pPr>
              <w:spacing w:after="0"/>
              <w:rPr>
                <w:sz w:val="20"/>
                <w:szCs w:val="20"/>
                <w:color w:val="auto"/>
              </w:rPr>
            </w:pPr>
            <w:r>
              <w:rPr>
                <w:rFonts w:ascii="Courier New" w:cs="Courier New" w:eastAsia="Courier New" w:hAnsi="Courier New"/>
                <w:sz w:val="14"/>
                <w:szCs w:val="14"/>
                <w:color w:val="auto"/>
              </w:rPr>
              <w:t>Second Quarter</w:t>
            </w:r>
          </w:p>
        </w:tc>
        <w:tc>
          <w:tcPr>
            <w:tcW w:w="91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1680" w:type="dxa"/>
            <w:vAlign w:val="bottom"/>
            <w:vMerge w:val="continue"/>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ind w:left="860"/>
              <w:spacing w:after="0"/>
              <w:rPr>
                <w:sz w:val="20"/>
                <w:szCs w:val="20"/>
                <w:color w:val="auto"/>
              </w:rPr>
            </w:pPr>
            <w:r>
              <w:rPr>
                <w:rFonts w:ascii="Courier New" w:cs="Courier New" w:eastAsia="Courier New" w:hAnsi="Courier New"/>
                <w:sz w:val="14"/>
                <w:szCs w:val="14"/>
                <w:color w:val="auto"/>
                <w:w w:val="99"/>
              </w:rPr>
              <w:t>% Chg</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 Chg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 Chg</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Pretax Operating</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160</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479</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Income(1)</w:t>
            </w:r>
          </w:p>
        </w:tc>
        <w:tc>
          <w:tcPr>
            <w:tcW w:w="5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0"/>
                <w:szCs w:val="20"/>
                <w:color w:val="auto"/>
              </w:rPr>
            </w:pPr>
            <w:r>
              <w:rPr>
                <w:rFonts w:ascii="Courier New" w:cs="Courier New" w:eastAsia="Courier New" w:hAnsi="Courier New"/>
                <w:sz w:val="14"/>
                <w:szCs w:val="14"/>
                <w:color w:val="auto"/>
              </w:rPr>
              <w:t>Six Months</w:t>
            </w: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3,268</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4,600</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687</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725</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526</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639</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5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Pretax Operating</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372</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956</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(84)%</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Income(1)</w:t>
            </w:r>
          </w:p>
        </w:tc>
        <w:tc>
          <w:tcPr>
            <w:tcW w:w="5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590" w:right="139" w:bottom="1440" w:gutter="0" w:footer="0" w:header="0"/>
        </w:sectPr>
      </w:pPr>
    </w:p>
    <w:bookmarkStart w:id="9" w:name="page10"/>
    <w:bookmarkEnd w:id="9"/>
    <w:p>
      <w:pPr>
        <w:ind w:right="3519" w:firstLine="8"/>
        <w:spacing w:after="0" w:line="270"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operating income represents income before taxes, excluding interest expense, interest and other income and the first quarter 1999 charge.</w:t>
      </w:r>
    </w:p>
    <w:p>
      <w:pPr>
        <w:ind w:right="3519" w:firstLine="8"/>
        <w:spacing w:after="0" w:line="336"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periods exclude the Retail Petroleum Services business sold on October 1, 1998.</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Management's Discussion and Analysis of Financial Condition and Results</w:t>
      </w:r>
    </w:p>
    <w:p>
      <w:pPr>
        <w:spacing w:after="0" w:line="3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Second Quarter 1999 Compared to Second Quarter 1998</w:t>
      </w:r>
    </w:p>
    <w:p>
      <w:pPr>
        <w:spacing w:after="0" w:line="3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Second quarter operating revenue of $2.17 billion was 29% below second quarter 1998. Net income and diluted earnings per share were $127 million and $0.23, both 67% lower than the same period last year.</w:t>
      </w:r>
    </w:p>
    <w:p>
      <w:pPr>
        <w:spacing w:after="0" w:line="4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Oilfield Services revenue decreased 32%, while the rig count fell 34%. Revenue fell in all the geographic regions and across all Oilfield Services activities.</w:t>
      </w:r>
    </w:p>
    <w:p>
      <w:pPr>
        <w:spacing w:after="0" w:line="1"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Resource Management Services revenue was down 6%. Test &amp; Transactions revenue was 22% lower than in the second quarter of 1998 as Smart Cards &amp; Terminals and Automated Test Equipment (ATE) revenue decreased.</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OILFIELD SERVICES</w:t>
      </w:r>
    </w:p>
    <w:p>
      <w:pPr>
        <w:spacing w:after="0" w:line="173"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Oilfield Services operating revenue declined 32% during the second quarter of 1999 as the rig count decreased 34%. Revenue decreased in all major geographic regions and across all oilfield services. Pretax operating income fell 67%. Geographical comments exclude Camco, which is reported separately.</w:t>
      </w:r>
    </w:p>
    <w:p>
      <w:pPr>
        <w:spacing w:after="0" w:line="56"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On July 12, Schlumberger and Transocean Offshore Inc. announced the signing of a definitive merger agreement under which the offshore contract drilling business of Schlumberger (Sedco Forex Offshore) will be spun off and promptly combined with Transocean Offshore in a merger of equals. The resulting company, Transocean Sedco Forex Inc., will be the world's largest offshore drilling company and is projected to become the fourth largest oilfield service company in terms of market capitalization. This strategic move will permit Schlumberger Oilfield Services GeoMarkets to increase their concentration on value-added reservoir optimization services.</w:t>
      </w:r>
    </w:p>
    <w:p>
      <w:pPr>
        <w:spacing w:after="0" w:line="74"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On July 14, Schlumberger and Smith International announced the completion of a restructured transaction related to the combination of their drilling fluids operations except for Schlumberger's US drilling fluids assets and operations under a joint venture agreement. The joint venture will form the largest drilling and completion fluids business in the world. The United States Department of Justice, in a contempt petition dated July 27, 1999, seeking criminal and civil penalties, has challenged this transaction for allegedly violating a 1994 civil consent decree in a proceeding to which Schlumberger was not a party. Schlumberger and Smith are vigorously contesting this challenge.</w:t>
      </w:r>
    </w:p>
    <w:p>
      <w:pPr>
        <w:spacing w:after="0" w:line="74"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Further demonstrating the Schlumberger focus on reservoir optimization, Schlumberger signed a letter of intent on July 8, to acquire Calgary-based Merak, a market leader in petroleum software solutions for economic evaluation, decision and risk analysis, field optimization and data visualization. In addition, on June 30, Schlumberger acquired substantially all of the assets of Calgary-based Panther Software Corporation, a provider of hardware and software products and services for managing, indexing, loading and cataloging large volumes of seismic data throughout the seismic data lifecycle.</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North America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99"/>
        <w:spacing w:after="0" w:line="275" w:lineRule="auto"/>
        <w:rPr>
          <w:sz w:val="20"/>
          <w:szCs w:val="20"/>
          <w:color w:val="auto"/>
        </w:rPr>
      </w:pPr>
      <w:r>
        <w:rPr>
          <w:rFonts w:ascii="Courier New" w:cs="Courier New" w:eastAsia="Courier New" w:hAnsi="Courier New"/>
          <w:sz w:val="14"/>
          <w:szCs w:val="14"/>
          <w:color w:val="auto"/>
        </w:rPr>
        <w:t>In North America, quarterly revenue of $320 million declined 43%, as the rig count fell 40%. Pretax operating income fell 92%. All parts of North America experienced weakness except Eastern Canada. Recently introduced technologies such as ClearFrac* fracturing fluid and PowerJet* perforating services, whose revenue is growing due to premium pricing, are having a positive impact on results linked to the improvement of customers' reservoir productivity.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In Latin America, quarterly revenue of $227 million declined 31% over the same quarter last year as the rig count dropped 29%. Pretax operating income decreased 79%. All areas were affected by the downturn, although relatively stable deepwater drilling contracts and data management revenue growth softened the impact of reduced activity.</w:t>
      </w:r>
    </w:p>
    <w:p>
      <w:pPr>
        <w:spacing w:after="0" w:line="62"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The new Schlumberger seismic vessel, Geco Eagle, has broken several world records during its first acquisition job in Brazil. The vessel took fewer than seven days between deploying the first streamer section and recording the first commercial 10-streamer production. Now in full production, Geco Eagle is the first vessel in the world to deploy 60 km (37.3 mi) of streamer. Geco Eagle has also achieved the biggest single-vessel tow, ten 6000-m (3.73-mi) streamers, as well as the largest footprint ever recorded.</w:t>
      </w:r>
    </w:p>
    <w:p>
      <w:pPr>
        <w:spacing w:after="0" w:line="7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Schlumberger also recently helped advance the industry record for extended-reach drilling beyond 10,585 m (34,728 ft) in Argentina. The well was drilled and cased in 128 days and reached a total depth of 11,184 m (36,693 ft), a world record in itself for slim holes.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Quarterly revenue of $416 million declined 33% as the rig count fell 32% (rig count changes exclude the CIS). Pretax operating income decreased 82%. On June 30, Schlumberger acquired a majority interest in Caspian Geophysical, the leading provider of marine seismic acquisition services in the Caspian Sea. This company will now offer a substantially expanded array of seismic services, including the immediate addition to its fleet of the world-class marine seismic vessel Geco Gamma.</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Quarterly revenue of $423 million declined 25% as the rig count declined 20%. Pretax operating income decreased 42%. Activity fell across the region with the exception of data management, which continued to grow in Asia. Activity in East Asia benefited from strong growth in MAXPRO* production services.</w:t>
      </w:r>
    </w:p>
    <w:p>
      <w:pPr>
        <w:spacing w:after="0" w:line="5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Revolutionary CHFR* cased hole formation resistivity technology was successfully used to log a well in the Middle East. This breakthrough technology allows formation measurements to be made in wells that have already been cased in order to evaluate production performance and increase ultimate reservoir recovery.</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Camco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Quarterly revenue of $177 million declined 19%, and pretax operating income decreased 51%. Activity decreased in all regions, except in the Middle East-Africa region for Reed-Hycalog, in Europe for Camco Products &amp; Services and in the US and Venezuela for Production Operators, Inc.</w:t>
      </w:r>
    </w:p>
    <w:p>
      <w:pPr>
        <w:spacing w:after="0" w:line="56"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Production Operators' revenue increased significantly over second quarter 1998 levels, reflecting continued expansion of its services in the US and Latin America. This growth is driven by customers' increased outsourcing of their gas compression requirements as they seek flexibility in gas compression assets and improved performance to reduce overall costs.</w:t>
      </w:r>
    </w:p>
    <w:p>
      <w:pPr>
        <w:spacing w:after="0" w:line="62"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In Venezuela, Production Operators was awarded a $75-million gas compression contract for the 7000-hp expansion of a customer's existing compression facilities. The scope of work includes a 15-year operation and maintenance contract for the existing facility plus the expansion. Production Operators also signed an alliance agreement for compression services in South Texas. The agreement term is three years, and revenue should exceed $10 million. Reda received its first performance-based contract in Indonesia for installing submersible pumps in up to 45 wells. This project is based on a technically challenging and innovative application of submersible pumps.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Drilling Activity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19"/>
        <w:spacing w:after="0" w:line="264" w:lineRule="auto"/>
        <w:rPr>
          <w:sz w:val="20"/>
          <w:szCs w:val="20"/>
          <w:color w:val="auto"/>
        </w:rPr>
      </w:pPr>
      <w:r>
        <w:rPr>
          <w:rFonts w:ascii="Courier New" w:cs="Courier New" w:eastAsia="Courier New" w:hAnsi="Courier New"/>
          <w:sz w:val="14"/>
          <w:szCs w:val="14"/>
          <w:color w:val="auto"/>
        </w:rPr>
        <w:t>The offshore rig utilization rate was 76%, compared with 94% over the same period last year. The semisubmersible utilization rate decreased from 97% to 74%, while jackup utilization declined from 100% to 83%. The industry offshore rig utilization continued to fall during the second quarter of 1999, dropping from 95% in the second quarter last year to 69% this year. At the end of June 1999, the Schlumberger offshore fleet comprised 49 rigs, which included 24 semisubmersibles, 16 jackups, 2 drillships, 4 tenders and 3 lake barges. Sedco Forex Offshore revenue and net income in the quarter were $165 million and $34 million, respectively, compared with $278 million and $104 million, respectively, last year.</w:t>
      </w:r>
    </w:p>
    <w:p>
      <w:pPr>
        <w:spacing w:after="0" w:line="77"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Onshore utilization fell to 44% from 97% a year ago. At June 30, the land fleet consisted of 35 rigs, which included 6 swamp barges and 29 land rigs.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173"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Resource Management Services (RMS) recorded a 6% decline in revenue in the second quarter compared with last year. Orders increased 2%. Pretax operating income included a charge of $15 million ($11 million after tax) due to the write-off of certain assets, including a provision for the divestiture of a small business.</w:t>
      </w:r>
    </w:p>
    <w:p>
      <w:pPr>
        <w:spacing w:after="0" w:line="6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Revenue was up 1% in North America. Electricity and water meter factories continued to work at record levels, due mainly to a strong new housing market in the US and Canada, as well as to new and substantial meter replacement programs initiated by utilities. Orders in North America were up 13% compared with last year. Supporting the trend toward integrated solutions contracting, a leading utility in the US selected RMS as preferred vendor to provide automatic meter reading (AMR) services for more than two million electric and gas meters. In addition, RMS won an important universal water meter system contract to supply</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2" w:name="page13"/>
    <w:bookmarkEnd w:id="12"/>
    <w:p>
      <w:pPr>
        <w:ind w:right="3519"/>
        <w:spacing w:after="0" w:line="313" w:lineRule="auto"/>
        <w:rPr>
          <w:sz w:val="20"/>
          <w:szCs w:val="20"/>
          <w:color w:val="auto"/>
        </w:rPr>
      </w:pPr>
      <w:r>
        <w:rPr>
          <w:rFonts w:ascii="Courier New" w:cs="Courier New" w:eastAsia="Courier New" w:hAnsi="Courier New"/>
          <w:sz w:val="14"/>
          <w:szCs w:val="14"/>
          <w:color w:val="auto"/>
        </w:rPr>
        <w:t>residential and industrial meters to the City of Niagara Falls. There was also strong market interest for our newly introduced R900* radio-frequency water meter system, used to provide drive-by reading services.</w:t>
      </w:r>
    </w:p>
    <w:p>
      <w:pPr>
        <w:spacing w:after="0" w:line="42"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In Europe, revenue was down 5%, due to a negative currency effect from a stronger US dollar, to poor business conditions in the CIS, and to a decline in activity for services in the UK and for electricity and gas businesses in Germany. However, UK gas and water activity grew, as did the electricity business in France and Spain. Orders were down 6% overall due to currency erosion, economic conditions in the CIS, softness in Germany and postponement to the third quarter of a large electricity contract in Italy, but were higher in the electricity markets in France, Spain and The Netherlands. RMS won a major contract to supply 20,000 Gallus* 2000 meters equipped with radio communication modules developed jointly with Itron. The contract is the largest remote meter reading project for natural gas in France.</w:t>
      </w:r>
    </w:p>
    <w:p>
      <w:pPr>
        <w:spacing w:after="0" w:line="76"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South American second quarter revenue fell 18% compared with last year, while orders increased 6%. The drop in revenue reflected a significant falloff in Brazil's domestic activity due to wide-scale public spending cuts and the devaluation of the national currency. RMS received a significant order for AMR service to monitor electricity transmissions at border points in Brazil.</w:t>
      </w:r>
    </w:p>
    <w:p>
      <w:pPr>
        <w:spacing w:after="0" w:line="62"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In Asia, second quarter revenue was up 27%, reflecting both a return of some investment to the region after the economic downturn last year and continued growth in export deliveries. Shipments of water meters commenced from a new factory in South Australia. Orders were 106% higher than in the second quarter of 1998.</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Test &amp; Transactions orders, including customer solutions activities, were up 11% compared with the same quarter last year and up 2% over last quarter. Revenue decreased 22% versus last year and 5% versus the first quarter of 1999.</w:t>
      </w:r>
    </w:p>
    <w:p>
      <w:pPr>
        <w:spacing w:after="0" w:line="42"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Smart Cards &amp; Terminals orders decreased 2% versus last year and increased 4% over last quarter. Orders for cards were up significantly year over year, with strong bookings in Europe for our recently introduced Cyberflex Simera* high-capacity, multiapplication smart card. Financial banking card orders grew strongly due to groundbreaking orders.</w:t>
      </w:r>
    </w:p>
    <w:p>
      <w:pPr>
        <w:spacing w:after="0" w:line="6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Smart Cards &amp; Terminals revenue was 5% below last year and 2% above last quarter, mainly due to lower payphone sales in Europe. Smart cards revenue in the second quarter was even with last year as an increase in Europe was offset by a decrease in North America. Revenue in Asia was flat compared with last year as an increase in unit volumes was offset by a decline in pricing.</w:t>
      </w:r>
    </w:p>
    <w:p>
      <w:pPr>
        <w:spacing w:after="0" w:line="6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Prepaid phone card sales grew in China, Mexico and South America. Smart card revenue improvement in Europe was led by higher GSM-SIM (subscriber identity module) card sales. Asian smart card volumes increased as several Chinese banks standardized on the Qianflex* banking smart card. A major financial cards issuer in the US placed a significant first order as part of a new branded smart card loyalty program. The program takes advantage of the smart card's ability to deliver more information about cardholders' transactions. A total of 1.5 million cards will be delivered in the initial rollout.</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0" w:right="1440" w:bottom="1440" w:gutter="0" w:footer="0" w:header="0"/>
        </w:sectPr>
      </w:pPr>
    </w:p>
    <w:bookmarkStart w:id="13" w:name="page14"/>
    <w:bookmarkEnd w:id="13"/>
    <w:p>
      <w:pPr>
        <w:ind w:right="3419"/>
        <w:spacing w:after="0" w:line="271" w:lineRule="auto"/>
        <w:rPr>
          <w:sz w:val="20"/>
          <w:szCs w:val="20"/>
          <w:color w:val="auto"/>
        </w:rPr>
      </w:pPr>
      <w:r>
        <w:rPr>
          <w:rFonts w:ascii="Courier New" w:cs="Courier New" w:eastAsia="Courier New" w:hAnsi="Courier New"/>
          <w:sz w:val="14"/>
          <w:szCs w:val="14"/>
          <w:color w:val="auto"/>
        </w:rPr>
        <w:t>Compared with last year, Municipalities (Parking and Mass Transit) showed solid revenue growth. The Municipalities business provides city councils and local governments throughout the world with integrated smart card-based solutions for mass transit, parking and telecommunications. During the quarter, projects were awarded by Belgium Railways and the Parisian Regional Transport Authority. In addition, a new integrated fare ticketing system was successfully installed in London.</w:t>
      </w:r>
    </w:p>
    <w:p>
      <w:pPr>
        <w:spacing w:after="0" w:line="72"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Automated Test Equipment (ATE) orders were up 39% over the same period last year and down 2% compared with last quarter. Orders for all major product lines grew compared with year-ago levels. Several new products in each business segment were commercially launched. Investments made to broaden our product portfolio produced incremental orders across the front-end and back-end semiconductor manufacturing chain. System-On-Chip (SOC) [mixed signal] Testers, Verification Systems and Automated Systems all showed increased orders due to new product introductions. Test systems experienced the highest order rate since the first quarter of 1998, resulting from increased demand by our two largest customers. Multiple system orders for the new RDX2200* series of RDRAM** memory test systems were received from memory manufacturers in Korea, Japan and North America. The RDX2200 series is the most cost-effective RDRAM test solution available and provides the industry's highest level of yield-producing accuracy and throughput performance. Schlumberger is well positioned to lead this new memory test technology market.</w:t>
      </w:r>
    </w:p>
    <w:p>
      <w:pPr>
        <w:spacing w:after="0" w:line="254" w:lineRule="exact"/>
        <w:rPr>
          <w:sz w:val="20"/>
          <w:szCs w:val="20"/>
          <w:color w:val="auto"/>
        </w:rPr>
      </w:pPr>
    </w:p>
    <w:p>
      <w:pPr>
        <w:ind w:right="4199"/>
        <w:spacing w:after="0" w:line="375" w:lineRule="auto"/>
        <w:rPr>
          <w:sz w:val="20"/>
          <w:szCs w:val="20"/>
          <w:color w:val="auto"/>
        </w:rPr>
      </w:pPr>
      <w:r>
        <w:rPr>
          <w:rFonts w:ascii="Courier New" w:cs="Courier New" w:eastAsia="Courier New" w:hAnsi="Courier New"/>
          <w:sz w:val="14"/>
          <w:szCs w:val="14"/>
          <w:color w:val="auto"/>
        </w:rPr>
        <w:t>ATE revenue for the second quarter declined 50% year over year and 19% sequentially, primarily due to the decreased backlog entering 1999.</w:t>
      </w:r>
    </w:p>
    <w:p>
      <w:pPr>
        <w:spacing w:after="0" w:line="1"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SABER* (Schlumberger Advanced Business Engineering Resources), the semiconductor customer solutions business, continued to grow substantially. To meet customer requirements for reducing time-to-market, eight SABER Technology Centers will open during 1999. The second facility, the Silicon Valley Technology Center in California, opened in the second quarter. This Technology Center offers Rambus** characterization and fabless supply chain services related to the manufacture of RDRAM, ASIC and SOC devices.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Interest and other income increased $20 million from the same period last year primarily due to a $23 million increase in interest income (higher average investment balances). Gross margin decreased from 28% to 22%. Research and engineering expense declined 14% from last year representing 5.9% of operating revenue compared with 4.9% in 1998. Marketing expense was down 9%. General expense, expressed as a percentage of operating revenue, increased from 3.7% to 4.5%. Interest expense increased $25 million due to significantly higher debt balances relating to the financing of the Camco merger. Effective tax rate of 17% decreased six percentage points from last year.</w:t>
      </w:r>
    </w:p>
    <w:p>
      <w:pPr>
        <w:spacing w:after="0" w:line="7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First Half 1999 Compared to First Half 1998</w:t>
      </w:r>
    </w:p>
    <w:p>
      <w:pPr>
        <w:spacing w:after="0" w:line="3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First half operating revenue of $4.48 billion was 27% lower than the same period last year. Before the first quarter charge, net income and diluted earnings per share were $307 million and $0.55, both 60% below the same period last year.</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5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OILFIELD SERVICES</w:t>
      </w:r>
    </w:p>
    <w:p>
      <w:pPr>
        <w:spacing w:after="0" w:line="173"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Oilfield Services revenue decreased 29%, while the rig count fell 34%. Revenue decreased in all the geographic regions and across all Oilfield Services activities. Pretax operating income was down 61%. The following geographic comments exclude Camco, which is reported separately.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Revenue of $667 million decreased 42% compared with the first six months of 1998, and pretax operating income was down 91%. The rig count declined 41%. All areas of North America experienced weakness, except for Eastern Canada. US Land market suffered the steepest declines. New technologies, such as the PS PLATFORM* production suite and PowerJet* shaped charges, which improve overall production performance for clients and command a premium price, have softened the impact on profitability.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Latin American revenue of $437 million declined 34% from last year, and pretax operating income decreased 77%. The rig count declined 32%. All areas experienced revenue shortfalls with marine seismic suffering the largest declines while Argentina and Venezuela declined less than other areas. Contract drilling revenue was in line with last year due to ongoing deepwater contracts. Revenue from data management services increased as client interest in integrated applications and solutions continues to grow.</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Revenue of $890 million fell 28% compared with the prior year. Pretax operating income decreased 72%. U.K. and West &amp; South Africa were severely impacted by the activity downturn.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Revenue of $894 million declined 19% from the same period last year, and pretax operating income decreased 35%. Activity was weak in all regions with the exception of data management, which is driven by higher growth in Asia.</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Camco</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Revenue of $364 million declined 16%, and pretax operating income decreased 47% compared with the prior year.</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Production Operators' revenue increased 31% following strong demand in gas compression in the US and Latin America. Camco was awarded two large contracts by Venezuela to construct and service gas compression facilities.</w:t>
      </w:r>
    </w:p>
    <w:p>
      <w:pPr>
        <w:spacing w:after="0" w:line="4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After successfully drilling the world's longest extended-reach multilateral well at Wytch Farm in the UK, Schlumberger installed its first Camco intelligent completion in this oil field. This technology allows production to be independently controlled in both lateral wells using three Camco downhole flow-control modules.</w:t>
      </w:r>
    </w:p>
    <w:p>
      <w:pPr>
        <w:spacing w:after="0" w:line="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173"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Resource Management Services revenue was down 5% compared with the first six months of 1998, due to weak market conditions in South America. Orders declined 15%. Pretax operating loss included a charge of $15 million ($11 million after tax) due to the write-off of certain assets, including a provision for the divestiture of a small business.</w:t>
      </w:r>
    </w:p>
    <w:p>
      <w:pPr>
        <w:spacing w:after="0" w:line="6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Revenue in North America rose 3%. A strong housing market in the US and Canada has boosted the demand for electricity and water meters. Sales also increased in the replacement market for more advanced and high-accuracy QUANTUM* Q1000 electricity meters and in sales of water products in Mexico. Orders were down from last year, which included a large order from Illinois Power. Revenue from South America dropped 29% while orders declined 23%, following market uncertainty relating to the budget cuts and currency devaluation in Brazil.</w:t>
      </w:r>
    </w:p>
    <w:p>
      <w:pPr>
        <w:spacing w:after="0" w:line="7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 Europe, revenue was 4% below last year partly due to a strong US dollar. Lower service and maintenance revenues in the UK, reduced demand for electricity and gas products in Germany and poor economic conditions in the CIS also contributed to the decline. Orders were 3% lower than last year mainly due to the above mentioned countries.</w:t>
      </w:r>
    </w:p>
    <w:p>
      <w:pPr>
        <w:spacing w:after="0" w:line="6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Asia revenue increased 22% reflecting an improved economy in the region with growth in shipments of residential electricity meters to Taiwan and commercial and industrial meters to Thailand. Orders were up 67% from last year.</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173" w:lineRule="exact"/>
        <w:rPr>
          <w:sz w:val="20"/>
          <w:szCs w:val="20"/>
          <w:color w:val="auto"/>
        </w:rPr>
      </w:pPr>
    </w:p>
    <w:p>
      <w:pPr>
        <w:ind w:right="3859"/>
        <w:spacing w:after="0" w:line="313" w:lineRule="auto"/>
        <w:rPr>
          <w:sz w:val="20"/>
          <w:szCs w:val="20"/>
          <w:color w:val="auto"/>
        </w:rPr>
      </w:pPr>
      <w:r>
        <w:rPr>
          <w:rFonts w:ascii="Courier New" w:cs="Courier New" w:eastAsia="Courier New" w:hAnsi="Courier New"/>
          <w:sz w:val="14"/>
          <w:szCs w:val="14"/>
          <w:color w:val="auto"/>
        </w:rPr>
        <w:t>Revenue was down 18% from last year reflecting disappointing results in Automated Test Equipment (ATE) due to a slow recovery in the semiconductor industry. Orders were down 3%.</w:t>
      </w:r>
    </w:p>
    <w:p>
      <w:pPr>
        <w:spacing w:after="0" w:line="4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Smart Cards &amp; Terminals revenue rose 4% over the same period last year, mainly due to higher subscriber identity module-based (SIM) card sales, including the first deliveries of the latest high-capacity multiapplication CyberflexSimera* smart card. Asian smart card revenue grew as a result of the first Qianflex* smart card sales in China and improved sales of phone cards. Sales in Municipalities (Parking and Mass Transit) rose strongly with higher shipments of the new, intelligent Stelio* parking systems.</w:t>
      </w:r>
    </w:p>
    <w:p>
      <w:pPr>
        <w:spacing w:after="0" w:line="72"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Revenue for ATE declined 49% compared with last year. Orders at ATE were up 71% compared to the previous six months. Diagnostic system orders increased as a result of the introduction of the IDS2000* probe system and engineering tool. Orders also grew strongly in telecom systems. Revenue benefited from growth in SABER* (Schlumberger Advanced Business Engineering Resources) activity, which provides innovative business and engineering services to help semiconductor manufacturers increase productivity.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Interest and other income increased $152 million from the same period last year primarily due to a $103 million gain on sale of financial instruments relating to the sale of Retail Petroleum Systems, and a $50 million increase in interest income (higher average investment balances). Excluding the first quarter charge, gross margin decreased from 28% to 23%. Research and engineering expense declined 10% from last year representing 5.9% of operating revenue compared with 4.8% in 1998. Marketing expense was down 8%. General expense, expressed as a percentage of operating revenue, increased from 3.7% to 4.5%. Interest expense increased $53 million due to significantly higher debt balances relating to the financing of the Camco merger. Effective tax rate of 20% decreased four percentage point from last year.</w:t>
      </w:r>
    </w:p>
    <w:p>
      <w:pPr>
        <w:spacing w:after="0" w:line="7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NEW ACCOUNTING STANDARDS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In 1998, the Company adopted SFAS 131, "Disclosures about Segments of an Enterprise and Related Information." All prior periods have been restated. For details, see "Segment Information" on page 9 of this 10-Q report.</w:t>
      </w:r>
    </w:p>
    <w:p>
      <w:pPr>
        <w:spacing w:after="0" w:line="42"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In June 1998, the Financial Accounting Standards Board (FASB) issued SFAS 133, "Accounting for Derivative Instruments and Hedging Activities," which requires that the Company recognize all derivative instruments as either assets or liabilities in the statement of financial position and measure those instruments at fair value. The standard is effective in the year 2001 for the Company. Occasionally, the Company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such as seismic vessels and drilling rigs. The Company does not anticipate that the implementation of the new standard will have a material effect on the consolidated financial position and results of operations.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READINESS DISCLOSURE</w:t>
      </w:r>
    </w:p>
    <w:p>
      <w:pPr>
        <w:spacing w:after="0" w:line="33"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The "Year 2000 issue" is the inability of computers and computing technology to process the Year 2000 date change correctly. The Company recognizes that the Year 2000 issue creates a significant uncertainty to its business, and has a proactive, Company-wide Year 2000 Readiness Program (the "Program").</w:t>
      </w:r>
    </w:p>
    <w:p>
      <w:pPr>
        <w:spacing w:after="0" w:line="56"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As part of the Program, most non-ready systems have been replaced or upgraded with new systems that will provide certain competitive benefits, as well as ensure Year 2000 readiness to minimize customer and shareholder business disruptions caused by this issue. A Company-wide task force was formed in late 1997 to provide guidance to the Company's business units and monitor progress of the Program. The Company has also consulted with and engaged various third parties, including outside consultants and service providers, to assist the Company in its Program efforts.</w:t>
      </w:r>
    </w:p>
    <w:p>
      <w:pPr>
        <w:spacing w:after="0" w:line="246"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In 1994, the Company decided to upgrade its main internal business systems with Year 2000-ready programs. The planned upgrades will be completed in September 1999. Those aspects of the Company's internal business systems that are not scheduled to be covered by this upgrade effort are being separately addressed through an upgrade of existing legacy systems to Year 2000-ready status. These upgrades also will be completed in September 1999.</w:t>
      </w:r>
    </w:p>
    <w:p>
      <w:pPr>
        <w:spacing w:after="0" w:line="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17" w:name="page18"/>
    <w:bookmarkEnd w:id="17"/>
    <w:p>
      <w:pPr>
        <w:ind w:right="3339"/>
        <w:spacing w:after="0" w:line="269" w:lineRule="auto"/>
        <w:rPr>
          <w:sz w:val="20"/>
          <w:szCs w:val="20"/>
          <w:color w:val="auto"/>
        </w:rPr>
      </w:pPr>
      <w:r>
        <w:rPr>
          <w:rFonts w:ascii="Courier New" w:cs="Courier New" w:eastAsia="Courier New" w:hAnsi="Courier New"/>
          <w:sz w:val="14"/>
          <w:szCs w:val="14"/>
          <w:color w:val="auto"/>
        </w:rPr>
        <w:t>Due to the Company's centralized engineering/manufacturing profile, more than 80% of Year 2000 efforts affecting products and services have been concentrated in our major engineering and manufacturing sites. The Year 2000 readiness of the Company's key products and services was over 90% complete as of July 1999 and the remaining products and services are expected to be Year 2000 ready in September 1999. A Year 2000 Quality Assurance Program is in place to maintain strong project discipline and to monitor and report Program issues and progress to management.</w:t>
      </w:r>
    </w:p>
    <w:p>
      <w:pPr>
        <w:spacing w:after="0" w:line="24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Company's field operating units have been actively involved in a Year 2000 Field Readiness program since October 1998 to cover key business applications, products and services not covered by the engineering/manufacturing efforts. This program is 75% complete and is expected to be completed in September 1999.</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 Description</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The Program uses a business risk assessment and prioritization approach and is intended to produce Year 2000-ready products/services and to minimize disruptions in business operations. The Program is divided into three major readiness categories: Assets, Information Technology (IT) and Commercial. Within each category, there are two Program stages.</w:t>
      </w:r>
    </w:p>
    <w:p>
      <w:pPr>
        <w:spacing w:after="0" w:line="62" w:lineRule="exact"/>
        <w:rPr>
          <w:sz w:val="20"/>
          <w:szCs w:val="20"/>
          <w:color w:val="auto"/>
        </w:rPr>
      </w:pPr>
    </w:p>
    <w:p>
      <w:pPr>
        <w:ind w:left="180" w:right="3159" w:hanging="172"/>
        <w:spacing w:after="0" w:line="277"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Stage I: Assessment and Preparation - this stage focuses on up-front planning, data gathering and correction planning. This includes raising Year 2000 awareness; carrying out a detailed business unit asset inventory; assessing the scope of the Year 2000 problem; determining appropriate corrections, testing/validation, acceptance and deployment approaches; and preparing project plans and budgets.</w:t>
      </w:r>
    </w:p>
    <w:p>
      <w:pPr>
        <w:spacing w:after="0" w:line="244" w:lineRule="exact"/>
        <w:rPr>
          <w:rFonts w:ascii="Courier New" w:cs="Courier New" w:eastAsia="Courier New" w:hAnsi="Courier New"/>
          <w:sz w:val="14"/>
          <w:szCs w:val="14"/>
          <w:color w:val="auto"/>
        </w:rPr>
      </w:pPr>
    </w:p>
    <w:p>
      <w:pPr>
        <w:ind w:left="180" w:right="3519" w:hanging="172"/>
        <w:spacing w:after="0" w:line="292"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Stage II: Repairs, Testing and Deployment - this stage focuses on "fixing" Year 2000 problems (and testing these fixes), followed by user-acceptance, redeployment and operational validation of the fixed (i.e., repaired, replaced, etc.) systems.</w:t>
      </w:r>
    </w:p>
    <w:p>
      <w:pPr>
        <w:spacing w:after="0" w:line="56"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Assets. This category consists of (1) products and services the Company either sells or uses to provide services to our customers, and (2) hardware and software associated with embedded computer chips that are used in the operation of our products and facilities. Program progress under this category is on schedule. The activities related to Year 2000 readiness of assets are more than 90% complete as of March 1999 with the remainder expected to be Year 2000 ready in September 1999.</w:t>
      </w:r>
    </w:p>
    <w:p>
      <w:pPr>
        <w:spacing w:after="0" w:line="72"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Information Technology. This category deals with traditional IT infrastructure, such as business applications, computer hardware/software, IT networks and communication equipment. The implementation of the MFG/PRO*** system is complete. Implementation of the SAP**** system should be completed in the US and Canada by October 1999. The Company intends to repair associated legacy systems outside the US and Canada. This plan uses independent contractors, legacy system vendors and Company employees to rewrite and test certain software modules. This program is on schedule and expected to conclude in September 1999. The activities associated with other systems in this IT category (computer hardware/software, IT networks and communications equipment) also are on schedule. Stage I activities have been completed and Stage II activities are expected to be concluded in August 1999.</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18" w:name="page19"/>
    <w:bookmarkEnd w:id="18"/>
    <w:p>
      <w:pPr>
        <w:ind w:right="3339"/>
        <w:spacing w:after="0" w:line="253" w:lineRule="auto"/>
        <w:rPr>
          <w:sz w:val="20"/>
          <w:szCs w:val="20"/>
          <w:color w:val="auto"/>
        </w:rPr>
      </w:pPr>
      <w:r>
        <w:rPr>
          <w:rFonts w:ascii="Courier New" w:cs="Courier New" w:eastAsia="Courier New" w:hAnsi="Courier New"/>
          <w:sz w:val="14"/>
          <w:szCs w:val="14"/>
          <w:color w:val="auto"/>
        </w:rPr>
        <w:t>Commercial. This category deals with the Company's efforts to avoid being adversely affected by Year 2000 issues from external entities (suppliers, financial institutions, service providers, etc.) not affiliated with the Company. Stage I of the Program includes a process for mitigating the Year 2000 issues associated with key suppliers. The Company is continuing to communicate with its key suppliers, business partners and customers seeking their assurances that they will be Year 2000 ready. Based on assessment of these responses the Company is developing contingency plans for those areas that pose significant risk from the Year 2000 issue; however, the Company could potentially experience disruptions to some aspects of its operations from non-compliant systems utilized by unrelated third-party entities. Work in this category is on schedule. The business units have completed their Stage I activities and Stage</w:t>
      </w:r>
    </w:p>
    <w:p>
      <w:pPr>
        <w:spacing w:after="0" w:line="7" w:lineRule="exact"/>
        <w:rPr>
          <w:sz w:val="20"/>
          <w:szCs w:val="20"/>
          <w:color w:val="auto"/>
        </w:rPr>
      </w:pPr>
    </w:p>
    <w:p>
      <w:pPr>
        <w:ind w:right="5239" w:firstLine="8"/>
        <w:spacing w:after="0" w:line="481" w:lineRule="auto"/>
        <w:tabs>
          <w:tab w:leader="none" w:pos="25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efforts are expected to be completed in September 1999. Contingency Planning</w:t>
      </w:r>
    </w:p>
    <w:p>
      <w:pPr>
        <w:spacing w:after="0" w:line="1"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The Company has reviewed the activities associated with each category and is determining those activities at risk or having the potential to cause business disruption. Appropriate contingency plans are being implemented for each of the "at risk" activities to minimize the effect of the potential Year 2000 disruption, both internally and on the Company's customers. Furthermore, a Year 2000 rollover plan is also being developed for any mission essential systems that will need to be live and supported over critical Year 2000 dates. As part of this plan, a Year 2000 helpdesk structure will be implemented throughout our global operations to support existing organizational structures in any potentially escalating Year 2000 issues during the critical millennium rollover period. This process will commence in the early hours of December 31, 1999 and continue for hours, days, or weeks as circumstances require.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Year 2000 Program funding requirements have been incorporated into the Company's capital and operating plans and are not expected to have an adverse material impact on the Company's financial condition, results of operations or liquidity. The Company estimates the cost of the Program to in the order of $60 million (approximately $52 million spent to date), with a breakdown of costs estimated at 34% for employee resources (approximately 130 man-years), 25% for IT-related upgrades and repair and 41% for non-IT embedded chip technology. It should be noted that these costs do not include the normal upgrading of business systems, products and applications already defined by our business plans.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Dates and schedules for the Company's Year 2000 Program are based on management's best estimates, which involve numerous assumptions, including, but not limited to, the results from Stage I assessments; the actual Stage II fixes; the continued availability of certain resources; third parties' Year 2000 status and plans; and other factors. There can be no guarantee that these estimates will be achieved, or that there will not be delays in, or increased costs associated with, implementation of the Year 2000 Program. Specific factors that might cause differences between present estimates and actual results include, but are not limited to, the availability and cost of skilled personnel, consultants, and independent contractors; the ability to locate and correct all relevant computer code; timely and effective action by third parties and suppliers; broad failures of customers' systems, or customer concerns for such possible failures, leading to customer decisions preventing the Company from providing services/products (which the Company otherwise would be capable of providing); and the failure, domestically and internationally, of third parties' systems.</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19" w:name="page20"/>
    <w:bookmarkEnd w:id="19"/>
    <w:p>
      <w:pPr>
        <w:ind w:right="3519"/>
        <w:spacing w:after="0" w:line="263" w:lineRule="auto"/>
        <w:rPr>
          <w:sz w:val="20"/>
          <w:szCs w:val="20"/>
          <w:color w:val="auto"/>
        </w:rPr>
      </w:pPr>
      <w:r>
        <w:rPr>
          <w:rFonts w:ascii="Courier New" w:cs="Courier New" w:eastAsia="Courier New" w:hAnsi="Courier New"/>
          <w:sz w:val="14"/>
          <w:szCs w:val="14"/>
          <w:color w:val="auto"/>
        </w:rPr>
        <w:t>Because of the general uncertainty inherent in the Year 2000 issues (partially attributable to the interconnection of global businesses), the Company cannot confidently predict its ability to resolve appropriately all Year 2000 issues that may affect its operations and business or expose it to third-party liability. The failure to correct a Year 2000 problem could result in an interruption in, or a failure of, certain normal business activities or operations. Such failures could materially and adversely affect the Company's operations, liquidity and financial condition. Because of the uncertainties described above, the Company presently is unable to determine whether the consequences of such Year 2000 failures will have a material impact on the Company's results of operations, liquidity or financial condition.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DISCLOSURES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this date, the conversion rates of the national currencies of the eleven member states adopting the euro were fixed irrevocably. The national currencies will initially remain in circulation as nondecimal sub-units of the euro and will be replaced by euro bills and coins by July 2002. During the transition period between January 1999 and January 2002, public and private parties may pay for goods and services using either the euro or the national currency on a "no compulsion, no prohibition" basis.</w:t>
      </w:r>
    </w:p>
    <w:p>
      <w:pPr>
        <w:spacing w:after="0" w:line="74"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A Euro Readiness Program has been established throughout Schlumberger to ensure that all business segments meet the euro requirements. To this effect, a Euro Steering Committee has been established and, to maintain focus on the Schlumberger euro implementation program, project teams have been set up throughout the Company. Euro implementation plans cover both phases of the euro implementation. Initially these plans will ensure that, progressively through 1999, all business units of Schlumberger will be able to transact in the euro. Thereafter, ensuring that during the transitional period all corporate, financial, commercial, employment and other documentation that refer to the participating currencies are converted to the euro in accordance with the regulatory requirements.</w:t>
      </w:r>
    </w:p>
    <w:p>
      <w:pPr>
        <w:spacing w:after="0" w:line="76"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During the transition period conversion rates can no longer be computed directly from one participating currency to another. Instead, a triangulation algorithm will be applied which requires that national currency amounts be converted first to the euro according to the fixed conversion rates before being converted into the second national currency. This requires specific conversion modules to be included in business information systems. Furthermore, such programs will be required to provide the additional functionality needed to convert all participating currency-denominated financial data to the euro. A review of all financial information systems has commenced and their functionality for processing euro transactions is being tested.</w:t>
      </w:r>
    </w:p>
    <w:p>
      <w:pPr>
        <w:spacing w:after="0" w:line="77"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Schlumberger recognizes that the euro will affect its various businesses differently. Oilfield Services operates in an essentially US dollar-denominated environment in which the introduction of the euro is expected to have limited consequences. Test &amp; Transactions will be affected in terms of the ability of products such as smart cards and terminals to process euro transactions. Resource Management Systems, which has now set up a pan-European manufacturing structure covering all European Union markets, expects to participate in the general growth generated by the euro.</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20" w:name="page21"/>
    <w:bookmarkEnd w:id="20"/>
    <w:p>
      <w:pPr>
        <w:ind w:right="3339"/>
        <w:spacing w:after="0" w:line="275" w:lineRule="auto"/>
        <w:rPr>
          <w:sz w:val="20"/>
          <w:szCs w:val="20"/>
          <w:color w:val="auto"/>
        </w:rPr>
      </w:pPr>
      <w:r>
        <w:rPr>
          <w:rFonts w:ascii="Courier New" w:cs="Courier New" w:eastAsia="Courier New" w:hAnsi="Courier New"/>
          <w:sz w:val="14"/>
          <w:szCs w:val="14"/>
          <w:color w:val="auto"/>
        </w:rPr>
        <w:t>The increased price transparency created by the euro accompanied by deregulation and increased competition among our customers, the utilities, should also contribute to providing new Solutions opportunities in these businesses. The full assessment of the effects the euro will have on each business segment is incomplete and, hence, the Company cannot as yet make a final conclusion on the anticipated business impact the introduction of the single currency will have.</w:t>
      </w:r>
    </w:p>
    <w:p>
      <w:pPr>
        <w:spacing w:after="0" w:line="69"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Based upon results to date, the Company believes that the implementation of the euro can be performed according to the time frame defined by the European Union. The Company does not expect the total cost of addressing this issue to be material to financial condition, results of operations and liquidity. This cost estimate does not include the normal upgrading of business and financial systems that would be euro ready.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The Company cautions that, except for the historical information and discussions contained herein, statements in this 10-Q report and elsewhere may constitute forward-looking statements. These include statements as to expectations, beliefs and future financial performance, such as statements regarding business prospects in the key industries in which the Company operates and growth opportunities for the Company in those industries. These statements involve a number of risks, uncertainties, assumptions and other factors that could cause actual results to differ materially from those in the forward-looking statements. Such factors include: the extent and duration of the recovery in oil prices, continuing customer commitment to certain key oilfield projects, growth in demand for RDRAM memory devices and mixed signal devices produced by the Company's test equipment customers, general economic and business conditions in key regions of the world, and changes in business strategy or development plans relating to the Company's targeted growth opportunities.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Quantitative and Qualitative Disclosure about Market Risk.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The Company does not believe it has a material exposure to market risk. The Company manages the exposure to interest rate changes by using a mix of debt maturities and variable- and fixed-rate debt together with interest rate swaps, where appropriate, to fix or lower borrowing costs. With regard to foreign currency fluctuations, the Company enters into various contracts, which change in value as foreign exchange rates change, to protect the value of external and intercompany transactions in foreign currencies. The Company does not enter into foreign currency or interest rate transactions for speculative purposes.</w:t>
      </w:r>
    </w:p>
    <w:p>
      <w:pPr>
        <w:spacing w:after="0" w:line="74" w:lineRule="exact"/>
        <w:rPr>
          <w:sz w:val="20"/>
          <w:szCs w:val="20"/>
          <w:color w:val="auto"/>
        </w:rPr>
      </w:pPr>
    </w:p>
    <w:p>
      <w:pPr>
        <w:ind w:left="520" w:hanging="512"/>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 of Schlumberger</w:t>
      </w:r>
    </w:p>
    <w:p>
      <w:pPr>
        <w:spacing w:after="0" w:line="33" w:lineRule="exact"/>
        <w:rPr>
          <w:sz w:val="20"/>
          <w:szCs w:val="20"/>
          <w:color w:val="auto"/>
        </w:rPr>
      </w:pPr>
    </w:p>
    <w:p>
      <w:pPr>
        <w:ind w:left="520" w:hanging="512"/>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Rambus and RDRAM are registered trademarks of Rambus, Inc.</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MFG/PRO is a registered trademark of QAD</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SAP is a registered trademark of SAP AG</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21" w:name="page22"/>
    <w:bookmarkEnd w:id="21"/>
    <w:p>
      <w:pPr>
        <w:jc w:val="right"/>
        <w:ind w:right="5659"/>
        <w:spacing w:after="0"/>
        <w:tabs>
          <w:tab w:leader="none" w:pos="146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None</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0" w:right="1440" w:bottom="1440" w:gutter="0" w:footer="0" w:header="0"/>
        </w:sectPr>
      </w:pPr>
    </w:p>
    <w:bookmarkStart w:id="22" w:name="page23"/>
    <w:bookmarkEnd w:id="22"/>
    <w:p>
      <w:pPr>
        <w:ind w:left="3020"/>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440" w:right="3599"/>
        <w:spacing w:after="0" w:line="29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5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Schlumberger Limited</w:t>
      </w:r>
    </w:p>
    <w:p>
      <w:pPr>
        <w:spacing w:after="0" w:line="3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590"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right"/>
        <w:ind w:right="1780"/>
        <w:spacing w:after="0"/>
        <w:rPr>
          <w:sz w:val="20"/>
          <w:szCs w:val="20"/>
          <w:color w:val="auto"/>
        </w:rPr>
      </w:pPr>
      <w:r>
        <w:rPr>
          <w:rFonts w:ascii="Courier New" w:cs="Courier New" w:eastAsia="Courier New" w:hAnsi="Courier New"/>
          <w:sz w:val="14"/>
          <w:szCs w:val="14"/>
          <w:color w:val="auto"/>
        </w:rPr>
        <w:t>Date: August 13, 1999</w:t>
      </w:r>
    </w:p>
    <w:p>
      <w:pPr>
        <w:spacing w:after="0" w:line="33" w:lineRule="exact"/>
        <w:rPr>
          <w:sz w:val="20"/>
          <w:szCs w:val="20"/>
          <w:color w:val="auto"/>
        </w:rPr>
      </w:pPr>
    </w:p>
    <w:p>
      <w:pPr>
        <w:jc w:val="right"/>
        <w:ind w:right="1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Jack Liu</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Jack Liu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Accounting Officer</w:t>
      </w:r>
    </w:p>
    <w:p>
      <w:pPr>
        <w:spacing w:after="0" w:line="147" w:lineRule="exact"/>
        <w:rPr>
          <w:sz w:val="20"/>
          <w:szCs w:val="20"/>
          <w:color w:val="auto"/>
        </w:rPr>
      </w:pPr>
    </w:p>
    <w:p>
      <w:pPr>
        <w:sectPr>
          <w:pgSz w:w="11900" w:h="16838" w:orient="portrait"/>
          <w:cols w:equalWidth="0" w:num="2">
            <w:col w:w="3600" w:space="720"/>
            <w:col w:w="5919"/>
          </w:cols>
          <w:pgMar w:left="220" w:top="590"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type w:val="continuous"/>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19"/>
        <w:spacing w:after="0" w:line="375" w:lineRule="auto"/>
        <w:rPr>
          <w:sz w:val="20"/>
          <w:szCs w:val="20"/>
          <w:color w:val="auto"/>
        </w:rPr>
      </w:pPr>
      <w:r>
        <w:rPr>
          <w:rFonts w:ascii="Courier New" w:cs="Courier New" w:eastAsia="Courier New" w:hAnsi="Courier New"/>
          <w:sz w:val="14"/>
          <w:szCs w:val="14"/>
          <w:color w:val="auto"/>
        </w:rPr>
        <w:t>THIS SCHEDULE CONATINS SUMMARY FINANCIAL INFORMATION EXTRACTED FROM FORM 10Q AND IS QUALIFIED IN ITS ENTIRETY BY REFERENCE TO SUCH FINANCIAL STATEMENTS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6-MOS</w:t>
      </w:r>
    </w:p>
    <w:p>
      <w:pPr>
        <w:spacing w:after="0" w:line="33"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JAN-01-1999</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JUN-30-1999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4,022,846</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2,749,856</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(91,818)</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1,330,656</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8,566,903</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11,828,886</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(7,006,535)</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15,742,687</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3,630,047</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1,555,114</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6,589,676</w:t>
      </w:r>
    </w:p>
    <w:p>
      <w:pPr>
        <w:spacing w:after="0" w:line="7"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15,742,687</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1,589,294</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4,480,725</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1,073,736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3,637,975</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771,846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22,940</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94,739</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295,464</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79,010</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216,454</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216,454</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0.39</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0.39</w:t>
      </w:r>
    </w:p>
    <w:sectPr>
      <w:pgSz w:w="11900" w:h="16838" w:orient="portrait"/>
      <w:cols w:equalWidth="0" w:num="1">
        <w:col w:w="10199"/>
      </w:cols>
      <w:pgMar w:left="2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upperLetter"/>
      <w:start w:val="35"/>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2020-02-22T13:18:04Z</dcterms:created>
  <dcterms:modified xsi:type="dcterms:W3CDTF">2020-02-22T13:18:04Z</dcterms:modified>
</cp:coreProperties>
</file>