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2346325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60"/>
        <w:spacing w:after="0"/>
        <w:rPr>
          <w:sz w:val="20"/>
          <w:szCs w:val="20"/>
          <w:color w:val="auto"/>
        </w:rPr>
      </w:pPr>
      <w:r>
        <w:rPr>
          <w:rFonts w:ascii="Arial" w:cs="Arial" w:eastAsia="Arial" w:hAnsi="Arial"/>
          <w:sz w:val="32"/>
          <w:szCs w:val="32"/>
          <w:b w:val="1"/>
          <w:bCs w:val="1"/>
          <w:color w:val="auto"/>
        </w:rPr>
        <w:t>FORM 8-K</w:t>
      </w:r>
    </w:p>
    <w:p>
      <w:pPr>
        <w:spacing w:after="0" w:line="158" w:lineRule="exact"/>
        <w:rPr>
          <w:sz w:val="24"/>
          <w:szCs w:val="24"/>
          <w:color w:val="auto"/>
        </w:rPr>
      </w:pPr>
    </w:p>
    <w:p>
      <w:pPr>
        <w:jc w:val="center"/>
        <w:ind w:right="-160"/>
        <w:spacing w:after="0"/>
        <w:rPr>
          <w:sz w:val="20"/>
          <w:szCs w:val="20"/>
          <w:color w:val="auto"/>
        </w:rPr>
      </w:pPr>
      <w:r>
        <w:rPr>
          <w:rFonts w:ascii="Arial" w:cs="Arial" w:eastAsia="Arial" w:hAnsi="Arial"/>
          <w:sz w:val="24"/>
          <w:szCs w:val="24"/>
          <w:b w:val="1"/>
          <w:bCs w:val="1"/>
          <w:color w:val="auto"/>
        </w:rPr>
        <w:t>CURRENT REPORT</w:t>
      </w:r>
    </w:p>
    <w:p>
      <w:pPr>
        <w:spacing w:after="0" w:line="157" w:lineRule="exact"/>
        <w:rPr>
          <w:sz w:val="24"/>
          <w:szCs w:val="24"/>
          <w:color w:val="auto"/>
        </w:rPr>
      </w:pPr>
    </w:p>
    <w:p>
      <w:pPr>
        <w:jc w:val="center"/>
        <w:ind w:right="-16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16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Date of Report (date of earliest event reported): January 29,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2346325</wp:posOffset>
            </wp:positionH>
            <wp:positionV relativeFrom="paragraph">
              <wp:posOffset>177800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60"/>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160"/>
        <w:spacing w:after="0"/>
        <w:rPr>
          <w:sz w:val="20"/>
          <w:szCs w:val="20"/>
          <w:color w:val="auto"/>
        </w:rPr>
      </w:pPr>
      <w:r>
        <w:rPr>
          <w:rFonts w:ascii="Arial" w:cs="Arial" w:eastAsia="Arial" w:hAnsi="Arial"/>
          <w:sz w:val="43"/>
          <w:szCs w:val="43"/>
          <w:b w:val="1"/>
          <w:bCs w:val="1"/>
          <w:color w:val="auto"/>
        </w:rPr>
        <w:t>(SCHLUMBERGER LIMITED)</w:t>
      </w:r>
    </w:p>
    <w:p>
      <w:pPr>
        <w:jc w:val="center"/>
        <w:ind w:right="-16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460" w:type="dxa"/>
            <w:vAlign w:val="bottom"/>
          </w:tcPr>
          <w:p>
            <w:pPr>
              <w:jc w:val="center"/>
              <w:ind w:right="1678"/>
              <w:spacing w:after="0"/>
              <w:rPr>
                <w:sz w:val="20"/>
                <w:szCs w:val="20"/>
                <w:color w:val="auto"/>
              </w:rPr>
            </w:pPr>
            <w:r>
              <w:rPr>
                <w:rFonts w:ascii="Arial" w:cs="Arial" w:eastAsia="Arial" w:hAnsi="Arial"/>
                <w:sz w:val="18"/>
                <w:szCs w:val="18"/>
                <w:b w:val="1"/>
                <w:bCs w:val="1"/>
                <w:color w:val="auto"/>
                <w:w w:val="88"/>
              </w:rPr>
              <w:t>Netherlands Antilles</w:t>
            </w:r>
          </w:p>
        </w:tc>
        <w:tc>
          <w:tcPr>
            <w:tcW w:w="2820" w:type="dxa"/>
            <w:vAlign w:val="bottom"/>
          </w:tcPr>
          <w:p>
            <w:pPr>
              <w:jc w:val="right"/>
              <w:ind w:right="1222"/>
              <w:spacing w:after="0"/>
              <w:rPr>
                <w:sz w:val="20"/>
                <w:szCs w:val="20"/>
                <w:color w:val="auto"/>
              </w:rPr>
            </w:pPr>
            <w:r>
              <w:rPr>
                <w:rFonts w:ascii="Arial" w:cs="Arial" w:eastAsia="Arial" w:hAnsi="Arial"/>
                <w:sz w:val="18"/>
                <w:szCs w:val="18"/>
                <w:b w:val="1"/>
                <w:bCs w:val="1"/>
                <w:color w:val="auto"/>
              </w:rPr>
              <w:t>1-4601</w:t>
            </w:r>
          </w:p>
        </w:tc>
        <w:tc>
          <w:tcPr>
            <w:tcW w:w="2800" w:type="dxa"/>
            <w:vAlign w:val="bottom"/>
          </w:tcPr>
          <w:p>
            <w:pPr>
              <w:jc w:val="center"/>
              <w:ind w:left="168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3460" w:type="dxa"/>
            <w:vAlign w:val="bottom"/>
          </w:tcPr>
          <w:p>
            <w:pPr>
              <w:jc w:val="center"/>
              <w:ind w:right="1658"/>
              <w:spacing w:after="0" w:line="149" w:lineRule="exact"/>
              <w:rPr>
                <w:sz w:val="20"/>
                <w:szCs w:val="20"/>
                <w:color w:val="auto"/>
              </w:rPr>
            </w:pPr>
            <w:r>
              <w:rPr>
                <w:rFonts w:ascii="Arial" w:cs="Arial" w:eastAsia="Arial" w:hAnsi="Arial"/>
                <w:sz w:val="14"/>
                <w:szCs w:val="14"/>
                <w:b w:val="1"/>
                <w:bCs w:val="1"/>
                <w:color w:val="auto"/>
                <w:w w:val="87"/>
              </w:rPr>
              <w:t>(State or other</w:t>
            </w:r>
          </w:p>
        </w:tc>
        <w:tc>
          <w:tcPr>
            <w:tcW w:w="282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800" w:type="dxa"/>
            <w:vAlign w:val="bottom"/>
          </w:tcPr>
          <w:p>
            <w:pPr>
              <w:jc w:val="center"/>
              <w:ind w:left="1681"/>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460" w:type="dxa"/>
            <w:vAlign w:val="bottom"/>
          </w:tcPr>
          <w:p>
            <w:pPr>
              <w:jc w:val="center"/>
              <w:ind w:right="1678"/>
              <w:spacing w:after="0"/>
              <w:rPr>
                <w:sz w:val="20"/>
                <w:szCs w:val="20"/>
                <w:color w:val="auto"/>
              </w:rPr>
            </w:pPr>
            <w:r>
              <w:rPr>
                <w:rFonts w:ascii="Arial" w:cs="Arial" w:eastAsia="Arial" w:hAnsi="Arial"/>
                <w:sz w:val="14"/>
                <w:szCs w:val="14"/>
                <w:b w:val="1"/>
                <w:bCs w:val="1"/>
                <w:color w:val="auto"/>
                <w:w w:val="88"/>
              </w:rPr>
              <w:t>jurisdiction of incorporation)</w:t>
            </w:r>
          </w:p>
        </w:tc>
        <w:tc>
          <w:tcPr>
            <w:tcW w:w="2820" w:type="dxa"/>
            <w:vAlign w:val="bottom"/>
          </w:tcPr>
          <w:p>
            <w:pPr>
              <w:spacing w:after="0"/>
              <w:rPr>
                <w:sz w:val="15"/>
                <w:szCs w:val="15"/>
                <w:color w:val="auto"/>
              </w:rPr>
            </w:pPr>
          </w:p>
        </w:tc>
        <w:tc>
          <w:tcPr>
            <w:tcW w:w="2800" w:type="dxa"/>
            <w:vAlign w:val="bottom"/>
          </w:tcPr>
          <w:p>
            <w:pPr>
              <w:jc w:val="center"/>
              <w:ind w:left="1661"/>
              <w:spacing w:after="0"/>
              <w:rPr>
                <w:sz w:val="20"/>
                <w:szCs w:val="20"/>
                <w:color w:val="auto"/>
              </w:rPr>
            </w:pPr>
            <w:r>
              <w:rPr>
                <w:rFonts w:ascii="Arial" w:cs="Arial" w:eastAsia="Arial" w:hAnsi="Arial"/>
                <w:sz w:val="14"/>
                <w:szCs w:val="14"/>
                <w:b w:val="1"/>
                <w:bCs w:val="1"/>
                <w:color w:val="auto"/>
                <w:w w:val="89"/>
              </w:rPr>
              <w:t>Identification No.)</w:t>
            </w:r>
          </w:p>
        </w:tc>
      </w:tr>
      <w:tr>
        <w:trPr>
          <w:trHeight w:val="351"/>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153 East 53rd Street, 57th Floor</w:t>
            </w:r>
          </w:p>
        </w:tc>
        <w:tc>
          <w:tcPr>
            <w:tcW w:w="28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8"/>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New York</w:t>
            </w:r>
          </w:p>
        </w:tc>
        <w:tc>
          <w:tcPr>
            <w:tcW w:w="2820" w:type="dxa"/>
            <w:vAlign w:val="bottom"/>
          </w:tcPr>
          <w:p>
            <w:pPr>
              <w:spacing w:after="0"/>
              <w:rPr>
                <w:sz w:val="19"/>
                <w:szCs w:val="19"/>
                <w:color w:val="auto"/>
              </w:rPr>
            </w:pPr>
          </w:p>
        </w:tc>
        <w:tc>
          <w:tcPr>
            <w:tcW w:w="2800" w:type="dxa"/>
            <w:vAlign w:val="bottom"/>
          </w:tcPr>
          <w:p>
            <w:pPr>
              <w:jc w:val="right"/>
              <w:ind w:right="941"/>
              <w:spacing w:after="0"/>
              <w:rPr>
                <w:sz w:val="20"/>
                <w:szCs w:val="20"/>
                <w:color w:val="auto"/>
              </w:rPr>
            </w:pPr>
            <w:r>
              <w:rPr>
                <w:rFonts w:ascii="Arial" w:cs="Arial" w:eastAsia="Arial" w:hAnsi="Arial"/>
                <w:sz w:val="18"/>
                <w:szCs w:val="18"/>
                <w:b w:val="1"/>
                <w:bCs w:val="1"/>
                <w:color w:val="auto"/>
              </w:rPr>
              <w:t>10022-4624</w:t>
            </w:r>
          </w:p>
        </w:tc>
      </w:tr>
      <w:tr>
        <w:trPr>
          <w:trHeight w:val="420"/>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42, rue Saint-Dominique</w:t>
            </w:r>
          </w:p>
        </w:tc>
        <w:tc>
          <w:tcPr>
            <w:tcW w:w="28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8"/>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0"/>
              </w:rPr>
              <w:t>Paris, France</w:t>
            </w:r>
          </w:p>
        </w:tc>
        <w:tc>
          <w:tcPr>
            <w:tcW w:w="2820" w:type="dxa"/>
            <w:vAlign w:val="bottom"/>
          </w:tcPr>
          <w:p>
            <w:pPr>
              <w:spacing w:after="0"/>
              <w:rPr>
                <w:sz w:val="19"/>
                <w:szCs w:val="19"/>
                <w:color w:val="auto"/>
              </w:rPr>
            </w:pPr>
          </w:p>
        </w:tc>
        <w:tc>
          <w:tcPr>
            <w:tcW w:w="2800" w:type="dxa"/>
            <w:vAlign w:val="bottom"/>
          </w:tcPr>
          <w:p>
            <w:pPr>
              <w:jc w:val="right"/>
              <w:ind w:right="1141"/>
              <w:spacing w:after="0"/>
              <w:rPr>
                <w:sz w:val="20"/>
                <w:szCs w:val="20"/>
                <w:color w:val="auto"/>
              </w:rPr>
            </w:pPr>
            <w:r>
              <w:rPr>
                <w:rFonts w:ascii="Arial" w:cs="Arial" w:eastAsia="Arial" w:hAnsi="Arial"/>
                <w:sz w:val="18"/>
                <w:szCs w:val="18"/>
                <w:b w:val="1"/>
                <w:bCs w:val="1"/>
                <w:color w:val="auto"/>
              </w:rPr>
              <w:t>75007</w:t>
            </w:r>
          </w:p>
        </w:tc>
      </w:tr>
      <w:tr>
        <w:trPr>
          <w:trHeight w:val="420"/>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9"/>
              </w:rPr>
              <w:t>Parkstraat 83,</w:t>
            </w:r>
          </w:p>
        </w:tc>
        <w:tc>
          <w:tcPr>
            <w:tcW w:w="28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The Hague,</w:t>
            </w:r>
          </w:p>
        </w:tc>
        <w:tc>
          <w:tcPr>
            <w:tcW w:w="28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8"/>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9"/>
              </w:rPr>
              <w:t>The Netherlands</w:t>
            </w:r>
          </w:p>
        </w:tc>
        <w:tc>
          <w:tcPr>
            <w:tcW w:w="28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3460" w:type="dxa"/>
            <w:vAlign w:val="bottom"/>
          </w:tcPr>
          <w:p>
            <w:pPr>
              <w:jc w:val="center"/>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2820" w:type="dxa"/>
            <w:vAlign w:val="bottom"/>
          </w:tcPr>
          <w:p>
            <w:pPr>
              <w:spacing w:after="0"/>
              <w:rPr>
                <w:sz w:val="15"/>
                <w:szCs w:val="15"/>
                <w:color w:val="auto"/>
              </w:rPr>
            </w:pPr>
          </w:p>
        </w:tc>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86"/>
              </w:rPr>
              <w:t>(Zip or Postal Codes)</w:t>
            </w:r>
          </w:p>
        </w:tc>
      </w:tr>
    </w:tbl>
    <w:p>
      <w:pPr>
        <w:spacing w:after="0" w:line="121"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Registrant’s telephone number in the United States, including area code: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-656590</wp:posOffset>
            </wp:positionH>
            <wp:positionV relativeFrom="paragraph">
              <wp:posOffset>175895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179"/>
          </w:cols>
          <w:pgMar w:left="1280" w:top="503" w:right="1440"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w:t>
      </w:r>
      <w:r>
        <w:rPr>
          <w:sz w:val="20"/>
          <w:szCs w:val="20"/>
          <w:color w:val="auto"/>
        </w:rPr>
        <w:tab/>
      </w:r>
      <w:r>
        <w:rPr>
          <w:rFonts w:ascii="Arial" w:cs="Arial" w:eastAsia="Arial" w:hAnsi="Arial"/>
          <w:sz w:val="15"/>
          <w:szCs w:val="15"/>
          <w:b w:val="1"/>
          <w:bCs w:val="1"/>
          <w:color w:val="auto"/>
        </w:rPr>
        <w:t>Other Events.</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January 29, 2004, Schlumberger Limited completed the sale of the majority of its SchlumbergerSema businesses to Atos Origin. The consideration for the transaction consisted of EUR 400 million in cash and 19.3 million shares of Atos capital stock, representing approximately 29% of the common shares outstanding of Atos Origin. As previously announced, Schlumberger expects to reduce its ownership in Atos Origin to 19%.</w:t>
      </w:r>
    </w:p>
    <w:p>
      <w:pPr>
        <w:spacing w:after="0" w:line="9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Schlumberger is retaining the strategic activities of IT services for the oil and gas industry and the operations that provide connectivity with the upstream oil and gas business. Additionally, it is retaining specific SchlumbergerSema businesses, which are in the process of divestiture, including Business Continuity, Infodata, and Telecom Software Products.</w:t>
      </w:r>
    </w:p>
    <w:p>
      <w:pPr>
        <w:sectPr>
          <w:pgSz w:w="11900" w:h="16838" w:orient="portrait"/>
          <w:cols w:equalWidth="0" w:num="1">
            <w:col w:w="11300"/>
          </w:cols>
          <w:pgMar w:left="240" w:top="274"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(SCHLUMBERGER LIMITED)</w:t>
      </w:r>
    </w:p>
    <w:p>
      <w:pPr>
        <w:spacing w:after="0" w:line="232" w:lineRule="exact"/>
        <w:rPr>
          <w:sz w:val="20"/>
          <w:szCs w:val="20"/>
          <w:color w:val="auto"/>
        </w:rPr>
      </w:pPr>
    </w:p>
    <w:p>
      <w:pPr>
        <w:spacing w:after="0"/>
        <w:tabs>
          <w:tab w:leader="none" w:pos="6140" w:val="left"/>
          <w:tab w:leader="none" w:pos="6620" w:val="left"/>
          <w:tab w:leader="none" w:pos="6960" w:val="left"/>
        </w:tabs>
        <w:rPr>
          <w:sz w:val="20"/>
          <w:szCs w:val="20"/>
          <w:color w:val="auto"/>
        </w:rPr>
      </w:pPr>
      <w:r>
        <w:rPr>
          <w:rFonts w:ascii="Arial" w:cs="Arial" w:eastAsia="Arial" w:hAnsi="Arial"/>
          <w:sz w:val="18"/>
          <w:szCs w:val="18"/>
          <w:color w:val="auto"/>
        </w:rPr>
        <w:t>Date: January 29, 2004</w:t>
      </w:r>
      <w:r>
        <w:rPr>
          <w:sz w:val="20"/>
          <w:szCs w:val="20"/>
          <w:color w:val="auto"/>
        </w:rPr>
        <w:tab/>
      </w: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80010</wp:posOffset>
            </wp:positionV>
            <wp:extent cx="3035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6" w:lineRule="exact"/>
        <w:rPr>
          <w:sz w:val="20"/>
          <w:szCs w:val="20"/>
          <w:color w:val="auto"/>
        </w:rPr>
      </w:pPr>
    </w:p>
    <w:p>
      <w:pPr>
        <w:ind w:left="6640"/>
        <w:spacing w:after="0"/>
        <w:rPr>
          <w:sz w:val="20"/>
          <w:szCs w:val="20"/>
          <w:color w:val="auto"/>
        </w:rPr>
      </w:pPr>
      <w:r>
        <w:rPr>
          <w:rFonts w:ascii="Arial" w:cs="Arial" w:eastAsia="Arial" w:hAnsi="Arial"/>
          <w:sz w:val="14"/>
          <w:szCs w:val="14"/>
          <w:color w:val="auto"/>
        </w:rPr>
        <w:t>Frank A. Sorgie</w:t>
      </w:r>
    </w:p>
    <w:p>
      <w:pPr>
        <w:ind w:left="6640"/>
        <w:spacing w:after="0"/>
        <w:rPr>
          <w:sz w:val="20"/>
          <w:szCs w:val="20"/>
          <w:color w:val="auto"/>
        </w:rPr>
      </w:pPr>
      <w:r>
        <w:rPr>
          <w:rFonts w:ascii="Arial" w:cs="Arial" w:eastAsia="Arial" w:hAnsi="Arial"/>
          <w:sz w:val="14"/>
          <w:szCs w:val="14"/>
          <w:color w:val="auto"/>
        </w:rPr>
        <w:t>Chief Accounting Officer</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2019-12-13T06:50:40Z</dcterms:created>
  <dcterms:modified xsi:type="dcterms:W3CDTF">2019-12-13T06:50:40Z</dcterms:modified>
</cp:coreProperties>
</file>