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2021, which was filed with the U.S. Securities and Exchange Commission on October 27, 2021. Such disclosure appears on page 29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2021-10-27T14:27:22Z</dcterms:created>
  <dcterms:modified xsi:type="dcterms:W3CDTF">2021-10-27T14:27:22Z</dcterms:modified>
</cp:coreProperties>
</file>