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 U.S.A .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76"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On June 1, 2022, Olivier Le Peuch, Chief Executive Officer of Schlumberger, presented at the Bernstein Strategic Decisions Conference in New York, New York, where he discussed, among other things, Schlumberger’s performance strategy and outlook. Slides in connection with the conference are available on the Schlumberger Investor Relations website at https://investorcenter.slb.com/investor-presentations.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The presentation referred to above contains “forward-looking statements” within the meaning of the federal securities laws — that is,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including decarbonization of oil and gas operations; capital expenditures by Schlumberger and the oil and gas industry; the business strategies of Schlumberger, including digital and “fit for basin,” as well as the strategies of Schlumberger’s customers; Schlumberger’s Asset Performance Solutions projects, joint ventures, and other alliances; Schlumberger’s response to the COVID-19 pandemic, and preparedness for other widespread health emergencies; the impact of the ongoing conflict in Ukraine on global energy supply;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the ongoing conflict in Ukraine; foreign currency risk; pricing pressure; weather and seasonal factors; unfavorable effects of health pandemics; availability and cost of raw materials; operational modifications, delays or cancellations; challenges in Schlumberger’s supply chain; production declines; the extent of future charges; Schlumberger’s inability to recognize efficiencies and other intended benefits from Schlumberger’s business strategies and initiatives, such as digital or new energy, as well as its cost reduction strategies; changes in government regulations and regulatory requirements, including those related to offshore oil and gas exploration, chemicals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Schlumberger’s underlying assumptions prove incorrect, actual results or outcomes may vary materially from those reflected in the forward-looking statements. Forward-looking and other statements in the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Dianne B. Ralston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2022</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2022-06-01T07:20:48Z</dcterms:created>
  <dcterms:modified xsi:type="dcterms:W3CDTF">2022-06-01T07:20:48Z</dcterms:modified>
</cp:coreProperties>
</file>