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2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2"/>
                </w:rPr>
                <w:t>Guild Howard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restart"/>
          </w:tcPr>
          <w:p>
            <w:pPr>
              <w:ind w:left="16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7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151130</wp:posOffset>
            </wp:positionV>
            <wp:extent cx="6967855" cy="13036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30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10/18/2020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58,970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10/18/2020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3,935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15.58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55,035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6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7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10/18/2020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-2064385</wp:posOffset>
            </wp:positionV>
            <wp:extent cx="7033895" cy="23691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369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2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309 shares acquired under the Schlumberger discounted stock purchase plan for the period ended June 30, 2020.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award represents the right to receive, at settlement, one (1) share of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 award was granted October 18, 2017 and vested 100% on October 18, 2020.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Saul R. Laureles,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10/20/2020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34072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2020-10-20T17:36:29Z</dcterms:created>
  <dcterms:modified xsi:type="dcterms:W3CDTF">2020-10-20T17:36:29Z</dcterms:modified>
</cp:coreProperties>
</file>