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262d8k.htm"/>
      <w:bookmarkStart w:id="1" w:name="ksd1842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00" w:after="0"/>
        <w:jc w:val="center"/>
        <w:rPr>
          <w:rFonts w:ascii="Arial" w:hAnsi="Arial"/>
          <w:b/>
          <w:sz w:val="24"/>
        </w:rPr>
      </w:pPr>
      <w:r>
        <w:rPr>
          <w:rFonts w:ascii="Arial" w:hAnsi="Arial"/>
          <w:b/>
          <w:sz w:val="24"/>
        </w:rPr>
        <w:t>Date of Report (Date of earliest event reported): October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48"/>
        </w:rPr>
      </w:pPr>
      <w:r>
        <w:rPr>
          <w:rFonts w:ascii="Arial" w:hAnsi="Arial"/>
          <w:b/>
          <w:sz w:val="48"/>
        </w:rPr>
        <w:t xml:space="preserve">SLB N.V. (SLB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00" w:after="0"/>
        <w:jc w:val="center"/>
        <w:rPr>
          <w:rFonts w:ascii="Arial" w:hAnsi="Arial"/>
          <w:b/>
          <w:sz w:val="20"/>
        </w:rPr>
      </w:pPr>
      <w:r>
        <w:rPr>
          <w:rFonts w:ascii="Arial" w:hAnsi="Arial"/>
          <w:b/>
          <w:sz w:val="20"/>
        </w:rPr>
        <w:t>42 rue Saint-Dominique, Paris, France 75007</w:t>
      </w:r>
    </w:p>
    <w:tbl>
      <w:tblPr>
        <w:tblW w:w="4490" w:type="dxa"/>
        <w:jc w:val="left"/>
        <w:tblInd w:w="0" w:type="dxa"/>
        <w:tblLayout w:type="fixed"/>
        <w:tblCellMar>
          <w:top w:w="0" w:type="dxa"/>
          <w:left w:w="0" w:type="dxa"/>
          <w:bottom w:w="0" w:type="dxa"/>
          <w:right w:w="0" w:type="dxa"/>
        </w:tblCellMar>
      </w:tblPr>
      <w:tblGrid>
        <w:gridCol w:w="4490"/>
      </w:tblGrid>
      <w:tr>
        <w:trPr/>
        <w:tc>
          <w:tcPr>
            <w:tcW w:w="4490"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 U.S.A . 77056</w:t>
            </w:r>
          </w:p>
          <w:p>
            <w:pPr>
              <w:pStyle w:val="TableContents"/>
              <w:bidi w:val="0"/>
              <w:spacing w:before="0" w:after="0"/>
              <w:jc w:val="center"/>
              <w:rPr>
                <w:rFonts w:ascii="Arial" w:hAnsi="Arial"/>
                <w:color w:val="FFFFFF"/>
                <w:sz w:val="2"/>
              </w:rPr>
            </w:pPr>
            <w:r>
              <w:rPr>
                <w:rFonts w:ascii="Arial" w:hAnsi="Arial"/>
                <w:color w:val="FFFFFF"/>
                <w:sz w:val="2"/>
              </w:rPr>
              <w:t>(Addresses)</w:t>
            </w:r>
          </w:p>
        </w:tc>
      </w:tr>
    </w:tbl>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0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0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Arial" w:hAnsi="Arial"/>
          <w:sz w:val="20"/>
        </w:rPr>
      </w:pPr>
      <w:r>
        <w:rPr>
          <w:rFonts w:ascii="Arial" w:hAnsi="Arial"/>
          <w:sz w:val="20"/>
        </w:rPr>
        <w:t>Emerging growth company ☐</w:t>
      </w:r>
    </w:p>
    <w:p>
      <w:pPr>
        <w:pStyle w:val="TextBody"/>
        <w:bidi w:val="0"/>
        <w:spacing w:before="20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Arial" w:hAnsi="Arial"/>
          <w:sz w:val="20"/>
        </w:rPr>
      </w:pPr>
      <w:r>
        <w:rPr>
          <w:rFonts w:ascii="Arial" w:hAnsi="Arial"/>
          <w:sz w:val="20"/>
        </w:rPr>
        <w:t xml:space="preserve">On October 5, 2026, the Board of Directors (the “Board”) of SLB Limited (“SLB” or the “Company”) elected Ms. Jing Ulrich to serve as a member of the Board, effective immediately. Ms. Ulrich will also serve on the Board’s Audit Committee and Finance Committee. There are no transactions with Ms. Ulrich that would be reportable under Item 404(a) of Regulation S-K. </w:t>
      </w:r>
    </w:p>
    <w:p>
      <w:pPr>
        <w:pStyle w:val="TextBody"/>
        <w:bidi w:val="0"/>
        <w:spacing w:before="240" w:after="0"/>
        <w:jc w:val="left"/>
        <w:rPr>
          <w:rFonts w:ascii="Arial" w:hAnsi="Arial"/>
          <w:sz w:val="20"/>
        </w:rPr>
      </w:pPr>
      <w:r>
        <w:rPr>
          <w:rFonts w:ascii="Arial" w:hAnsi="Arial"/>
          <w:sz w:val="20"/>
        </w:rPr>
        <w:t xml:space="preserve">Ms. Ulrich brings extensive investment banking and capital-markets experience, as well as deep knowledge of global financial markets. She served as Vice Chairman of Investment Banking at JPMorgan Chase &amp; Co., a multinational financial-services firm, from 2021 to July 1, 2026. Previously, she held a series of senior leadership positions at JPMorgan Chase &amp; Co., including Vice Chairman of Global Banking and Asia Pacific, from 2005 to 2021. Earlier in her career, Ms. Ulrich served as a Managing Director at Deutsche Bank AG, a multinational financial-services firm, from 2003 to 2005, and as a Managing Director at CLSA, a capital-markets and investment group, from 1996 to 2003. Ms. Ulrich has served on the Supervisory Board of adidas AG, a global athletic-footwear, apparel and sports-lifestyle company, since 2019. She has served on the Board of Directors of Swarovski International Holding, a global luxury crystal, jewelry and design company, since 2025, and on the Board of Directors of The Wella Company, a global beauty company, since April 2026. Ms. Ulrich previously served on the Boards of Directors of GSK plc and Ermenegildo Zegna. She holds a Bachelor of Arts degree from Harvard University and a Master of Arts degree from Stanford University. </w:t>
      </w:r>
    </w:p>
    <w:p>
      <w:pPr>
        <w:pStyle w:val="TextBody"/>
        <w:bidi w:val="0"/>
        <w:spacing w:before="240" w:after="0"/>
        <w:jc w:val="left"/>
        <w:rPr>
          <w:rFonts w:ascii="Arial" w:hAnsi="Arial"/>
          <w:sz w:val="20"/>
        </w:rPr>
      </w:pPr>
      <w:r>
        <w:rPr>
          <w:rFonts w:ascii="Arial" w:hAnsi="Arial"/>
          <w:sz w:val="20"/>
        </w:rPr>
        <w:t xml:space="preserve">Ms. Ulrich will serve as a director until the next annual general meeting of SLB’s shareholders, at which meeting she will be subject to re-election. In addition, Ms. Ulrich will be compensated under the Company’s current director compensation program, prorated based on date of appointment, and she is expected to enter into the Company’s standard director indemnity agreement previously filed by the Company.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60" w:type="dxa"/>
        <w:jc w:val="left"/>
        <w:tblInd w:w="0" w:type="dxa"/>
        <w:tblLayout w:type="fixed"/>
        <w:tblCellMar>
          <w:top w:w="0" w:type="dxa"/>
          <w:left w:w="0" w:type="dxa"/>
          <w:bottom w:w="0" w:type="dxa"/>
          <w:right w:w="0" w:type="dxa"/>
        </w:tblCellMar>
      </w:tblPr>
      <w:tblGrid>
        <w:gridCol w:w="3260"/>
      </w:tblGrid>
      <w:tr>
        <w:trPr/>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b/>
              </w:rPr>
            </w:pPr>
            <w:r>
              <w:rPr>
                <w:b/>
              </w:rPr>
              <w:t>SLB LIMITED</w:t>
            </w:r>
          </w:p>
        </w:tc>
      </w:tr>
      <w:tr>
        <w:trPr/>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3260" w:type="dxa"/>
            <w:tcBorders/>
            <w:vAlign w:val="center"/>
          </w:tcPr>
          <w:p>
            <w:pPr>
              <w:pStyle w:val="TableContents"/>
              <w:bidi w:val="0"/>
              <w:spacing w:before="0" w:after="283"/>
              <w:jc w:val="left"/>
              <w:rPr/>
            </w:pPr>
            <w:r>
              <w:rPr/>
              <w:t>Dianne B. Ralston</w:t>
            </w:r>
          </w:p>
        </w:tc>
      </w:tr>
      <w:tr>
        <w:trPr/>
        <w:tc>
          <w:tcPr>
            <w:tcW w:w="3260" w:type="dxa"/>
            <w:tcBorders/>
            <w:vAlign w:val="center"/>
          </w:tcPr>
          <w:p>
            <w:pPr>
              <w:pStyle w:val="TableContents"/>
              <w:bidi w:val="0"/>
              <w:spacing w:before="0" w:after="283"/>
              <w:jc w:val="left"/>
              <w:rPr/>
            </w:pPr>
            <w:r>
              <w:rPr/>
              <w:t>Chief Legal Officer and Secretary</w:t>
            </w:r>
          </w:p>
        </w:tc>
      </w:tr>
      <w:tr>
        <w:trPr/>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Date: October 6,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713</Words>
  <Characters>3858</Characters>
  <CharactersWithSpaces>4552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