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Le Peuch Olivier</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6"/>
        </w:trPr>
        <w:tc>
          <w:tcPr>
            <w:tcW w:w="200" w:type="dxa"/>
            <w:vAlign w:val="bottom"/>
            <w:tcBorders>
              <w:bottom w:val="single" w:sz="8" w:color="2C2C2C"/>
            </w:tcBorders>
          </w:tcPr>
          <w:p>
            <w:pPr>
              <w:spacing w:after="0"/>
              <w:rPr>
                <w:sz w:val="9"/>
                <w:szCs w:val="9"/>
                <w:color w:val="auto"/>
              </w:rPr>
            </w:pPr>
          </w:p>
        </w:tc>
        <w:tc>
          <w:tcPr>
            <w:tcW w:w="36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03/12/2021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0" w:type="dxa"/>
            <w:vAlign w:val="bottom"/>
            <w:tcBorders>
              <w:bottom w:val="single" w:sz="8" w:color="2C2C2C"/>
            </w:tcBorders>
          </w:tcPr>
          <w:p>
            <w:pPr>
              <w:spacing w:after="0"/>
              <w:rPr>
                <w:sz w:val="18"/>
                <w:szCs w:val="18"/>
                <w:color w:val="auto"/>
              </w:rPr>
            </w:pPr>
          </w:p>
        </w:tc>
        <w:tc>
          <w:tcPr>
            <w:tcW w:w="36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133985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27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3,450</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227,741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1,358</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29.24</w:t>
            </w:r>
          </w:p>
        </w:tc>
        <w:tc>
          <w:tcPr>
            <w:tcW w:w="1200" w:type="dxa"/>
            <w:vAlign w:val="bottom"/>
            <w:gridSpan w:val="2"/>
          </w:tcPr>
          <w:p>
            <w:pPr>
              <w:ind w:left="280"/>
              <w:spacing w:after="0"/>
              <w:rPr>
                <w:sz w:val="20"/>
                <w:szCs w:val="20"/>
                <w:color w:val="auto"/>
              </w:rPr>
            </w:pPr>
            <w:r>
              <w:rPr>
                <w:rFonts w:ascii="Arial" w:cs="Arial" w:eastAsia="Arial" w:hAnsi="Arial"/>
                <w:sz w:val="17"/>
                <w:szCs w:val="17"/>
                <w:color w:val="0000FF"/>
              </w:rPr>
              <w:t>226,383</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17, 2018. Vesting of the PSUs was based on three-year Company performance relative to select key competitors. Most of these competitors had not reported their 2020 audited financial results when the Company's compensation committee met in January 2021 to certify performance under the PSUs. As a result, the Company's compensation committee approved the issuance of 90% of the shares that the committee determined had been earned according to the information available to the committee at the time. As of March 12, 2021, all such competitors had reported their 2020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97824"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2021-03-16T08:50:35Z</dcterms:created>
  <dcterms:modified xsi:type="dcterms:W3CDTF">2021-03-16T08:50:35Z</dcterms:modified>
</cp:coreProperties>
</file>