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70125d425.htm"/>
      <w:bookmarkStart w:id="1" w:name="ksd70125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 2024 </w:t>
      </w:r>
    </w:p>
    <w:p>
      <w:pPr>
        <w:pStyle w:val="TextBody"/>
        <w:bidi w:val="0"/>
        <w:spacing w:before="120" w:after="0"/>
        <w:jc w:val="left"/>
        <w:rPr>
          <w:rFonts w:ascii="ARIAL" w:hAnsi="ARIAL"/>
          <w:color w:val="0214DC"/>
          <w:sz w:val="20"/>
        </w:rPr>
      </w:pPr>
      <w:r>
        <w:rPr>
          <w:rFonts w:ascii="ARIAL" w:hAnsi="ARIAL"/>
          <w:color w:val="0214DC"/>
          <w:sz w:val="20"/>
        </w:rPr>
        <w:t xml:space="preserve">Employee FAQs </w:t>
      </w:r>
    </w:p>
    <w:p>
      <w:pPr>
        <w:pStyle w:val="TextBody"/>
        <w:bidi w:val="0"/>
        <w:spacing w:before="120" w:after="0"/>
        <w:jc w:val="left"/>
        <w:rPr>
          <w:rFonts w:ascii="ARIAL" w:hAnsi="ARIAL"/>
          <w:b/>
          <w:color w:val="0214DC"/>
          <w:sz w:val="20"/>
        </w:rPr>
      </w:pPr>
      <w:r>
        <w:rPr>
          <w:rFonts w:ascii="ARIAL" w:hAnsi="ARIAL"/>
          <w:b/>
          <w:color w:val="0214DC"/>
          <w:sz w:val="20"/>
        </w:rPr>
        <w:t xml:space="preserve">General Questions </w:t>
      </w:r>
    </w:p>
    <w:p>
      <w:pPr>
        <w:pStyle w:val="TextBody"/>
        <w:bidi w:val="0"/>
        <w:spacing w:before="120" w:after="0"/>
        <w:jc w:val="left"/>
        <w:rPr>
          <w:rFonts w:ascii="ARIAL" w:hAnsi="ARIAL"/>
          <w:sz w:val="20"/>
        </w:rPr>
      </w:pPr>
      <w:r>
        <w:rPr>
          <w:rFonts w:ascii="ARIAL" w:hAnsi="ARIAL"/>
          <w:sz w:val="20"/>
        </w:rPr>
        <w:t xml:space="preserve">How does this acquisition fit within SLBs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SLBs core oil and gas business will continue to be a key engine of growth. Deliberately increasing our exposure to the production and recovery space will align us with a growing and resilient OpEx spend category into the next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Energy customers are constantly looking to drive more efficient performance and recovery in the production phase of their operations. There is an opportunity to improve and enhance production operations holistically, from increasing digital adoption to lowering costs to lowering carbon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combined portfolio will allow for greater innovation, market reach and customer choice and value. </w:t>
            </w:r>
          </w:p>
        </w:tc>
      </w:tr>
    </w:tbl>
    <w:p>
      <w:pPr>
        <w:pStyle w:val="TextBody"/>
        <w:bidi w:val="0"/>
        <w:spacing w:before="240" w:after="0"/>
        <w:jc w:val="left"/>
        <w:rPr>
          <w:rFonts w:ascii="ARIAL" w:hAnsi="ARIAL"/>
          <w:sz w:val="20"/>
        </w:rPr>
      </w:pPr>
      <w:r>
        <w:rPr>
          <w:rFonts w:ascii="ARIAL" w:hAnsi="ARIAL"/>
          <w:sz w:val="20"/>
        </w:rPr>
        <w:t xml:space="preserve">What are the key offerings of ChampionX?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Production ChemicalsProvides oil and natural gas production and midstream markets with solutions to manage and control corrosion, oil and water separation, flow assurance, sour gas treatment and a host of water-related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Production and Automation TechDesigns, manufactures, markets and services a full range of artificial lift equipment, end-to-end digital automation solutions, and other production equipment and asset monitoring technologies; sold under a collection of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Drilling TechnologiesDesigns, manufactures and markets polycrystalline diamond cutters and bearings for use in oil and gas drill bits under the U.S. Synthetic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Reservoir ChemicalsManufactures specialty products that support well stimulation, construction (including drilling and cementing) and remediation needs in the oil and natural gas industry. </w:t>
            </w:r>
          </w:p>
        </w:tc>
      </w:tr>
    </w:tbl>
    <w:p>
      <w:pPr>
        <w:pStyle w:val="TextBody"/>
        <w:bidi w:val="0"/>
        <w:spacing w:before="240" w:after="0"/>
        <w:jc w:val="left"/>
        <w:rPr>
          <w:rFonts w:ascii="ARIAL" w:hAnsi="ARIAL"/>
          <w:sz w:val="20"/>
        </w:rPr>
      </w:pPr>
      <w:r>
        <w:rPr>
          <w:rFonts w:ascii="ARIAL" w:hAnsi="ARIAL"/>
          <w:sz w:val="20"/>
        </w:rPr>
        <w:t xml:space="preserve">What are the general financial terms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ChampionX shareholders will receive 0.735 shares of SLB in exchange for each share of ChampionX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The agreement places a value of $40.59 per ChampionX share, which represents a 14.7% premium based on the closing price of April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Upon closing, ChampionX shareholders will collectively own approximately 9% of SLB outstanding shares. </w:t>
            </w:r>
          </w:p>
        </w:tc>
      </w:tr>
    </w:tbl>
    <w:p>
      <w:pPr>
        <w:pStyle w:val="TextBody"/>
        <w:bidi w:val="0"/>
        <w:spacing w:before="240" w:after="0"/>
        <w:jc w:val="left"/>
        <w:rPr>
          <w:rFonts w:ascii="ARIAL" w:hAnsi="ARIAL"/>
          <w:sz w:val="20"/>
        </w:rPr>
      </w:pPr>
      <w:r>
        <w:rPr>
          <w:rFonts w:ascii="ARIAL" w:hAnsi="ARIAL"/>
          <w:sz w:val="20"/>
        </w:rPr>
        <w:t xml:space="preserve">When do you expect the transaction to 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anticipated close date is before the end of 2024 and is subject to customary closing terms and conditions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Both companies will continue to run their businesses independently and separately (business as usual) until the transaction is closed. </w:t>
            </w:r>
          </w:p>
        </w:tc>
      </w:tr>
    </w:tbl>
    <w:p>
      <w:pPr>
        <w:pStyle w:val="TextBody"/>
        <w:bidi w:val="0"/>
        <w:spacing w:before="240" w:after="0"/>
        <w:jc w:val="left"/>
        <w:rPr>
          <w:rFonts w:ascii="ARIAL" w:hAnsi="ARIAL"/>
          <w:sz w:val="20"/>
        </w:rPr>
      </w:pPr>
      <w:r>
        <w:rPr>
          <w:rFonts w:ascii="ARIAL" w:hAnsi="ARIAL"/>
          <w:sz w:val="20"/>
        </w:rPr>
        <w:t xml:space="preserve">How will customers benefit from this proposed deal?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Customers will benefit from the enhanced portfolio, geographical reach and technology innovation. SLBs comprehensive production and recovery portfolio will provide solutions throughout the full lifecycle of the well to increase customer production, reduce overall cost of ownership and lower carbon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This will help our global customers drive efficiency and longevity of producing assets.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What are the synergies from this acquisition?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SLB expects annual pre-tax synergies to reach approximately $400 million within three years, with 70-80% realized in 2026 and the remainder in 2027. These synergies consist primarily of reduced operating costs, supply chain optimization and G&amp;A savings, as well as the benefits from revenue synergies that are expected to grow considerably in future years. The revenue synergies come primarily from new technology innovation leveraging the combined offering and expanding ChampionXs reach via SLBs international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A dedicated integration team will start immediately and will work across both companies until closing and beyond, utilizing best practices and lessons learned from other acquisitions. </w:t>
            </w:r>
          </w:p>
        </w:tc>
      </w:tr>
    </w:tbl>
    <w:p>
      <w:pPr>
        <w:pStyle w:val="TextBody"/>
        <w:bidi w:val="0"/>
        <w:spacing w:before="240" w:after="0"/>
        <w:jc w:val="left"/>
        <w:rPr>
          <w:rFonts w:ascii="ARIAL" w:hAnsi="ARIAL"/>
          <w:sz w:val="20"/>
        </w:rPr>
      </w:pPr>
      <w:r>
        <w:rPr>
          <w:rFonts w:ascii="ARIAL" w:hAnsi="ARIAL"/>
          <w:sz w:val="20"/>
        </w:rPr>
        <w:t xml:space="preserve">How does this acquisition impact SLBs geographical mix?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This move will strengthen our international offering while driving innovation and efficiency in North America through SLBs and ChampionXs complementary footprints. At closing, SLBs geographical mix will be 75% international and 25% North America. Post-acquisition, we expect the international revenue mix to climb. </w:t>
            </w:r>
          </w:p>
        </w:tc>
      </w:tr>
    </w:tbl>
    <w:p>
      <w:pPr>
        <w:pStyle w:val="TextBody"/>
        <w:bidi w:val="0"/>
        <w:spacing w:before="120" w:after="0"/>
        <w:jc w:val="left"/>
        <w:rPr>
          <w:rFonts w:ascii="ARIAL" w:hAnsi="ARIAL"/>
          <w:sz w:val="20"/>
        </w:rPr>
      </w:pPr>
      <w:r>
        <w:rPr>
          <w:rFonts w:ascii="ARIAL" w:hAnsi="ARIAL"/>
          <w:sz w:val="20"/>
        </w:rPr>
        <w:t xml:space="preserve">ChampionXs artificial lift portfolio includes certain products that SLB divested a few years back. Do you intend to keep those when the transaction closes or if you keep them, why would they now be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ChampionXs artificial lift portfolio, comprising ESP, Rod Lift, PCP and Gas Lift, is an integrated offering supported by digital capabilities that help customers optimize their lift solutions throughout the life of the well. This business is notably different from the businesses we divested back in 2020, as ChampionXs integrated offering has strong customer recognition in North America and generates superior margins. Post acquisition, we fully intend to preserve this business and expand internationally. </w:t>
            </w:r>
          </w:p>
        </w:tc>
      </w:tr>
    </w:tbl>
    <w:p>
      <w:pPr>
        <w:pStyle w:val="TextBody"/>
        <w:bidi w:val="0"/>
        <w:spacing w:before="360" w:after="0"/>
        <w:jc w:val="left"/>
        <w:rPr>
          <w:rFonts w:ascii="ARIAL" w:hAnsi="ARIAL"/>
          <w:b/>
          <w:color w:val="0214DC"/>
          <w:sz w:val="20"/>
        </w:rPr>
      </w:pPr>
      <w:r>
        <w:rPr>
          <w:rFonts w:ascii="ARIAL" w:hAnsi="ARIAL"/>
          <w:b/>
          <w:color w:val="0214DC"/>
          <w:sz w:val="20"/>
        </w:rPr>
        <w:t xml:space="preserve">Operational and Organizational Questions </w:t>
      </w:r>
    </w:p>
    <w:p>
      <w:pPr>
        <w:pStyle w:val="TextBody"/>
        <w:bidi w:val="0"/>
        <w:spacing w:before="120" w:after="0"/>
        <w:jc w:val="left"/>
        <w:rPr>
          <w:rFonts w:ascii="ARIAL" w:hAnsi="ARIAL"/>
          <w:sz w:val="20"/>
        </w:rPr>
      </w:pPr>
      <w:r>
        <w:rPr>
          <w:rFonts w:ascii="ARIAL" w:hAnsi="ARIAL"/>
          <w:sz w:val="20"/>
        </w:rPr>
        <w:t xml:space="preserve">How will ChampionX be run inside SLB?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Our intention is to leverage the best aspects of both organizations. We will preserve the agility and customer relationships in North America, which ChampionX is known for, and we will maximize the benefit from SLBs market reach internationally. A joint integration team from both organizations will focus on this during the course of the next few months leading to closing. </w:t>
            </w:r>
          </w:p>
        </w:tc>
      </w:tr>
    </w:tbl>
    <w:p>
      <w:pPr>
        <w:pStyle w:val="TextBody"/>
        <w:bidi w:val="0"/>
        <w:spacing w:before="240" w:after="0"/>
        <w:jc w:val="left"/>
        <w:rPr>
          <w:rFonts w:ascii="ARIAL" w:hAnsi="ARIAL"/>
          <w:sz w:val="20"/>
        </w:rPr>
      </w:pPr>
      <w:r>
        <w:rPr>
          <w:rFonts w:ascii="ARIAL" w:hAnsi="ARIAL"/>
          <w:sz w:val="20"/>
        </w:rPr>
        <w:t xml:space="preserve">How many ChampionX people will transfer to SLB? </w:t>
      </w:r>
    </w:p>
    <w:p>
      <w:pPr>
        <w:pStyle w:val="TextBody"/>
        <w:bidi w:val="0"/>
        <w:spacing w:before="240" w:after="0"/>
        <w:jc w:val="left"/>
        <w:rPr>
          <w:rFonts w:ascii="ARIAL" w:hAnsi="ARIAL"/>
          <w:sz w:val="20"/>
        </w:rPr>
      </w:pPr>
      <w:r>
        <w:rPr>
          <w:rFonts w:ascii="ARIAL" w:hAnsi="ARIAL"/>
          <w:sz w:val="20"/>
        </w:rPr>
        <w:t xml:space="preserve">All of ChampionXs employees will become SLB employees. </w:t>
      </w:r>
      <w:r>
        <w:br w:type="page"/>
      </w:r>
    </w:p>
    <w:p>
      <w:pPr>
        <w:pStyle w:val="HorizontalLine"/>
        <w:pBdr>
          <w:bottom w:val="double" w:sz="6" w:space="0" w:color="808080"/>
        </w:pBdr>
        <w:bidi w:val="0"/>
        <w:jc w:val="left"/>
        <w:rPr/>
      </w:pPr>
      <w:r>
        <w:rPr/>
      </w:r>
    </w:p>
    <w:p>
      <w:pPr>
        <w:pStyle w:val="TextBody"/>
        <w:bidi w:val="0"/>
        <w:spacing w:before="120" w:after="0"/>
        <w:jc w:val="left"/>
        <w:rPr>
          <w:rFonts w:ascii="ARIAL" w:hAnsi="ARIAL"/>
          <w:sz w:val="20"/>
        </w:rPr>
      </w:pPr>
      <w:r>
        <w:rPr>
          <w:rFonts w:ascii="ARIAL" w:hAnsi="ARIAL"/>
          <w:sz w:val="20"/>
        </w:rPr>
        <w:t xml:space="preserve">Will there be any impact to SLBs current chemicals and artificial lift businesses?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SLB currently has a successful chemicals business covering upstream oil and gas solutions. ChampionXs business perfectly complements SLBs offerings in this growing part of the industry. Its only through the work the SLB team has achieved to this point that the company was in a position to take the next step to support our strategy and drive even more value for customers. It also opens up more opportunities for employees in these businesses to grow their careers, drive more innovation and leverage their talents. </w:t>
            </w:r>
          </w:p>
        </w:tc>
      </w:tr>
    </w:tbl>
    <w:p>
      <w:pPr>
        <w:pStyle w:val="TextBody"/>
        <w:bidi w:val="0"/>
        <w:spacing w:before="360" w:after="0"/>
        <w:jc w:val="left"/>
        <w:rPr>
          <w:rFonts w:ascii="ARIAL" w:hAnsi="ARIAL"/>
          <w:sz w:val="20"/>
        </w:rPr>
      </w:pPr>
      <w:r>
        <w:rPr>
          <w:rFonts w:ascii="ARIAL" w:hAnsi="ARIAL"/>
          <w:sz w:val="20"/>
        </w:rPr>
        <w:t xml:space="preserve">Will any existing products of ChampionX be renamed?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ChampionX has extensive recognition in the industry for its technology and people, and also has very well-run operations. SLB will review the positioning of ChampionXs brand portfolio as part of the integration efforts and ensure any decision properly leverages the brand equity across both ChampionX and SLB. </w:t>
            </w:r>
          </w:p>
        </w:tc>
      </w:tr>
    </w:tbl>
    <w:p>
      <w:pPr>
        <w:pStyle w:val="TextBody"/>
        <w:bidi w:val="0"/>
        <w:spacing w:before="360" w:after="0"/>
        <w:jc w:val="left"/>
        <w:rPr>
          <w:rFonts w:ascii="ARIAL" w:hAnsi="ARIAL"/>
          <w:sz w:val="20"/>
        </w:rPr>
      </w:pPr>
      <w:r>
        <w:rPr>
          <w:rFonts w:ascii="ARIAL" w:hAnsi="ARIAL"/>
          <w:sz w:val="20"/>
        </w:rPr>
        <w:t xml:space="preserve">Will there be any changes in compensation or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SLB provides competitive total rewards that are benchmarked across the industry and are considered a differentiator for our company. We do not anticipate any changes to the compensation or benefits structure of ChampionX until one year after closing. </w:t>
            </w:r>
          </w:p>
        </w:tc>
      </w:tr>
    </w:tbl>
    <w:p>
      <w:pPr>
        <w:pStyle w:val="TextBody"/>
        <w:bidi w:val="0"/>
        <w:spacing w:before="360" w:after="0"/>
        <w:jc w:val="left"/>
        <w:rPr>
          <w:rFonts w:ascii="ARIAL" w:hAnsi="ARIAL"/>
          <w:sz w:val="20"/>
        </w:rPr>
      </w:pPr>
      <w:r>
        <w:rPr>
          <w:rFonts w:ascii="ARIAL" w:hAnsi="ARIAL"/>
          <w:sz w:val="20"/>
        </w:rPr>
        <w:t xml:space="preserve">Can I talk about the transaction on social media?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As always, do not disclose any confidential proprietary information on social media, including corporate financial information, trade secrets, customer lists, marketing strategies, pricing information and the like, nor should you disclose such confidential proprietary information of our customers. Remember that, while opinions may be your own, you are identifying as an SLB employee, particularly on LinkedIn. When creating your posts, be sure that you are upholding the SLB Code of Conduct. </w:t>
            </w:r>
          </w:p>
        </w:tc>
      </w:tr>
    </w:tbl>
    <w:p>
      <w:pPr>
        <w:pStyle w:val="TextBody"/>
        <w:bidi w:val="0"/>
        <w:spacing w:before="360" w:after="0"/>
        <w:jc w:val="left"/>
        <w:rPr>
          <w:rFonts w:ascii="ARIAL" w:hAnsi="ARIAL"/>
          <w:sz w:val="20"/>
        </w:rPr>
      </w:pPr>
      <w:r>
        <w:rPr>
          <w:rFonts w:ascii="ARIAL" w:hAnsi="ARIAL"/>
          <w:sz w:val="20"/>
        </w:rPr>
        <w:t xml:space="preserve">Can I talk with anyone at ChampionX?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No, you should not contact anyone at ChampionX except as authorized by the integration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 dedicated integration team will work across both companies until closing and beyond, utilizing best practices and lessons learned from other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No employees outside of the SLB and ChampionX integration teams who are briefed in due diligence protocols should have contact with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Both companies should continue to run their businesses independently and separately until the transaction is closed. </w:t>
            </w:r>
          </w:p>
        </w:tc>
      </w:tr>
    </w:tbl>
    <w:p>
      <w:pPr>
        <w:pStyle w:val="TextBody"/>
        <w:bidi w:val="0"/>
        <w:spacing w:before="360" w:after="0"/>
        <w:jc w:val="left"/>
        <w:rPr>
          <w:rFonts w:ascii="ARIAL" w:hAnsi="ARIAL"/>
          <w:sz w:val="20"/>
        </w:rPr>
      </w:pPr>
      <w:r>
        <w:rPr>
          <w:rFonts w:ascii="ARIAL" w:hAnsi="ARIAL"/>
          <w:sz w:val="20"/>
        </w:rPr>
        <w:t xml:space="preserve">What if I get a question from the media?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Please direct all media inquiries to media@slb.com or contact Moira Duff, Director of External Communications for SLB.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sz w:val="20"/>
        </w:rPr>
      </w:pPr>
      <w:r>
        <w:rPr>
          <w:rFonts w:ascii="ARIAL" w:hAnsi="ARIAL"/>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Participants in the Solicitation </w:t>
      </w:r>
    </w:p>
    <w:p>
      <w:pPr>
        <w:pStyle w:val="TextBody"/>
        <w:bidi w:val="0"/>
        <w:spacing w:before="120" w:after="0"/>
        <w:jc w:val="left"/>
        <w:rPr>
          <w:rFonts w:ascii="ARIAL" w:hAnsi="ARIAL"/>
          <w:sz w:val="20"/>
        </w:rPr>
      </w:pPr>
      <w:r>
        <w:rPr>
          <w:rFonts w:ascii="ARIAL" w:hAnsi="ARIAL"/>
          <w:sz w:val="20"/>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3311</Words>
  <Characters>18047</Characters>
  <CharactersWithSpaces>21141</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