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19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jc w:val="center"/>
        <w:ind w:right="2199"/>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jc w:val="center"/>
        <w:ind w:right="2199"/>
        <w:spacing w:after="0"/>
        <w:rPr>
          <w:sz w:val="20"/>
          <w:szCs w:val="20"/>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jc w:val="center"/>
        <w:ind w:right="2199"/>
        <w:spacing w:after="0"/>
        <w:rPr>
          <w:sz w:val="20"/>
          <w:szCs w:val="20"/>
          <w:color w:val="auto"/>
        </w:rPr>
      </w:pPr>
      <w:r>
        <w:rPr>
          <w:rFonts w:ascii="Courier New" w:cs="Courier New" w:eastAsia="Courier New" w:hAnsi="Courier New"/>
          <w:sz w:val="18"/>
          <w:szCs w:val="18"/>
          <w:color w:val="auto"/>
        </w:rPr>
        <w:t>CURRENT REPORT</w:t>
      </w:r>
    </w:p>
    <w:p>
      <w:pPr>
        <w:spacing w:after="0" w:line="201" w:lineRule="exact"/>
        <w:rPr>
          <w:sz w:val="24"/>
          <w:szCs w:val="24"/>
          <w:color w:val="auto"/>
        </w:rPr>
      </w:pPr>
    </w:p>
    <w:p>
      <w:pPr>
        <w:ind w:left="2100"/>
        <w:spacing w:after="0"/>
        <w:rPr>
          <w:sz w:val="20"/>
          <w:szCs w:val="20"/>
          <w:color w:val="auto"/>
        </w:rPr>
      </w:pPr>
      <w:r>
        <w:rPr>
          <w:rFonts w:ascii="Courier New" w:cs="Courier New" w:eastAsia="Courier New" w:hAnsi="Courier New"/>
          <w:sz w:val="18"/>
          <w:szCs w:val="18"/>
          <w:color w:val="auto"/>
        </w:rPr>
        <w:t>Pursuant to Section 13 or 15(d) of</w:t>
      </w:r>
    </w:p>
    <w:p>
      <w:pPr>
        <w:ind w:left="2100"/>
        <w:spacing w:after="0" w:line="238" w:lineRule="auto"/>
        <w:rPr>
          <w:sz w:val="20"/>
          <w:szCs w:val="20"/>
          <w:color w:val="auto"/>
        </w:rPr>
      </w:pPr>
      <w:r>
        <w:rPr>
          <w:rFonts w:ascii="Courier New" w:cs="Courier New" w:eastAsia="Courier New" w:hAnsi="Courier New"/>
          <w:sz w:val="18"/>
          <w:szCs w:val="18"/>
          <w:color w:val="auto"/>
        </w:rPr>
        <w:t>the Securities Exchange Act of 1934</w:t>
      </w:r>
    </w:p>
    <w:p>
      <w:pPr>
        <w:spacing w:after="0" w:line="202"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Date of Report (date of earliest event reported): April 6, 2001</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jc w:val="center"/>
        <w:ind w:right="2199"/>
        <w:spacing w:after="0"/>
        <w:rPr>
          <w:sz w:val="20"/>
          <w:szCs w:val="20"/>
          <w:color w:val="auto"/>
        </w:rPr>
      </w:pPr>
      <w:r>
        <w:rPr>
          <w:rFonts w:ascii="Courier New" w:cs="Courier New" w:eastAsia="Courier New" w:hAnsi="Courier New"/>
          <w:sz w:val="18"/>
          <w:szCs w:val="18"/>
          <w:color w:val="auto"/>
        </w:rPr>
        <w:t>SCHLUMBERGER N.V. (SCHLUMBERGER LIMITED)</w:t>
      </w:r>
    </w:p>
    <w:p>
      <w:pPr>
        <w:jc w:val="center"/>
        <w:ind w:right="2199"/>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5"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1580" w:type="dxa"/>
            <w:vAlign w:val="bottom"/>
          </w:tcPr>
          <w:p>
            <w:pPr>
              <w:jc w:val="right"/>
              <w:spacing w:after="0"/>
              <w:rPr>
                <w:sz w:val="20"/>
                <w:szCs w:val="20"/>
                <w:color w:val="auto"/>
              </w:rPr>
            </w:pPr>
            <w:r>
              <w:rPr>
                <w:rFonts w:ascii="Courier New" w:cs="Courier New" w:eastAsia="Courier New" w:hAnsi="Courier New"/>
                <w:sz w:val="18"/>
                <w:szCs w:val="18"/>
                <w:color w:val="auto"/>
              </w:rPr>
              <w:t>Netherlands</w:t>
            </w:r>
          </w:p>
        </w:tc>
        <w:tc>
          <w:tcPr>
            <w:tcW w:w="1580" w:type="dxa"/>
            <w:vAlign w:val="bottom"/>
          </w:tcPr>
          <w:p>
            <w:pPr>
              <w:ind w:left="100"/>
              <w:spacing w:after="0"/>
              <w:rPr>
                <w:sz w:val="20"/>
                <w:szCs w:val="20"/>
                <w:color w:val="auto"/>
              </w:rPr>
            </w:pPr>
            <w:r>
              <w:rPr>
                <w:rFonts w:ascii="Courier New" w:cs="Courier New" w:eastAsia="Courier New" w:hAnsi="Courier New"/>
                <w:sz w:val="18"/>
                <w:szCs w:val="18"/>
                <w:color w:val="auto"/>
              </w:rPr>
              <w:t>Antilles</w:t>
            </w:r>
          </w:p>
        </w:tc>
        <w:tc>
          <w:tcPr>
            <w:tcW w:w="190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1-4601</w:t>
            </w:r>
          </w:p>
        </w:tc>
        <w:tc>
          <w:tcPr>
            <w:tcW w:w="840" w:type="dxa"/>
            <w:vAlign w:val="bottom"/>
          </w:tcPr>
          <w:p>
            <w:pPr>
              <w:spacing w:after="0"/>
              <w:rPr>
                <w:sz w:val="17"/>
                <w:szCs w:val="17"/>
                <w:color w:val="auto"/>
              </w:rPr>
            </w:pPr>
          </w:p>
        </w:tc>
        <w:tc>
          <w:tcPr>
            <w:tcW w:w="2220" w:type="dxa"/>
            <w:vAlign w:val="bottom"/>
          </w:tcPr>
          <w:p>
            <w:pPr>
              <w:ind w:left="520"/>
              <w:spacing w:after="0"/>
              <w:rPr>
                <w:sz w:val="20"/>
                <w:szCs w:val="20"/>
                <w:color w:val="auto"/>
              </w:rPr>
            </w:pPr>
            <w:r>
              <w:rPr>
                <w:rFonts w:ascii="Courier New" w:cs="Courier New" w:eastAsia="Courier New" w:hAnsi="Courier New"/>
                <w:sz w:val="18"/>
                <w:szCs w:val="18"/>
                <w:color w:val="auto"/>
              </w:rPr>
              <w:t>52-0684746</w:t>
            </w:r>
          </w:p>
        </w:tc>
      </w:tr>
      <w:tr>
        <w:trPr>
          <w:trHeight w:val="203"/>
        </w:trPr>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(State or other</w:t>
            </w:r>
          </w:p>
        </w:tc>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jurisdiction</w:t>
            </w:r>
          </w:p>
        </w:tc>
        <w:tc>
          <w:tcPr>
            <w:tcW w:w="27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(Commission File Number)</w:t>
            </w:r>
          </w:p>
        </w:tc>
        <w:tc>
          <w:tcPr>
            <w:tcW w:w="22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(IRS Employer</w:t>
            </w:r>
          </w:p>
        </w:tc>
      </w:tr>
      <w:tr>
        <w:trPr>
          <w:trHeight w:val="203"/>
        </w:trPr>
        <w:tc>
          <w:tcPr>
            <w:tcW w:w="3160" w:type="dxa"/>
            <w:vAlign w:val="bottom"/>
            <w:gridSpan w:val="2"/>
          </w:tcPr>
          <w:p>
            <w:pPr>
              <w:ind w:left="640"/>
              <w:spacing w:after="0" w:line="203" w:lineRule="exact"/>
              <w:rPr>
                <w:sz w:val="20"/>
                <w:szCs w:val="20"/>
                <w:color w:val="auto"/>
              </w:rPr>
            </w:pPr>
            <w:r>
              <w:rPr>
                <w:rFonts w:ascii="Courier New" w:cs="Courier New" w:eastAsia="Courier New" w:hAnsi="Courier New"/>
                <w:sz w:val="18"/>
                <w:szCs w:val="18"/>
                <w:color w:val="auto"/>
              </w:rPr>
              <w:t>of incorporation)</w:t>
            </w:r>
          </w:p>
        </w:tc>
        <w:tc>
          <w:tcPr>
            <w:tcW w:w="19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w w:val="97"/>
              </w:rPr>
              <w:t>Identification No.)</w:t>
            </w:r>
          </w:p>
        </w:tc>
      </w:tr>
      <w:tr>
        <w:trPr>
          <w:trHeight w:val="810"/>
        </w:trPr>
        <w:tc>
          <w:tcPr>
            <w:tcW w:w="1580" w:type="dxa"/>
            <w:vAlign w:val="bottom"/>
          </w:tcPr>
          <w:p>
            <w:pPr>
              <w:jc w:val="right"/>
              <w:spacing w:after="0"/>
              <w:rPr>
                <w:sz w:val="20"/>
                <w:szCs w:val="20"/>
                <w:color w:val="auto"/>
              </w:rPr>
            </w:pPr>
            <w:r>
              <w:rPr>
                <w:rFonts w:ascii="Courier New" w:cs="Courier New" w:eastAsia="Courier New" w:hAnsi="Courier New"/>
                <w:sz w:val="18"/>
                <w:szCs w:val="18"/>
                <w:color w:val="auto"/>
              </w:rPr>
              <w:t>277</w:t>
            </w:r>
          </w:p>
        </w:tc>
        <w:tc>
          <w:tcPr>
            <w:tcW w:w="1580" w:type="dxa"/>
            <w:vAlign w:val="bottom"/>
          </w:tcPr>
          <w:p>
            <w:pPr>
              <w:ind w:left="100"/>
              <w:spacing w:after="0"/>
              <w:rPr>
                <w:sz w:val="20"/>
                <w:szCs w:val="20"/>
                <w:color w:val="auto"/>
              </w:rPr>
            </w:pPr>
            <w:r>
              <w:rPr>
                <w:rFonts w:ascii="Courier New" w:cs="Courier New" w:eastAsia="Courier New" w:hAnsi="Courier New"/>
                <w:sz w:val="18"/>
                <w:szCs w:val="18"/>
                <w:color w:val="auto"/>
              </w:rPr>
              <w:t>Park Avenue</w:t>
            </w:r>
          </w:p>
        </w:tc>
        <w:tc>
          <w:tcPr>
            <w:tcW w:w="19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20" w:type="dxa"/>
            <w:vAlign w:val="bottom"/>
          </w:tcPr>
          <w:p>
            <w:pPr>
              <w:spacing w:after="0"/>
              <w:rPr>
                <w:sz w:val="24"/>
                <w:szCs w:val="24"/>
                <w:color w:val="auto"/>
              </w:rPr>
            </w:pPr>
          </w:p>
        </w:tc>
      </w:tr>
      <w:tr>
        <w:trPr>
          <w:trHeight w:val="203"/>
        </w:trPr>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New</w:t>
            </w:r>
          </w:p>
        </w:tc>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6"/>
              </w:rPr>
              <w:t>York, New York</w:t>
            </w:r>
          </w:p>
        </w:tc>
        <w:tc>
          <w:tcPr>
            <w:tcW w:w="19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10172-0266</w:t>
            </w:r>
          </w:p>
        </w:tc>
      </w:tr>
      <w:tr>
        <w:trPr>
          <w:trHeight w:val="405"/>
        </w:trPr>
        <w:tc>
          <w:tcPr>
            <w:tcW w:w="5060" w:type="dxa"/>
            <w:vAlign w:val="bottom"/>
            <w:gridSpan w:val="3"/>
          </w:tcPr>
          <w:p>
            <w:pPr>
              <w:ind w:left="1060"/>
              <w:spacing w:after="0"/>
              <w:rPr>
                <w:sz w:val="20"/>
                <w:szCs w:val="20"/>
                <w:color w:val="auto"/>
              </w:rPr>
            </w:pPr>
            <w:r>
              <w:rPr>
                <w:rFonts w:ascii="Courier New" w:cs="Courier New" w:eastAsia="Courier New" w:hAnsi="Courier New"/>
                <w:sz w:val="18"/>
                <w:szCs w:val="18"/>
                <w:color w:val="auto"/>
              </w:rPr>
              <w:t>42, rue Saint-Dominique</w:t>
            </w:r>
          </w:p>
        </w:tc>
        <w:tc>
          <w:tcPr>
            <w:tcW w:w="840" w:type="dxa"/>
            <w:vAlign w:val="bottom"/>
          </w:tcPr>
          <w:p>
            <w:pPr>
              <w:spacing w:after="0"/>
              <w:rPr>
                <w:sz w:val="24"/>
                <w:szCs w:val="24"/>
                <w:color w:val="auto"/>
              </w:rPr>
            </w:pPr>
          </w:p>
        </w:tc>
        <w:tc>
          <w:tcPr>
            <w:tcW w:w="2220" w:type="dxa"/>
            <w:vAlign w:val="bottom"/>
          </w:tcPr>
          <w:p>
            <w:pPr>
              <w:spacing w:after="0"/>
              <w:rPr>
                <w:sz w:val="24"/>
                <w:szCs w:val="24"/>
                <w:color w:val="auto"/>
              </w:rPr>
            </w:pPr>
          </w:p>
        </w:tc>
      </w:tr>
      <w:tr>
        <w:trPr>
          <w:trHeight w:val="203"/>
        </w:trPr>
        <w:tc>
          <w:tcPr>
            <w:tcW w:w="3160" w:type="dxa"/>
            <w:vAlign w:val="bottom"/>
            <w:gridSpan w:val="2"/>
          </w:tcPr>
          <w:p>
            <w:pPr>
              <w:ind w:left="1360"/>
              <w:spacing w:after="0" w:line="203" w:lineRule="exact"/>
              <w:rPr>
                <w:sz w:val="20"/>
                <w:szCs w:val="20"/>
                <w:color w:val="auto"/>
              </w:rPr>
            </w:pPr>
            <w:r>
              <w:rPr>
                <w:rFonts w:ascii="Courier New" w:cs="Courier New" w:eastAsia="Courier New" w:hAnsi="Courier New"/>
                <w:sz w:val="18"/>
                <w:szCs w:val="18"/>
                <w:color w:val="auto"/>
              </w:rPr>
              <w:t>Paris, France</w:t>
            </w:r>
          </w:p>
        </w:tc>
        <w:tc>
          <w:tcPr>
            <w:tcW w:w="19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75007</w:t>
            </w:r>
          </w:p>
        </w:tc>
      </w:tr>
      <w:tr>
        <w:trPr>
          <w:trHeight w:val="405"/>
        </w:trPr>
        <w:tc>
          <w:tcPr>
            <w:tcW w:w="3160" w:type="dxa"/>
            <w:vAlign w:val="bottom"/>
            <w:gridSpan w:val="2"/>
          </w:tcPr>
          <w:p>
            <w:pPr>
              <w:ind w:left="1360"/>
              <w:spacing w:after="0"/>
              <w:rPr>
                <w:sz w:val="20"/>
                <w:szCs w:val="20"/>
                <w:color w:val="auto"/>
              </w:rPr>
            </w:pPr>
            <w:r>
              <w:rPr>
                <w:rFonts w:ascii="Courier New" w:cs="Courier New" w:eastAsia="Courier New" w:hAnsi="Courier New"/>
                <w:sz w:val="18"/>
                <w:szCs w:val="18"/>
                <w:color w:val="auto"/>
              </w:rPr>
              <w:t>Parkstraat 83,</w:t>
            </w:r>
          </w:p>
        </w:tc>
        <w:tc>
          <w:tcPr>
            <w:tcW w:w="19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20" w:type="dxa"/>
            <w:vAlign w:val="bottom"/>
          </w:tcPr>
          <w:p>
            <w:pPr>
              <w:spacing w:after="0"/>
              <w:rPr>
                <w:sz w:val="24"/>
                <w:szCs w:val="24"/>
                <w:color w:val="auto"/>
              </w:rPr>
            </w:pPr>
          </w:p>
        </w:tc>
      </w:tr>
      <w:tr>
        <w:trPr>
          <w:trHeight w:val="203"/>
        </w:trPr>
        <w:tc>
          <w:tcPr>
            <w:tcW w:w="1580" w:type="dxa"/>
            <w:vAlign w:val="bottom"/>
          </w:tcPr>
          <w:p>
            <w:pPr>
              <w:spacing w:after="0"/>
              <w:rPr>
                <w:sz w:val="17"/>
                <w:szCs w:val="17"/>
                <w:color w:val="auto"/>
              </w:rPr>
            </w:pPr>
          </w:p>
        </w:tc>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The Hague,</w:t>
            </w:r>
          </w:p>
        </w:tc>
        <w:tc>
          <w:tcPr>
            <w:tcW w:w="19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20" w:type="dxa"/>
            <w:vAlign w:val="bottom"/>
          </w:tcPr>
          <w:p>
            <w:pPr>
              <w:spacing w:after="0"/>
              <w:rPr>
                <w:sz w:val="17"/>
                <w:szCs w:val="17"/>
                <w:color w:val="auto"/>
              </w:rPr>
            </w:pPr>
          </w:p>
        </w:tc>
      </w:tr>
      <w:tr>
        <w:trPr>
          <w:trHeight w:val="405"/>
        </w:trPr>
        <w:tc>
          <w:tcPr>
            <w:tcW w:w="3160" w:type="dxa"/>
            <w:vAlign w:val="bottom"/>
            <w:gridSpan w:val="2"/>
          </w:tcPr>
          <w:p>
            <w:pPr>
              <w:ind w:left="1360"/>
              <w:spacing w:after="0"/>
              <w:rPr>
                <w:sz w:val="20"/>
                <w:szCs w:val="20"/>
                <w:color w:val="auto"/>
              </w:rPr>
            </w:pPr>
            <w:r>
              <w:rPr>
                <w:rFonts w:ascii="Courier New" w:cs="Courier New" w:eastAsia="Courier New" w:hAnsi="Courier New"/>
                <w:sz w:val="18"/>
                <w:szCs w:val="18"/>
                <w:color w:val="auto"/>
              </w:rPr>
              <w:t>The Netherlands</w:t>
            </w:r>
          </w:p>
        </w:tc>
        <w:tc>
          <w:tcPr>
            <w:tcW w:w="19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20" w:type="dxa"/>
            <w:vAlign w:val="bottom"/>
          </w:tcPr>
          <w:p>
            <w:pPr>
              <w:ind w:left="320"/>
              <w:spacing w:after="0"/>
              <w:rPr>
                <w:sz w:val="20"/>
                <w:szCs w:val="20"/>
                <w:color w:val="auto"/>
              </w:rPr>
            </w:pPr>
            <w:r>
              <w:rPr>
                <w:rFonts w:ascii="Courier New" w:cs="Courier New" w:eastAsia="Courier New" w:hAnsi="Courier New"/>
                <w:sz w:val="18"/>
                <w:szCs w:val="18"/>
                <w:color w:val="auto"/>
              </w:rPr>
              <w:t>2514 JG</w:t>
            </w:r>
          </w:p>
        </w:tc>
      </w:tr>
      <w:tr>
        <w:trPr>
          <w:trHeight w:val="405"/>
        </w:trPr>
        <w:tc>
          <w:tcPr>
            <w:tcW w:w="5060" w:type="dxa"/>
            <w:vAlign w:val="bottom"/>
            <w:gridSpan w:val="3"/>
          </w:tcPr>
          <w:p>
            <w:pPr>
              <w:spacing w:after="0"/>
              <w:rPr>
                <w:sz w:val="20"/>
                <w:szCs w:val="20"/>
                <w:color w:val="auto"/>
              </w:rPr>
            </w:pPr>
            <w:r>
              <w:rPr>
                <w:rFonts w:ascii="Courier New" w:cs="Courier New" w:eastAsia="Courier New" w:hAnsi="Courier New"/>
                <w:sz w:val="18"/>
                <w:szCs w:val="18"/>
                <w:color w:val="auto"/>
              </w:rPr>
              <w:t>(Addresses of principal executive offices)</w:t>
            </w:r>
          </w:p>
        </w:tc>
        <w:tc>
          <w:tcPr>
            <w:tcW w:w="3060" w:type="dxa"/>
            <w:vAlign w:val="bottom"/>
            <w:gridSpan w:val="2"/>
          </w:tcPr>
          <w:p>
            <w:pPr>
              <w:ind w:left="520"/>
              <w:spacing w:after="0"/>
              <w:rPr>
                <w:sz w:val="20"/>
                <w:szCs w:val="20"/>
                <w:color w:val="auto"/>
              </w:rPr>
            </w:pPr>
            <w:r>
              <w:rPr>
                <w:rFonts w:ascii="Courier New" w:cs="Courier New" w:eastAsia="Courier New" w:hAnsi="Courier New"/>
                <w:sz w:val="18"/>
                <w:szCs w:val="18"/>
                <w:color w:val="auto"/>
              </w:rPr>
              <w:t>(Zip or Postal Codes)</w:t>
            </w:r>
          </w:p>
        </w:tc>
      </w:tr>
    </w:tbl>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ind w:left="320"/>
        <w:spacing w:after="0"/>
        <w:rPr>
          <w:sz w:val="20"/>
          <w:szCs w:val="20"/>
          <w:color w:val="auto"/>
        </w:rPr>
      </w:pPr>
      <w:r>
        <w:rPr>
          <w:rFonts w:ascii="Courier New" w:cs="Courier New" w:eastAsia="Courier New" w:hAnsi="Courier New"/>
          <w:sz w:val="16"/>
          <w:szCs w:val="16"/>
          <w:color w:val="auto"/>
        </w:rPr>
        <w:t>Registrant's telephone number in the United States, including area code: (212) 350-9400</w:t>
      </w:r>
    </w:p>
    <w:p>
      <w:pPr>
        <w:sectPr>
          <w:pgSz w:w="11900" w:h="16838" w:orient="portrait"/>
          <w:cols w:equalWidth="0" w:num="1">
            <w:col w:w="9999"/>
          </w:cols>
          <w:pgMar w:left="460" w:top="649" w:right="1440" w:bottom="1440" w:gutter="0" w:footer="0" w:header="0"/>
        </w:sectPr>
      </w:pPr>
    </w:p>
    <w:bookmarkStart w:id="1" w:name="page2"/>
    <w:bookmarkEnd w:id="1"/>
    <w:p>
      <w:pPr>
        <w:spacing w:after="0"/>
        <w:tabs>
          <w:tab w:leader="none" w:pos="146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Acquisition or Disposition of Assets</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On April 6, 2001, Schlumberger Investments, a wholly owned subsidiary of Schlumberger Limited, announced that its offer for the ordinary share capital of Sema plc had been declared unconditional in all respects. The offer remains open for acceptance until further notice, and withdrawal rights of holders of Sema shares have terminated.</w:t>
      </w:r>
    </w:p>
    <w:p>
      <w:pPr>
        <w:spacing w:after="0" w:line="209"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As at 3:00 p.m. (London time), 10:00 a.m. (New York City time), on April 6, 2001, valid acceptances had been received in respect of 401,473,685 Sema shares and in respect of 5,539,937 Sema American depositary shares, each representing two Sema shares. These acceptances represent approximately 67% of the issued share capital of Sema. In addition, Schlumberger Investments has acquired 122,869,697 Sema shares through market purchases, representing approximately 20.0% of the issued share capital of Sema. Accordingly, as at 3:00 p.m. (London time), 10:00 a.m. (New York City time), on April 6, 2001, Schlumberger Investments had acquired 524,343,382 Sema shares, representing approximately 87% of the issued share capital of Sema.</w:t>
      </w:r>
    </w:p>
    <w:p>
      <w:pPr>
        <w:spacing w:after="0" w:line="215" w:lineRule="exact"/>
        <w:rPr>
          <w:sz w:val="20"/>
          <w:szCs w:val="20"/>
          <w:color w:val="auto"/>
        </w:rPr>
      </w:pPr>
    </w:p>
    <w:p>
      <w:pPr>
        <w:ind w:right="2619" w:firstLine="948"/>
        <w:spacing w:after="0" w:line="268" w:lineRule="auto"/>
        <w:rPr>
          <w:sz w:val="20"/>
          <w:szCs w:val="20"/>
          <w:color w:val="auto"/>
        </w:rPr>
      </w:pPr>
      <w:r>
        <w:rPr>
          <w:rFonts w:ascii="Courier New" w:cs="Courier New" w:eastAsia="Courier New" w:hAnsi="Courier New"/>
          <w:sz w:val="16"/>
          <w:szCs w:val="16"/>
          <w:color w:val="auto"/>
        </w:rPr>
        <w:t>As a result of acceptances since April 6, 2001, Schlumberger Investments has received valid acceptances of the offer in respect of or otherwise acquired more than 90% of the Sema shares. As anticipated in</w:t>
      </w:r>
    </w:p>
    <w:p>
      <w:pPr>
        <w:spacing w:after="0" w:line="233" w:lineRule="auto"/>
        <w:rPr>
          <w:sz w:val="20"/>
          <w:szCs w:val="20"/>
          <w:color w:val="auto"/>
        </w:rPr>
      </w:pPr>
      <w:r>
        <w:rPr>
          <w:rFonts w:ascii="Courier New" w:cs="Courier New" w:eastAsia="Courier New" w:hAnsi="Courier New"/>
          <w:sz w:val="18"/>
          <w:szCs w:val="18"/>
          <w:color w:val="auto"/>
        </w:rPr>
        <w:t>its offer document dated February 21, 2001, Schlumberger Investments will seek</w:t>
      </w:r>
    </w:p>
    <w:p>
      <w:pPr>
        <w:spacing w:after="0"/>
        <w:rPr>
          <w:sz w:val="20"/>
          <w:szCs w:val="20"/>
          <w:color w:val="auto"/>
        </w:rPr>
      </w:pPr>
      <w:r>
        <w:rPr>
          <w:rFonts w:ascii="Courier New" w:cs="Courier New" w:eastAsia="Courier New" w:hAnsi="Courier New"/>
          <w:sz w:val="18"/>
          <w:szCs w:val="18"/>
          <w:color w:val="auto"/>
        </w:rPr>
        <w:t>to acquire compulsorily the remaining Sema shares pursuant to sections 428 to</w:t>
      </w:r>
    </w:p>
    <w:p>
      <w:pPr>
        <w:spacing w:after="0" w:line="237" w:lineRule="auto"/>
        <w:rPr>
          <w:sz w:val="20"/>
          <w:szCs w:val="20"/>
          <w:color w:val="auto"/>
        </w:rPr>
      </w:pPr>
      <w:r>
        <w:rPr>
          <w:rFonts w:ascii="Courier New" w:cs="Courier New" w:eastAsia="Courier New" w:hAnsi="Courier New"/>
          <w:sz w:val="18"/>
          <w:szCs w:val="18"/>
          <w:color w:val="auto"/>
        </w:rPr>
        <w:t>430F of the U.K. Companies Act 1985. The aggregate consideration for the</w:t>
      </w:r>
    </w:p>
    <w:p>
      <w:pPr>
        <w:spacing w:after="0"/>
        <w:rPr>
          <w:sz w:val="20"/>
          <w:szCs w:val="20"/>
          <w:color w:val="auto"/>
        </w:rPr>
      </w:pPr>
      <w:r>
        <w:rPr>
          <w:rFonts w:ascii="Courier New" w:cs="Courier New" w:eastAsia="Courier New" w:hAnsi="Courier New"/>
          <w:sz w:val="18"/>
          <w:szCs w:val="18"/>
          <w:color w:val="auto"/>
        </w:rPr>
        <w:t>acquisition of 100% of the issued Sema shares is expected to be approximately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$5.2 billion in cash (including expenses of the transaction). The purchase price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 Sema shares acquired in the offer was determined following arm's length</w:t>
      </w:r>
    </w:p>
    <w:p>
      <w:pPr>
        <w:spacing w:after="0" w:line="238" w:lineRule="auto"/>
        <w:rPr>
          <w:sz w:val="20"/>
          <w:szCs w:val="20"/>
          <w:color w:val="auto"/>
        </w:rPr>
      </w:pPr>
      <w:r>
        <w:rPr>
          <w:rFonts w:ascii="Courier New" w:cs="Courier New" w:eastAsia="Courier New" w:hAnsi="Courier New"/>
          <w:sz w:val="18"/>
          <w:szCs w:val="18"/>
          <w:color w:val="auto"/>
        </w:rPr>
        <w:t>negotiations with Sema's management regarding its recommendation of the offer.</w:t>
      </w:r>
    </w:p>
    <w:p>
      <w:pPr>
        <w:spacing w:after="0" w:line="207" w:lineRule="exact"/>
        <w:rPr>
          <w:sz w:val="20"/>
          <w:szCs w:val="20"/>
          <w:color w:val="auto"/>
        </w:rPr>
      </w:pPr>
    </w:p>
    <w:p>
      <w:pPr>
        <w:ind w:right="1779" w:firstLine="948"/>
        <w:spacing w:after="0" w:line="272" w:lineRule="auto"/>
        <w:rPr>
          <w:sz w:val="20"/>
          <w:szCs w:val="20"/>
          <w:color w:val="auto"/>
        </w:rPr>
      </w:pPr>
      <w:r>
        <w:rPr>
          <w:rFonts w:ascii="Courier New" w:cs="Courier New" w:eastAsia="Courier New" w:hAnsi="Courier New"/>
          <w:sz w:val="16"/>
          <w:szCs w:val="16"/>
          <w:color w:val="auto"/>
        </w:rPr>
        <w:t>The acquisition of Sema is being financed through existing cash resources of Schlumberger and from borrowings under Schlumberger's $3 billion credit facility dated February 20, 2001 with JP Morgan Plc, BNP Paribas, Salomon Brothers International Limited and Lehman Brothers International (Europe) (each as arrangers), Citibank International Plc as facility agent, and The Chase Manhattan Bank, BNP Paribas Citibank, N.A. and Lehman Commercial Paper Inc.</w:t>
      </w:r>
    </w:p>
    <w:p>
      <w:pPr>
        <w:spacing w:after="0" w:line="186"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Sema is an IT services company that provides its customers with the design, implementation, operations and management of information systems and IT-related consulting services. Among the industry sectors which Sema serves, Sema has increasingly focused on the telecommunications and finance sectors, and provides a range of its own software products specifically designed for these sectors in addition to its IT services. Sema's customers include a wide variety of businesses and governmental departments around the world. Sema's services and product offerings include systems integration and consulting; software products for the telecommunications, energy, transport and finance sectors; and outsourcing.</w:t>
      </w:r>
    </w:p>
    <w:p>
      <w:pPr>
        <w:spacing w:after="0" w:line="215"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Except as described in this paragraph, it is currently expected that the business and operations of Sema will continue to be conducted as they are currently being conducted. Schlumberger will continue to evaluate all aspects of the business, operations, capitalization,</w:t>
      </w:r>
    </w:p>
    <w:p>
      <w:pPr>
        <w:sectPr>
          <w:pgSz w:w="11900" w:h="16838" w:orient="portrait"/>
          <w:cols w:equalWidth="0" w:num="1">
            <w:col w:w="10219"/>
          </w:cols>
          <w:pgMar w:left="240" w:top="717" w:right="1440" w:bottom="1440" w:gutter="0" w:footer="0" w:header="0"/>
        </w:sectPr>
      </w:pPr>
    </w:p>
    <w:bookmarkStart w:id="2" w:name="page3"/>
    <w:bookmarkEnd w:id="2"/>
    <w:p>
      <w:pPr>
        <w:ind w:right="1779"/>
        <w:spacing w:after="0" w:line="237" w:lineRule="auto"/>
        <w:rPr>
          <w:sz w:val="20"/>
          <w:szCs w:val="20"/>
          <w:color w:val="auto"/>
        </w:rPr>
      </w:pPr>
      <w:r>
        <w:rPr>
          <w:rFonts w:ascii="Courier New" w:cs="Courier New" w:eastAsia="Courier New" w:hAnsi="Courier New"/>
          <w:sz w:val="18"/>
          <w:szCs w:val="18"/>
          <w:color w:val="auto"/>
        </w:rPr>
        <w:t>corporate and organizational structure, and management of Sema and will take such further actions as it deems appropriate under the circumstances then existing. Prior to the negotiations that resulted in the offer, Schlumberger had no material relationship with Sema or any substantial shareholder thereof.</w:t>
      </w:r>
    </w:p>
    <w:p>
      <w:pPr>
        <w:spacing w:after="0" w:line="202"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Financial Statements and Exhibits</w:t>
      </w:r>
    </w:p>
    <w:p>
      <w:pPr>
        <w:spacing w:after="0" w:line="201" w:lineRule="exact"/>
        <w:rPr>
          <w:sz w:val="20"/>
          <w:szCs w:val="20"/>
          <w:color w:val="auto"/>
        </w:rPr>
      </w:pPr>
    </w:p>
    <w:p>
      <w:pPr>
        <w:ind w:left="1900" w:hanging="944"/>
        <w:spacing w:after="0"/>
        <w:tabs>
          <w:tab w:leader="none" w:pos="190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Financial Statements of Business Acquired.</w:t>
      </w:r>
    </w:p>
    <w:p>
      <w:pPr>
        <w:spacing w:after="0" w:line="207" w:lineRule="exact"/>
        <w:rPr>
          <w:sz w:val="20"/>
          <w:szCs w:val="20"/>
          <w:color w:val="auto"/>
        </w:rPr>
      </w:pPr>
    </w:p>
    <w:p>
      <w:pPr>
        <w:ind w:right="1779" w:firstLine="948"/>
        <w:spacing w:after="0" w:line="271" w:lineRule="auto"/>
        <w:rPr>
          <w:sz w:val="20"/>
          <w:szCs w:val="20"/>
          <w:color w:val="auto"/>
        </w:rPr>
      </w:pPr>
      <w:r>
        <w:rPr>
          <w:rFonts w:ascii="Courier New" w:cs="Courier New" w:eastAsia="Courier New" w:hAnsi="Courier New"/>
          <w:sz w:val="16"/>
          <w:szCs w:val="16"/>
          <w:color w:val="auto"/>
        </w:rPr>
        <w:t>Provision of the financial statements for Sema required by this item within 15 days is impracticable. The required financial statements will be filed by an amendment to this Current Report on Form 8-K as soon as practicable, but not later than 60 days after this Report is required to be filed. The Sema financial statements will be denominated in UK Sterling using accounting principles generally accepted in the United Kingdon, with a reconcilation to accounting principles generally accepted in the United States.</w:t>
      </w:r>
    </w:p>
    <w:p>
      <w:pPr>
        <w:spacing w:after="0" w:line="182" w:lineRule="exact"/>
        <w:rPr>
          <w:sz w:val="20"/>
          <w:szCs w:val="20"/>
          <w:color w:val="auto"/>
        </w:rPr>
      </w:pPr>
    </w:p>
    <w:p>
      <w:pPr>
        <w:ind w:left="1900" w:hanging="944"/>
        <w:spacing w:after="0"/>
        <w:tabs>
          <w:tab w:leader="none" w:pos="190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 Forma Financial Information.</w:t>
      </w:r>
    </w:p>
    <w:p>
      <w:pPr>
        <w:spacing w:after="0" w:line="207"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Provision of the pro forma financial information required by this item within 15 days is impracticable. The required pro forma financial information will be filed by an amendment to this Current Report on Form 8-K as soon as practicable, but not later than 60 days after this Report is required to be filed.</w:t>
      </w:r>
    </w:p>
    <w:p>
      <w:pPr>
        <w:spacing w:after="0" w:line="209" w:lineRule="exact"/>
        <w:rPr>
          <w:sz w:val="20"/>
          <w:szCs w:val="20"/>
          <w:color w:val="auto"/>
        </w:rPr>
      </w:pPr>
    </w:p>
    <w:p>
      <w:pPr>
        <w:ind w:right="1779" w:firstLine="948"/>
        <w:spacing w:after="0" w:line="290" w:lineRule="auto"/>
        <w:rPr>
          <w:sz w:val="20"/>
          <w:szCs w:val="20"/>
          <w:color w:val="auto"/>
        </w:rPr>
      </w:pPr>
      <w:r>
        <w:rPr>
          <w:rFonts w:ascii="Courier New" w:cs="Courier New" w:eastAsia="Courier New" w:hAnsi="Courier New"/>
          <w:sz w:val="16"/>
          <w:szCs w:val="16"/>
          <w:color w:val="auto"/>
        </w:rPr>
        <w:t>For financial reporting purposes, Schlumberger will include the results of operations of Sema in its consolidated accounts commencing April 1, 2001.</w:t>
      </w:r>
    </w:p>
    <w:p>
      <w:pPr>
        <w:spacing w:after="0" w:line="164" w:lineRule="exact"/>
        <w:rPr>
          <w:sz w:val="20"/>
          <w:szCs w:val="20"/>
          <w:color w:val="auto"/>
        </w:rPr>
      </w:pPr>
    </w:p>
    <w:p>
      <w:pPr>
        <w:ind w:left="1900" w:hanging="944"/>
        <w:spacing w:after="0"/>
        <w:tabs>
          <w:tab w:leader="none" w:pos="19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w:t>
      </w:r>
    </w:p>
    <w:p>
      <w:pPr>
        <w:spacing w:after="0" w:line="201" w:lineRule="exact"/>
        <w:rPr>
          <w:rFonts w:ascii="Courier New" w:cs="Courier New" w:eastAsia="Courier New" w:hAnsi="Courier New"/>
          <w:sz w:val="18"/>
          <w:szCs w:val="18"/>
          <w:color w:val="auto"/>
        </w:rPr>
      </w:pPr>
    </w:p>
    <w:p>
      <w:pPr>
        <w:ind w:left="9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ectPr>
          <w:pgSz w:w="11900" w:h="16838" w:orient="portrait"/>
          <w:cols w:equalWidth="0" w:num="1">
            <w:col w:w="10219"/>
          </w:cols>
          <w:pgMar w:left="240" w:top="723" w:right="1440" w:bottom="1440" w:gutter="0" w:footer="0" w:header="0"/>
        </w:sectPr>
      </w:pPr>
    </w:p>
    <w:bookmarkStart w:id="3" w:name="page4"/>
    <w:bookmarkEnd w:id="3"/>
    <w:p>
      <w:pPr>
        <w:ind w:left="37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999" w:firstLine="1369"/>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6"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SCHLUMBERGER N.V.</w:t>
      </w:r>
    </w:p>
    <w:p>
      <w:pPr>
        <w:ind w:left="4320"/>
        <w:spacing w:after="0" w:line="238" w:lineRule="auto"/>
        <w:rPr>
          <w:sz w:val="20"/>
          <w:szCs w:val="20"/>
          <w:color w:val="auto"/>
        </w:rPr>
      </w:pPr>
      <w:r>
        <w:rPr>
          <w:rFonts w:ascii="Courier New" w:cs="Courier New" w:eastAsia="Courier New" w:hAnsi="Courier New"/>
          <w:sz w:val="18"/>
          <w:szCs w:val="18"/>
          <w:color w:val="auto"/>
        </w:rPr>
        <w:t>(SCHLUMBERGER LIMITED)</w:t>
      </w:r>
    </w:p>
    <w:p>
      <w:pPr>
        <w:spacing w:after="0" w:line="200" w:lineRule="exact"/>
        <w:rPr>
          <w:sz w:val="20"/>
          <w:szCs w:val="20"/>
          <w:color w:val="auto"/>
        </w:rPr>
      </w:pPr>
    </w:p>
    <w:p>
      <w:pPr>
        <w:spacing w:after="0" w:line="204" w:lineRule="exact"/>
        <w:rPr>
          <w:sz w:val="20"/>
          <w:szCs w:val="20"/>
          <w:color w:val="auto"/>
        </w:rPr>
      </w:pPr>
    </w:p>
    <w:p>
      <w:pPr>
        <w:jc w:val="center"/>
        <w:ind w:right="-120"/>
        <w:spacing w:after="0"/>
        <w:tabs>
          <w:tab w:leader="none" w:pos="280" w:val="left"/>
          <w:tab w:leader="none" w:pos="200" w:val="left"/>
        </w:tabs>
        <w:rPr>
          <w:sz w:val="20"/>
          <w:szCs w:val="20"/>
          <w:color w:val="auto"/>
        </w:rPr>
      </w:pPr>
      <w:r>
        <w:rPr>
          <w:rFonts w:ascii="Courier New" w:cs="Courier New" w:eastAsia="Courier New" w:hAnsi="Courier New"/>
          <w:sz w:val="18"/>
          <w:szCs w:val="18"/>
          <w:color w:val="auto"/>
        </w:rPr>
        <w:t>By:</w:t>
        <w:tab/>
        <w:t>/s/</w:t>
      </w:r>
      <w:r>
        <w:rPr>
          <w:sz w:val="20"/>
          <w:szCs w:val="20"/>
          <w:color w:val="auto"/>
        </w:rPr>
        <w:tab/>
      </w:r>
      <w:r>
        <w:rPr>
          <w:rFonts w:ascii="Courier New" w:cs="Courier New" w:eastAsia="Courier New" w:hAnsi="Courier New"/>
          <w:sz w:val="16"/>
          <w:szCs w:val="16"/>
          <w:color w:val="auto"/>
        </w:rPr>
        <w:t>Jean-Marc Perraud</w:t>
      </w:r>
    </w:p>
    <w:p>
      <w:pPr>
        <w:ind w:left="4320"/>
        <w:spacing w:after="0" w:line="238" w:lineRule="auto"/>
        <w:rPr>
          <w:sz w:val="20"/>
          <w:szCs w:val="20"/>
          <w:color w:val="auto"/>
        </w:rPr>
      </w:pPr>
      <w:r>
        <w:rPr>
          <w:rFonts w:ascii="Courier New" w:cs="Courier New" w:eastAsia="Courier New" w:hAnsi="Courier New"/>
          <w:sz w:val="18"/>
          <w:szCs w:val="18"/>
          <w:color w:val="auto"/>
        </w:rPr>
        <w:t>----------------------------</w:t>
      </w:r>
    </w:p>
    <w:p>
      <w:pPr>
        <w:ind w:left="4640"/>
        <w:spacing w:after="0"/>
        <w:rPr>
          <w:sz w:val="20"/>
          <w:szCs w:val="20"/>
          <w:color w:val="auto"/>
        </w:rPr>
      </w:pPr>
      <w:r>
        <w:rPr>
          <w:rFonts w:ascii="Courier New" w:cs="Courier New" w:eastAsia="Courier New" w:hAnsi="Courier New"/>
          <w:sz w:val="18"/>
          <w:szCs w:val="18"/>
          <w:color w:val="auto"/>
        </w:rPr>
        <w:t>Jean-Marc Perraud</w:t>
      </w:r>
    </w:p>
    <w:p>
      <w:pPr>
        <w:spacing w:after="0" w:line="3"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Controller, Chief Accounting Officer</w:t>
      </w:r>
    </w:p>
    <w:p>
      <w:pPr>
        <w:spacing w:after="0" w:line="16" w:lineRule="exact"/>
        <w:rPr>
          <w:sz w:val="20"/>
          <w:szCs w:val="20"/>
          <w:color w:val="auto"/>
        </w:rPr>
      </w:pPr>
    </w:p>
    <w:p>
      <w:pPr>
        <w:ind w:left="5380"/>
        <w:spacing w:after="0"/>
        <w:rPr>
          <w:sz w:val="20"/>
          <w:szCs w:val="20"/>
          <w:color w:val="auto"/>
        </w:rPr>
      </w:pPr>
      <w:r>
        <w:rPr>
          <w:rFonts w:ascii="Courier New" w:cs="Courier New" w:eastAsia="Courier New" w:hAnsi="Courier New"/>
          <w:sz w:val="18"/>
          <w:szCs w:val="18"/>
          <w:color w:val="auto"/>
        </w:rPr>
        <w:t>and Treasurer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April 20, 2001</w:t>
      </w:r>
    </w:p>
    <w:sectPr>
      <w:pgSz w:w="11900" w:h="16838" w:orient="portrait"/>
      <w:cols w:equalWidth="0" w:num="1">
        <w:col w:w="10219"/>
      </w:cols>
      <w:pgMar w:left="240" w:top="7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lowerLetter"/>
      <w:start w:val="1"/>
    </w:lvl>
  </w:abstractNum>
  <w:abstractNum w:abstractNumId="1">
    <w:nsid w:val="74B0DC51"/>
    <w:multiLevelType w:val="hybridMultilevel"/>
    <w:lvl w:ilvl="0">
      <w:lvlJc w:val="left"/>
      <w:lvlText w:val="(%1)"/>
      <w:numFmt w:val="lowerLetter"/>
      <w:start w:val="2"/>
    </w:lvl>
  </w:abstractNum>
  <w:abstractNum w:abstractNumId="2">
    <w:nsid w:val="19495CFF"/>
    <w:multiLevelType w:val="hybridMultilevel"/>
    <w:lvl w:ilvl="0">
      <w:lvlJc w:val="left"/>
      <w:lvlText w:val="(%1)"/>
      <w:numFmt w:val="lowerLetter"/>
      <w:start w:val="3"/>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2019-12-13T06:31:02Z</dcterms:created>
  <dcterms:modified xsi:type="dcterms:W3CDTF">2019-12-13T06:31:02Z</dcterms:modified>
</cp:coreProperties>
</file>