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56" w:lineRule="auto"/>
        <w:rPr>
          <w:sz w:val="20"/>
          <w:szCs w:val="20"/>
          <w:color w:val="auto"/>
        </w:rPr>
      </w:pPr>
      <w:r>
        <w:rPr>
          <w:rFonts w:ascii="Arial" w:cs="Arial" w:eastAsia="Arial" w:hAnsi="Arial"/>
          <w:sz w:val="18"/>
          <w:szCs w:val="18"/>
          <w:color w:val="auto"/>
        </w:rPr>
        <w:t>This document supplements the prospectus of Schlumberger Limited dated November 4, 2003 relating to the 1.500% Series A Convertible Debentures due June 1, 2023, the 2.125% Series B Convertible Debentures due June 1, 2023 and the shares of common stock originally issuable upon conversion of the debentures. The information in this prospectus supplement replaces and supersedes the information set forth under the heading “Selling Securityholders” in the prospectus dated November 4, 2003.</w:t>
      </w:r>
    </w:p>
    <w:p>
      <w:pPr>
        <w:spacing w:after="0" w:line="130" w:lineRule="exact"/>
        <w:rPr>
          <w:sz w:val="24"/>
          <w:szCs w:val="24"/>
          <w:color w:val="auto"/>
        </w:rPr>
      </w:pPr>
    </w:p>
    <w:p>
      <w:pPr>
        <w:ind w:right="38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November 13, 2003, the closing sale price of our common stock as reported on the New York Stock Exchange was $47.62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November 14, 2003.</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w w:val="98"/>
              </w:rPr>
              <w:t>Argent Classic Convertible Arbitrage (Bermuda)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10,200,000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128,142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107,025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29,900,000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12,050,000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150,625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158,993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&amp; Co. Inc.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2,830,000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7"/>
              </w:rPr>
              <w:t>California State Auto Association Retirement Pension Plan</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Percentage</w:t>
            </w:r>
          </w:p>
        </w:tc>
        <w:tc>
          <w:tcPr>
            <w:tcW w:w="13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Owned</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of Series B</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That May</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Debentures</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6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Be Sold</w:t>
            </w: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960,000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270,000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414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CQS Convertible &amp; Quantatitive Strategies Master Fund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2,400,000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7,788,000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107,672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9,633,000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133,181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4,223,500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58,391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14,900,000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330,999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3,871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Deutsche Asset Management Investmentgesellschaft Funds TRT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6,359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8,287,000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114,571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2,972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1,480,000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3,750,000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51,845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80,000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2,738,000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34,225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1,005,000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172,818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7,400,000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169,922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1,541,000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19,262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705,000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6,400,000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51,000,000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11.3</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637,500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Goldman Sachs &amp; Co. Profit Sharing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3,179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Hamburger Pensionskasse von 1905 VvaG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6,428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11,060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43,958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OZ Convertible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3,038,000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OZ MAC 13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OZ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36,742,000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507,976</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Potlach</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RBC Alternative Assets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Relay 11 Holdings Co.</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Rhapsody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1,800,000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24,885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14,000,000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193,557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75,302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69,127(4)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1,225,000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16,936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76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116,000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3"/>
              </w:rPr>
              <w:t>State Employees’ Retirement Fund of the State of Delaware—</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International</w:t>
            </w:r>
          </w:p>
        </w:tc>
        <w:tc>
          <w:tcPr>
            <w:tcW w:w="1500" w:type="dxa"/>
            <w:vAlign w:val="bottom"/>
            <w:gridSpan w:val="3"/>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2,965,000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40,992</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4,555,000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103,287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9,150,000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114,375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35,575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27,500,000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380,201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1,030,000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14,240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138,255(5)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10,369(6)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55,548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31,562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AG London Branch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UBS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1,859,000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23,237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HealthCare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16,250,000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224,664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38,612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942,000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13,023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4,463,000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61,703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235,033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303,000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31,798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1500" w:type="dxa"/>
            <w:vAlign w:val="bottom"/>
            <w:gridSpan w:val="3"/>
          </w:tcPr>
          <w:p>
            <w:pPr>
              <w:jc w:val="right"/>
              <w:ind w:right="540"/>
              <w:spacing w:after="0"/>
              <w:rPr>
                <w:sz w:val="20"/>
                <w:szCs w:val="20"/>
                <w:color w:val="auto"/>
              </w:rPr>
            </w:pPr>
            <w:r>
              <w:rPr>
                <w:rFonts w:ascii="Arial" w:cs="Arial" w:eastAsia="Arial" w:hAnsi="Arial"/>
                <w:sz w:val="14"/>
                <w:szCs w:val="14"/>
                <w:color w:val="auto"/>
              </w:rPr>
              <w:t>6,500,000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5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89,865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58,067</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4"/>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4"/>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Benchmarks Master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28,750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2019-12-13T06:50:15Z</dcterms:created>
  <dcterms:modified xsi:type="dcterms:W3CDTF">2019-12-13T06:50:15Z</dcterms:modified>
</cp:coreProperties>
</file>