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0"/>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0" w:space="720"/>
            <w:col w:w="2720" w:space="720"/>
            <w:col w:w="2240"/>
          </w:cols>
          <w:pgMar w:left="440" w:top="393" w:right="439" w:bottom="1440" w:gutter="0" w:footer="0" w:header="0"/>
          <w:type w:val="continuous"/>
        </w:sectPr>
      </w:pPr>
    </w:p>
    <w:p>
      <w:pPr>
        <w:jc w:val="center"/>
        <w:ind w:right="720"/>
        <w:spacing w:after="0"/>
        <w:rPr>
          <w:sz w:val="20"/>
          <w:szCs w:val="20"/>
          <w:color w:val="auto"/>
        </w:rPr>
      </w:pPr>
      <w:r>
        <w:rPr>
          <w:rFonts w:ascii="Arial" w:cs="Arial" w:eastAsia="Arial" w:hAnsi="Arial"/>
          <w:sz w:val="14"/>
          <w:szCs w:val="14"/>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0" w:space="720"/>
            <w:col w:w="2760" w:space="720"/>
            <w:col w:w="2380"/>
          </w:cols>
          <w:pgMar w:left="440" w:top="393" w:right="439" w:bottom="1440" w:gutter="0" w:footer="0" w:header="0"/>
          <w:type w:val="continuous"/>
        </w:sectPr>
      </w:pP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0"/>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0"/>
          </w:cols>
          <w:pgMar w:left="440" w:top="393" w:right="439" w:bottom="1440" w:gutter="0" w:footer="0" w:header="0"/>
          <w:type w:val="continuous"/>
        </w:sectPr>
      </w:pP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9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Arial" w:cs="Arial" w:eastAsia="Arial" w:hAnsi="Arial"/>
          <w:sz w:val="18"/>
          <w:szCs w:val="18"/>
          <w:b w:val="1"/>
          <w:bCs w:val="1"/>
          <w:color w:val="auto"/>
        </w:rPr>
        <w:t>Completion of Acquisition or Disposition of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ChampionX Corporation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July 16, 2025, under the terms of the Agreement and Plan of Merger (the “Merger Agreement”), dated as of April 2, 2024, by and among Schlumberger Limited, a Curaçao corporation (“SLB”), and its indirect, wholly owned subsidiaries, Sodium Holdco, Inc., a Delaware corporation (“Holdco”), and Sodium Merger Sub, Inc., a Delaware corporation (“Merger Sub” and, together with SLB and Holdco, the “SLB Parties”), and ChampionX Corporation, a Delaware corporation (“ChampionX”), SLB acquired ChampionX in an all-stock transaction.</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terms of the Merger Agreement, Holdco acquired all of the issued and outstanding capital stock of ChampionX in a transaction in which Merger Sub merged with and into ChampionX, with ChampionX surviving the merger as a wholly owned subsidiary of Holdco and an indirect wholly owned subsidiary of SLB (the “Merger”). At the effective time of the Merger (the “Effective Time”), each share of ChampionX common stock issued and outstanding immediately prior to the Effective Time (other than any shares of ChampionX common stock held in the treasury of ChampionX or held by the SLB Parties or any direct or indirect subsidiary of SLB) was exchanged for 0.735 shares of SLB common stock (the “Exchange Ratio,” and the shares issued in the Merger, the “Merger Shares”) and, if applicable, cash (without interest) in lieu of fractional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each issued and outstanding ChampionX equity incentive award was cancelled and converted as follows:</w:t>
      </w:r>
    </w:p>
    <w:p>
      <w:pPr>
        <w:spacing w:after="0" w:line="117" w:lineRule="exact"/>
        <w:rPr>
          <w:sz w:val="20"/>
          <w:szCs w:val="20"/>
          <w:color w:val="auto"/>
        </w:rPr>
      </w:pPr>
    </w:p>
    <w:p>
      <w:pPr>
        <w:ind w:left="960" w:right="120" w:hanging="532"/>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stock option was converted into an option to acquire shares of SLB common stock based on the Exchange Ratio;</w:t>
      </w:r>
    </w:p>
    <w:p>
      <w:pPr>
        <w:spacing w:after="0" w:line="59" w:lineRule="exact"/>
        <w:rPr>
          <w:rFonts w:ascii="Arial" w:cs="Arial" w:eastAsia="Arial" w:hAnsi="Arial"/>
          <w:sz w:val="18"/>
          <w:szCs w:val="18"/>
          <w:color w:val="auto"/>
        </w:rPr>
      </w:pPr>
    </w:p>
    <w:p>
      <w:pPr>
        <w:jc w:val="both"/>
        <w:ind w:left="960" w:right="40" w:hanging="532"/>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stock appreciation right that was in-the-money (whether vested or unvested) was converted into cash based on the spread value of such ChampionX stock appreciation right multiplied by the Exchange Ratio and each out-of-the-money ChampionX stock appreciation right (whether vested or unvested) was cancelled for no consideration;</w:t>
      </w:r>
    </w:p>
    <w:p>
      <w:pPr>
        <w:spacing w:after="0" w:line="74" w:lineRule="exact"/>
        <w:rPr>
          <w:rFonts w:ascii="Arial" w:cs="Arial" w:eastAsia="Arial" w:hAnsi="Arial"/>
          <w:sz w:val="18"/>
          <w:szCs w:val="18"/>
          <w:color w:val="auto"/>
        </w:rPr>
      </w:pPr>
    </w:p>
    <w:p>
      <w:pPr>
        <w:ind w:left="960" w:right="100" w:hanging="532"/>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restricted stock unit award was converted into an SLB restricted stock unit award based on the Exchange Ratio, and each dividend equivalent right accrued under such ChampionX restricted stock units was cancelled and converted into the right to receive an amount in cash equal to the amount accrued in a bookkeeping account as of immediately prior to the Effective Time with respect to such dividend equivalent right;</w:t>
      </w:r>
    </w:p>
    <w:p>
      <w:pPr>
        <w:spacing w:after="0" w:line="79" w:lineRule="exact"/>
        <w:rPr>
          <w:rFonts w:ascii="Arial" w:cs="Arial" w:eastAsia="Arial" w:hAnsi="Arial"/>
          <w:sz w:val="18"/>
          <w:szCs w:val="18"/>
          <w:color w:val="auto"/>
        </w:rPr>
      </w:pPr>
    </w:p>
    <w:p>
      <w:pPr>
        <w:ind w:left="960" w:right="80" w:hanging="532"/>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performance share award was converted into an SLB restricted stock unit award based on the Exchange Ratio and based on the attainment of performance goals pursuant to the methodology agreed between SLB and ChampionX;</w:t>
      </w:r>
    </w:p>
    <w:p>
      <w:pPr>
        <w:spacing w:after="0" w:line="59" w:lineRule="exact"/>
        <w:rPr>
          <w:rFonts w:ascii="Arial" w:cs="Arial" w:eastAsia="Arial" w:hAnsi="Arial"/>
          <w:sz w:val="18"/>
          <w:szCs w:val="18"/>
          <w:color w:val="auto"/>
        </w:rPr>
      </w:pPr>
    </w:p>
    <w:p>
      <w:pPr>
        <w:ind w:left="960" w:right="40" w:hanging="532"/>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restricted stock award that was outstanding was assumed and converted into an SLB restricted stock award (covering a number of shares determined based on the Exchange Ratio); and</w:t>
      </w:r>
    </w:p>
    <w:p>
      <w:pPr>
        <w:spacing w:after="0" w:line="59" w:lineRule="exact"/>
        <w:rPr>
          <w:rFonts w:ascii="Arial" w:cs="Arial" w:eastAsia="Arial" w:hAnsi="Arial"/>
          <w:sz w:val="18"/>
          <w:szCs w:val="18"/>
          <w:color w:val="auto"/>
        </w:rPr>
      </w:pPr>
    </w:p>
    <w:p>
      <w:pPr>
        <w:ind w:left="960" w:right="20" w:hanging="532"/>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ChampionX deferred stock unit award was converted into the right to receive shares of SLB common stock based on the Exchange Ratio.</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issuance of Merger Shares was registered under the Securities Act of 1933, as amended (the “Securities Act”), pursuant to SLB’s registration statement on Form S-4 (File No. 333-278976), declared effective by the Securities and Exchange Commission (the “SEC”) on April 29, 2024.</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foregoing description of the Merger Agreement and the transactions contemplated thereby does not purport to be complete and is qualified in its entirety by reference to the Merger Agreement, a copy of which was filed with the SEC as Exhibit 2 to SLB’s Current Report on Form 8-K/A filed with the SEC on April 3, 2024 and the terms of which are incorporated by reference herein.</w:t>
      </w:r>
    </w:p>
    <w:p>
      <w:pPr>
        <w:sectPr>
          <w:pgSz w:w="11900" w:h="16838" w:orient="portrait"/>
          <w:cols w:equalWidth="0" w:num="1">
            <w:col w:w="11000"/>
          </w:cols>
          <w:pgMar w:left="440" w:top="296"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On July 16, 2025, SLB issued a press release announcing the completion of the Merger. A copy of the press release is furnished with this Form 8-K as Exhibit 99.1 and is incorporated into this Item 7.01 by reference.</w:t>
      </w:r>
    </w:p>
    <w:p>
      <w:pPr>
        <w:spacing w:after="0" w:line="154"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In accordance with General Instruction B.2. of Form 8-K, the information will not be deemed “filed” for purposes of Section 18 of the Securities Exchange Act of 1934, as amended (the “Exchange Act”), nor will it be deemed incorporated by reference in any filing under the Securities Act, except as expressly set forth by specific reference in such a filing.</w:t>
      </w:r>
    </w:p>
    <w:p>
      <w:pPr>
        <w:spacing w:after="0" w:line="317"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jc w:val="both"/>
        <w:ind w:left="664" w:right="280" w:hanging="659"/>
        <w:spacing w:after="0" w:line="25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2*</w:t>
      </w:r>
      <w:r>
        <w:rPr>
          <w:sz w:val="20"/>
          <w:szCs w:val="20"/>
          <w:color w:val="auto"/>
        </w:rPr>
        <w:tab/>
      </w:r>
      <w:hyperlink r:id="rId19">
        <w:r>
          <w:rPr>
            <w:rFonts w:ascii="Arial" w:cs="Arial" w:eastAsia="Arial" w:hAnsi="Arial"/>
            <w:sz w:val="18"/>
            <w:szCs w:val="18"/>
            <w:u w:val="single" w:color="auto"/>
            <w:color w:val="0000EE"/>
          </w:rPr>
          <w:t>Agreement and Plan of Merger among Schlumberger Limited, Sodium Holdco, Inc., Sodium Merger Sub, Inc., and ChampionX</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Corporation, dated April 2, 2024 (incorporated by reference to Exhibit 2 to SLB’s Current Report on Form 8-K/A filed on April 3,</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2024).</w:t>
        </w:r>
      </w:hyperlink>
    </w:p>
    <w:p>
      <w:pPr>
        <w:spacing w:after="0" w:line="61" w:lineRule="exact"/>
        <w:rPr>
          <w:rFonts w:ascii="Arial" w:cs="Arial" w:eastAsia="Arial" w:hAnsi="Arial"/>
          <w:sz w:val="18"/>
          <w:szCs w:val="18"/>
          <w:u w:val="single" w:color="auto"/>
          <w:color w:val="0000EE"/>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Press Release dated July 16, 2025.</w:t>
      </w:r>
    </w:p>
    <w:p>
      <w:pPr>
        <w:spacing w:after="0" w:line="104" w:lineRule="exact"/>
        <w:rPr>
          <w:rFonts w:ascii="Arial" w:cs="Arial" w:eastAsia="Arial" w:hAnsi="Arial"/>
          <w:sz w:val="18"/>
          <w:szCs w:val="18"/>
          <w:u w:val="single" w:color="auto"/>
          <w:color w:val="0000EE"/>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39" w:lineRule="exact"/>
        <w:rPr>
          <w:rFonts w:ascii="Arial" w:cs="Arial" w:eastAsia="Arial" w:hAnsi="Arial"/>
          <w:sz w:val="18"/>
          <w:szCs w:val="18"/>
          <w:u w:val="single" w:color="auto"/>
          <w:color w:val="0000EE"/>
        </w:rPr>
      </w:pPr>
    </w:p>
    <w:p>
      <w:pPr>
        <w:ind w:left="224" w:right="180" w:hanging="224"/>
        <w:spacing w:after="0" w:line="271"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601(b)(2). SLB agrees to furnish supplementally a copy of all omitted exhibits and schedules to the SEC upon its request.</w:t>
      </w:r>
    </w:p>
    <w:p>
      <w:pPr>
        <w:sectPr>
          <w:pgSz w:w="11900" w:h="16838" w:orient="portrait"/>
          <w:cols w:equalWidth="0" w:num="1">
            <w:col w:w="11004"/>
          </w:cols>
          <w:pgMar w:left="436" w:top="296"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2025</w:t>
      </w:r>
    </w:p>
    <w:p>
      <w:pPr>
        <w:sectPr>
          <w:pgSz w:w="11900" w:h="16838" w:orient="portrait"/>
          <w:cols w:equalWidth="0" w:num="1">
            <w:col w:w="10940"/>
          </w:cols>
          <w:pgMar w:left="440" w:top="296"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Completes Acquisition of ChampionX</w:t>
      </w: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Enhanced portfolio drives innovation in production and reservoir recovery, expands SLB’s presence in high-growth vertical, and accelerates digital adoption</w:t>
      </w:r>
    </w:p>
    <w:p>
      <w:pPr>
        <w:spacing w:after="0" w:line="13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auto"/>
        </w:rPr>
        <w:t xml:space="preserve">HOUSTON, July 16, 2025 — </w:t>
      </w:r>
      <w:r>
        <w:rPr>
          <w:rFonts w:ascii="Arial" w:cs="Arial" w:eastAsia="Arial" w:hAnsi="Arial"/>
          <w:sz w:val="18"/>
          <w:szCs w:val="18"/>
          <w:color w:val="auto"/>
        </w:rPr>
        <w:t>SLB (NYSE: SLB) announced today that it has closed its previously announced acquisition of ChampionX</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Under the terms of the agreement, ChampionX shareholders received 0.735 shares of SLB common stock in exchange for each ChampionX share. With the closing of the transaction, former ChampionX shareholders now own approximately 9% of SLB’s outstanding shares of common stock.</w:t>
      </w:r>
    </w:p>
    <w:p>
      <w:pPr>
        <w:spacing w:after="0" w:line="17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This strategic acquisition strengthens SLB’s leadership in the production and recovery space. The integration of ChampionX production chemicals and its complementary artificial lift, digital, and emissions technologies enhances the SLB portfolio, helping to drive performance and extend asset life along the production lifecycle. The combination of ChampionX’s leading production-focused solutions and customer relationships throughout North America and beyond, with SLB’s strong international presence and history of innovation, will drive significant value for customers and stakeholders globally. The acquisition also brings together two distinct sets of experts with domain knowledge and customer insights across the entire production and recovery space.</w:t>
      </w:r>
    </w:p>
    <w:p>
      <w:pPr>
        <w:spacing w:after="0" w:line="17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acquisition comes at a pivotal time in the industry as our customers increasingly prioritize advancements in production to maximize recovery of oil and gas,” said Olivier Le Peuch, chief executive officer of SLB. “This move expands SLB’s presence in this important, less cyclical, and growing market that aligns closely with our returns-focused, capital-light core growth strategy. It extends our capability to provide integrated production solutions and provides another platform for accelerating digital adoption, optimizing production and reducing total cost of ownership for our customers.”</w:t>
      </w:r>
    </w:p>
    <w:p>
      <w:pPr>
        <w:spacing w:after="0" w:line="176"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SLB remains on track to return $4 billion to shareholders in 2025 and expects to realize annual pretax synergies from the ChampionX acquisition of approximately $400 million within the first three years post-closing through revenue growth and cost savings.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w:t>
      </w:r>
      <w:r>
        <w:rPr>
          <w:rFonts w:ascii="Arial" w:cs="Arial" w:eastAsia="Arial" w:hAnsi="Arial"/>
          <w:sz w:val="18"/>
          <w:szCs w:val="18"/>
          <w:b w:val="1"/>
          <w:bCs w:val="1"/>
          <w:color w:val="auto"/>
        </w:rPr>
        <w:t>slb.com.</w:t>
      </w:r>
    </w:p>
    <w:p>
      <w:pPr>
        <w:sectPr>
          <w:pgSz w:w="11900" w:h="16838" w:orient="portrait"/>
          <w:cols w:equalWidth="0" w:num="1">
            <w:col w:w="11020"/>
          </w:cols>
          <w:pgMar w:left="440" w:top="12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w:t>
      </w:r>
    </w:p>
    <w:p>
      <w:pPr>
        <w:spacing w:after="0"/>
        <w:rPr>
          <w:sz w:val="20"/>
          <w:szCs w:val="20"/>
          <w:color w:val="auto"/>
        </w:rPr>
      </w:pPr>
      <w:r>
        <w:rPr>
          <w:rFonts w:ascii="Arial" w:cs="Arial" w:eastAsia="Arial" w:hAnsi="Arial"/>
          <w:sz w:val="17"/>
          <w:szCs w:val="17"/>
          <w:color w:val="auto"/>
        </w:rPr>
        <w:t>Moira Duff – Director of External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-213360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James R. McDonald – SVP of Investor Relations &amp; Industry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Affairs</w:t>
      </w:r>
    </w:p>
    <w:p>
      <w:pPr>
        <w:spacing w:after="0" w:line="234" w:lineRule="auto"/>
        <w:rPr>
          <w:sz w:val="20"/>
          <w:szCs w:val="20"/>
          <w:color w:val="auto"/>
        </w:rPr>
      </w:pPr>
      <w:r>
        <w:rPr>
          <w:rFonts w:ascii="Arial" w:cs="Arial" w:eastAsia="Arial" w:hAnsi="Arial"/>
          <w:sz w:val="18"/>
          <w:szCs w:val="18"/>
          <w:color w:val="auto"/>
        </w:rPr>
        <w:t>Joy V. Domingo – Director of Investor Relations</w:t>
      </w:r>
    </w:p>
    <w:p>
      <w:pPr>
        <w:spacing w:after="0" w:line="235"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0" w:lineRule="exact"/>
        <w:rPr>
          <w:sz w:val="20"/>
          <w:szCs w:val="20"/>
          <w:color w:val="auto"/>
        </w:rPr>
      </w:pPr>
    </w:p>
    <w:p>
      <w:pPr>
        <w:sectPr>
          <w:pgSz w:w="11900" w:h="16838" w:orient="portrait"/>
          <w:cols w:equalWidth="0" w:num="2">
            <w:col w:w="5020" w:space="720"/>
            <w:col w:w="5260"/>
          </w:cols>
          <w:pgMar w:left="440" w:top="269" w:right="45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sectPr>
      <w:pgSz w:w="11900" w:h="16838" w:orient="portrait"/>
      <w:cols w:equalWidth="0" w:num="1">
        <w:col w:w="11000"/>
      </w:cols>
      <w:pgMar w:left="440" w:top="26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9" Type="http://schemas.openxmlformats.org/officeDocument/2006/relationships/hyperlink" Target="http://www.sec.gov/Archives/edgar/data/87347/000119312524085160/d735749de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2025-07-16T15:14:35Z</dcterms:created>
  <dcterms:modified xsi:type="dcterms:W3CDTF">2025-07-16T15:14:35Z</dcterms:modified>
</cp:coreProperties>
</file>