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BORR DRILLING LIMITED</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$0.10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G1466R207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67" w:hanging="377"/>
        <w:spacing w:after="0"/>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Schlumberger N.V. (Schlumberger Limited)</w:t>
      </w:r>
    </w:p>
    <w:p>
      <w:pPr>
        <w:spacing w:after="0" w:line="36" w:lineRule="exact"/>
        <w:rPr>
          <w:sz w:val="20"/>
          <w:szCs w:val="20"/>
          <w:color w:val="auto"/>
        </w:rPr>
      </w:pPr>
    </w:p>
    <w:p>
      <w:pPr>
        <w:ind w:left="467" w:hanging="377"/>
        <w:spacing w:after="0"/>
        <w:tabs>
          <w:tab w:leader="none" w:pos="46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Curaçao</w:t>
      </w:r>
    </w:p>
    <w:p>
      <w:pPr>
        <w:spacing w:after="0" w:line="36" w:lineRule="exact"/>
        <w:rPr>
          <w:rFonts w:ascii="Arial" w:cs="Arial" w:eastAsia="Arial" w:hAnsi="Arial"/>
          <w:sz w:val="18"/>
          <w:szCs w:val="18"/>
          <w:color w:val="auto"/>
        </w:rPr>
      </w:pPr>
    </w:p>
    <w:p>
      <w:pPr>
        <w:ind w:left="1487"/>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67"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7,565,850 Common Shares</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18"/>
                <w:szCs w:val="18"/>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7"/>
        <w:spacing w:after="0"/>
        <w:rPr>
          <w:sz w:val="20"/>
          <w:szCs w:val="20"/>
          <w:color w:val="auto"/>
        </w:rPr>
      </w:pPr>
      <w:r>
        <w:rPr>
          <w:rFonts w:ascii="Arial" w:cs="Arial" w:eastAsia="Arial" w:hAnsi="Arial"/>
          <w:sz w:val="18"/>
          <w:szCs w:val="18"/>
          <w:color w:val="auto"/>
        </w:rPr>
        <w:t>7,565,850 Common Shares</w:t>
      </w:r>
    </w:p>
    <w:p>
      <w:pPr>
        <w:spacing w:after="0" w:line="36" w:lineRule="exact"/>
        <w:rPr>
          <w:sz w:val="20"/>
          <w:szCs w:val="20"/>
          <w:color w:val="auto"/>
        </w:rPr>
      </w:pPr>
    </w:p>
    <w:p>
      <w:pPr>
        <w:ind w:left="447" w:hanging="357"/>
        <w:spacing w:after="0"/>
        <w:tabs>
          <w:tab w:leader="none" w:pos="4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7,565,850 Common Shares</w:t>
      </w:r>
    </w:p>
    <w:p>
      <w:pPr>
        <w:spacing w:after="0" w:line="36" w:lineRule="exact"/>
        <w:rPr>
          <w:sz w:val="20"/>
          <w:szCs w:val="20"/>
          <w:color w:val="auto"/>
        </w:rPr>
      </w:pPr>
    </w:p>
    <w:p>
      <w:pPr>
        <w:ind w:left="467" w:hanging="467"/>
        <w:spacing w:after="0"/>
        <w:tabs>
          <w:tab w:leader="none" w:pos="467"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hanging="467"/>
        <w:spacing w:after="0"/>
        <w:tabs>
          <w:tab w:leader="none" w:pos="467"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5.51%*</w:t>
      </w:r>
    </w:p>
    <w:p>
      <w:pPr>
        <w:spacing w:after="0" w:line="36" w:lineRule="exact"/>
        <w:rPr>
          <w:rFonts w:ascii="Arial" w:cs="Arial" w:eastAsia="Arial" w:hAnsi="Arial"/>
          <w:sz w:val="18"/>
          <w:szCs w:val="18"/>
          <w:color w:val="auto"/>
        </w:rPr>
      </w:pPr>
    </w:p>
    <w:p>
      <w:pPr>
        <w:ind w:left="467" w:right="7840" w:hanging="467"/>
        <w:spacing w:after="0" w:line="547" w:lineRule="auto"/>
        <w:tabs>
          <w:tab w:leader="none" w:pos="463"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HC</w:t>
      </w:r>
    </w:p>
    <w:p>
      <w:pPr>
        <w:spacing w:after="0" w:line="1" w:lineRule="exact"/>
        <w:rPr>
          <w:rFonts w:ascii="Arial" w:cs="Arial" w:eastAsia="Arial" w:hAnsi="Arial"/>
          <w:sz w:val="18"/>
          <w:szCs w:val="18"/>
          <w:color w:val="auto"/>
        </w:rPr>
      </w:pPr>
    </w:p>
    <w:p>
      <w:pPr>
        <w:ind w:left="67" w:hanging="216"/>
        <w:spacing w:after="0" w:line="277" w:lineRule="auto"/>
        <w:rPr>
          <w:rFonts w:ascii="Arial" w:cs="Arial" w:eastAsia="Arial" w:hAnsi="Arial"/>
          <w:sz w:val="18"/>
          <w:szCs w:val="18"/>
          <w:color w:val="auto"/>
        </w:rPr>
      </w:pPr>
      <w:r>
        <w:rPr>
          <w:rFonts w:ascii="Arial" w:cs="Arial" w:eastAsia="Arial" w:hAnsi="Arial"/>
          <w:sz w:val="18"/>
          <w:szCs w:val="18"/>
          <w:color w:val="auto"/>
        </w:rPr>
        <w:t>* Based on 137,218,176 Common Shares outstanding as of December 14, 2021 post-completion of a 2-to-1 reverse stock split, as reported on the Form 6-K submitted by the Issuer to the Securities and Exchange Commission (the “SEC”) on December 7, 2021.</w:t>
      </w:r>
    </w:p>
    <w:p>
      <w:pPr>
        <w:sectPr>
          <w:pgSz w:w="11900" w:h="16838" w:orient="portrait"/>
          <w:cols w:equalWidth="0" w:num="1">
            <w:col w:w="10807"/>
          </w:cols>
          <w:pgMar w:left="593" w:top="287" w:right="499" w:bottom="1440" w:gutter="0" w:footer="0" w:header="0"/>
        </w:sectPr>
      </w:pPr>
    </w:p>
    <w:bookmarkStart w:id="2" w:name="page3"/>
    <w:bookmarkEnd w:id="2"/>
    <w:p>
      <w:pPr>
        <w:ind w:left="467" w:hanging="377"/>
        <w:spacing w:after="0"/>
        <w:tabs>
          <w:tab w:leader="none" w:pos="46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Schlumberger Oilfield Holdings Limited</w:t>
      </w:r>
    </w:p>
    <w:p>
      <w:pPr>
        <w:spacing w:after="0" w:line="36" w:lineRule="exact"/>
        <w:rPr>
          <w:sz w:val="20"/>
          <w:szCs w:val="20"/>
          <w:color w:val="auto"/>
        </w:rPr>
      </w:pPr>
    </w:p>
    <w:p>
      <w:pPr>
        <w:ind w:left="467" w:hanging="377"/>
        <w:spacing w:after="0"/>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467"/>
        <w:spacing w:after="0" w:line="207" w:lineRule="exact"/>
        <w:tabs>
          <w:tab w:leader="none" w:pos="124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467" w:hanging="377"/>
        <w:spacing w:after="0"/>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467" w:hanging="377"/>
        <w:spacing w:after="0"/>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487"/>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52" w:lineRule="exact"/>
        <w:rPr>
          <w:sz w:val="20"/>
          <w:szCs w:val="20"/>
          <w:color w:val="auto"/>
        </w:rPr>
      </w:pPr>
    </w:p>
    <w:tbl>
      <w:tblPr>
        <w:tblLayout w:type="fixed"/>
        <w:tblInd w:w="67" w:type="dxa"/>
        <w:tblCellMar>
          <w:top w:w="0" w:type="dxa"/>
          <w:left w:w="0" w:type="dxa"/>
          <w:bottom w:w="0" w:type="dxa"/>
          <w:right w:w="0" w:type="dxa"/>
        </w:tblCellMar>
      </w:tblPr>
      <w:tr>
        <w:trPr>
          <w:trHeight w:val="244"/>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7,565,850 Common Shares</w:t>
            </w:r>
          </w:p>
        </w:tc>
        <w:tc>
          <w:tcPr>
            <w:tcW w:w="0" w:type="dxa"/>
            <w:vAlign w:val="bottom"/>
          </w:tcPr>
          <w:p>
            <w:pPr>
              <w:spacing w:after="0"/>
              <w:rPr>
                <w:sz w:val="1"/>
                <w:szCs w:val="1"/>
                <w:color w:val="auto"/>
              </w:rPr>
            </w:pPr>
          </w:p>
        </w:tc>
      </w:tr>
      <w:tr>
        <w:trPr>
          <w:trHeight w:val="230"/>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0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18"/>
                <w:szCs w:val="18"/>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2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7"/>
        <w:spacing w:after="0"/>
        <w:rPr>
          <w:sz w:val="20"/>
          <w:szCs w:val="20"/>
          <w:color w:val="auto"/>
        </w:rPr>
      </w:pPr>
      <w:r>
        <w:rPr>
          <w:rFonts w:ascii="Arial" w:cs="Arial" w:eastAsia="Arial" w:hAnsi="Arial"/>
          <w:sz w:val="18"/>
          <w:szCs w:val="18"/>
          <w:color w:val="auto"/>
        </w:rPr>
        <w:t>7,565,850 Common Shares</w:t>
      </w:r>
    </w:p>
    <w:p>
      <w:pPr>
        <w:spacing w:after="0" w:line="36" w:lineRule="exact"/>
        <w:rPr>
          <w:sz w:val="20"/>
          <w:szCs w:val="20"/>
          <w:color w:val="auto"/>
        </w:rPr>
      </w:pPr>
    </w:p>
    <w:p>
      <w:pPr>
        <w:ind w:left="447" w:hanging="357"/>
        <w:spacing w:after="0"/>
        <w:tabs>
          <w:tab w:leader="none" w:pos="4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Arial" w:cs="Arial" w:eastAsia="Arial" w:hAnsi="Arial"/>
          <w:sz w:val="18"/>
          <w:szCs w:val="18"/>
          <w:color w:val="auto"/>
        </w:rPr>
        <w:t>7,565,850 Common Shares</w:t>
      </w:r>
    </w:p>
    <w:p>
      <w:pPr>
        <w:spacing w:after="0" w:line="36" w:lineRule="exact"/>
        <w:rPr>
          <w:sz w:val="20"/>
          <w:szCs w:val="20"/>
          <w:color w:val="auto"/>
        </w:rPr>
      </w:pPr>
    </w:p>
    <w:p>
      <w:pPr>
        <w:ind w:left="467" w:hanging="467"/>
        <w:spacing w:after="0"/>
        <w:tabs>
          <w:tab w:leader="none" w:pos="4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467"/>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467" w:hanging="467"/>
        <w:spacing w:after="0"/>
        <w:tabs>
          <w:tab w:leader="none" w:pos="4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5.51%*</w:t>
      </w:r>
    </w:p>
    <w:p>
      <w:pPr>
        <w:spacing w:after="0" w:line="36" w:lineRule="exact"/>
        <w:rPr>
          <w:rFonts w:ascii="Arial" w:cs="Arial" w:eastAsia="Arial" w:hAnsi="Arial"/>
          <w:sz w:val="18"/>
          <w:szCs w:val="18"/>
          <w:color w:val="auto"/>
        </w:rPr>
      </w:pPr>
    </w:p>
    <w:p>
      <w:pPr>
        <w:ind w:left="467" w:right="7840" w:hanging="467"/>
        <w:spacing w:after="0" w:line="547" w:lineRule="auto"/>
        <w:tabs>
          <w:tab w:leader="none" w:pos="4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1" w:lineRule="exact"/>
        <w:rPr>
          <w:rFonts w:ascii="Arial" w:cs="Arial" w:eastAsia="Arial" w:hAnsi="Arial"/>
          <w:sz w:val="18"/>
          <w:szCs w:val="18"/>
          <w:color w:val="auto"/>
        </w:rPr>
      </w:pPr>
    </w:p>
    <w:p>
      <w:pPr>
        <w:ind w:left="67" w:hanging="216"/>
        <w:spacing w:after="0" w:line="277" w:lineRule="auto"/>
        <w:rPr>
          <w:rFonts w:ascii="Arial" w:cs="Arial" w:eastAsia="Arial" w:hAnsi="Arial"/>
          <w:sz w:val="18"/>
          <w:szCs w:val="18"/>
          <w:color w:val="auto"/>
        </w:rPr>
      </w:pPr>
      <w:r>
        <w:rPr>
          <w:rFonts w:ascii="Arial" w:cs="Arial" w:eastAsia="Arial" w:hAnsi="Arial"/>
          <w:sz w:val="18"/>
          <w:szCs w:val="18"/>
          <w:color w:val="auto"/>
        </w:rPr>
        <w:t>* Based on 137,218,176 Common Shares outstanding as of December 14, 2021 post-completion of a 2-to-1 reverse stock split, as reported on the Form 6-K submitted by the Issuer to the SEC on December 7, 2021.</w:t>
      </w:r>
    </w:p>
    <w:p>
      <w:pPr>
        <w:sectPr>
          <w:pgSz w:w="11900" w:h="16838" w:orient="portrait"/>
          <w:cols w:equalWidth="0" w:num="1">
            <w:col w:w="10807"/>
          </w:cols>
          <w:pgMar w:left="593" w:top="287"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80" w:right="8460" w:hanging="552"/>
        <w:spacing w:after="0" w:line="406" w:lineRule="auto"/>
        <w:tabs>
          <w:tab w:leader="none" w:pos="961"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Name of Issuer: </w:t>
      </w:r>
      <w:r>
        <w:rPr>
          <w:rFonts w:ascii="Arial" w:cs="Arial" w:eastAsia="Arial" w:hAnsi="Arial"/>
          <w:sz w:val="17"/>
          <w:szCs w:val="17"/>
          <w:color w:val="auto"/>
        </w:rPr>
        <w:t>Borr Drilling Limited</w:t>
      </w:r>
    </w:p>
    <w:p>
      <w:pPr>
        <w:ind w:left="980" w:right="6380" w:hanging="552"/>
        <w:spacing w:after="0" w:line="378" w:lineRule="auto"/>
        <w:tabs>
          <w:tab w:leader="none" w:pos="961"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S. E. Pearman Building</w:t>
      </w:r>
    </w:p>
    <w:p>
      <w:pPr>
        <w:ind w:left="980"/>
        <w:spacing w:after="0"/>
        <w:rPr>
          <w:sz w:val="20"/>
          <w:szCs w:val="20"/>
          <w:color w:val="auto"/>
        </w:rPr>
      </w:pPr>
      <w:r>
        <w:rPr>
          <w:rFonts w:ascii="Arial" w:cs="Arial" w:eastAsia="Arial" w:hAnsi="Arial"/>
          <w:sz w:val="18"/>
          <w:szCs w:val="18"/>
          <w:color w:val="auto"/>
        </w:rPr>
        <w:t>2nd Floor 9 Par-la-Ville Road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Hamilton, HM 11, Bermuda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color w:val="auto"/>
        </w:rPr>
      </w:pPr>
    </w:p>
    <w:p>
      <w:pPr>
        <w:ind w:left="980"/>
        <w:spacing w:after="0" w:line="259" w:lineRule="auto"/>
        <w:rPr>
          <w:rFonts w:ascii="Arial" w:cs="Arial" w:eastAsia="Arial" w:hAnsi="Arial"/>
          <w:sz w:val="18"/>
          <w:szCs w:val="18"/>
          <w:color w:val="auto"/>
        </w:rPr>
      </w:pPr>
      <w:r>
        <w:rPr>
          <w:rFonts w:ascii="Arial" w:cs="Arial" w:eastAsia="Arial" w:hAnsi="Arial"/>
          <w:sz w:val="18"/>
          <w:szCs w:val="18"/>
          <w:color w:val="auto"/>
        </w:rPr>
        <w:t>This Schedule 13G/A is being jointly filed on behalf of Schlumberger N.V. (Schlumberger Limited), a corporation formed under the laws of Curaçao (“Schlumberger Limited”), and Schlumberger Oilfield Holdings Limited, a corporation formed under the laws of the British Virgin Islands (“SOHL” and, together with Schlumberger Limited, the “Reporting Persons”). Schlumberger Limited is the sole stockholder of SOHL.</w:t>
      </w:r>
    </w:p>
    <w:p>
      <w:pPr>
        <w:spacing w:after="0" w:line="88" w:lineRule="exact"/>
        <w:rPr>
          <w:rFonts w:ascii="Arial" w:cs="Arial" w:eastAsia="Arial" w:hAnsi="Arial"/>
          <w:sz w:val="18"/>
          <w:szCs w:val="18"/>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Address of Principal Business Office:</w:t>
      </w:r>
    </w:p>
    <w:p>
      <w:pPr>
        <w:spacing w:after="0" w:line="121" w:lineRule="exact"/>
        <w:rPr>
          <w:rFonts w:ascii="Arial" w:cs="Arial" w:eastAsia="Arial" w:hAnsi="Arial"/>
          <w:sz w:val="18"/>
          <w:szCs w:val="18"/>
          <w:color w:val="auto"/>
        </w:rPr>
      </w:pPr>
    </w:p>
    <w:p>
      <w:pPr>
        <w:ind w:left="980" w:right="20"/>
        <w:spacing w:after="0" w:line="308" w:lineRule="auto"/>
        <w:rPr>
          <w:rFonts w:ascii="Arial" w:cs="Arial" w:eastAsia="Arial" w:hAnsi="Arial"/>
          <w:sz w:val="18"/>
          <w:szCs w:val="18"/>
          <w:color w:val="auto"/>
        </w:rPr>
      </w:pPr>
      <w:r>
        <w:rPr>
          <w:rFonts w:ascii="Arial" w:cs="Arial" w:eastAsia="Arial" w:hAnsi="Arial"/>
          <w:sz w:val="17"/>
          <w:szCs w:val="17"/>
          <w:color w:val="auto"/>
        </w:rPr>
        <w:t>The business address of Schlumberger Limited for purposes of this Schedule 13G/A is 5599 San Felipe, 17th Floor Houston, Texas 77056. The business address of SOHL is Craigmuir Chambers, P.O. Box 71, Road Town, Tortola, British Virgin Islands.</w:t>
      </w:r>
    </w:p>
    <w:p>
      <w:pPr>
        <w:spacing w:after="0" w:line="47" w:lineRule="exact"/>
        <w:rPr>
          <w:rFonts w:ascii="Arial" w:cs="Arial" w:eastAsia="Arial" w:hAnsi="Arial"/>
          <w:sz w:val="18"/>
          <w:szCs w:val="18"/>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Schlumberger Limited is organized under the laws of Curaçao. SOHL is organized under the laws of the British Virgin Islands.</w:t>
      </w:r>
    </w:p>
    <w:p>
      <w:pPr>
        <w:spacing w:after="0" w:line="126" w:lineRule="exact"/>
        <w:rPr>
          <w:rFonts w:ascii="Arial" w:cs="Arial" w:eastAsia="Arial" w:hAnsi="Arial"/>
          <w:sz w:val="18"/>
          <w:szCs w:val="18"/>
          <w:color w:val="auto"/>
        </w:rPr>
      </w:pPr>
    </w:p>
    <w:p>
      <w:pPr>
        <w:ind w:left="980" w:right="7980" w:hanging="552"/>
        <w:spacing w:after="0" w:line="431" w:lineRule="auto"/>
        <w:tabs>
          <w:tab w:leader="none" w:pos="961"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Shares</w:t>
      </w:r>
    </w:p>
    <w:p>
      <w:pPr>
        <w:ind w:left="980" w:right="8740" w:hanging="552"/>
        <w:spacing w:after="0" w:line="445" w:lineRule="auto"/>
        <w:tabs>
          <w:tab w:leader="none" w:pos="961"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G1466R207</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00" w:right="760"/>
        <w:spacing w:after="0" w:line="277" w:lineRule="auto"/>
        <w:rPr>
          <w:sz w:val="20"/>
          <w:szCs w:val="20"/>
          <w:color w:val="auto"/>
        </w:rPr>
      </w:pPr>
      <w:r>
        <w:rPr>
          <w:rFonts w:ascii="Arial" w:cs="Arial" w:eastAsia="Arial" w:hAnsi="Arial"/>
          <w:sz w:val="18"/>
          <w:szCs w:val="18"/>
          <w:color w:val="auto"/>
        </w:rPr>
        <w:t>The information required by Items 4(a)-(c) is set forth in Rows 5-11 of the cover pages hereto for each Reporting Person and is incorporated herein by reference for each such Reporting Person.</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5" w:name="page6"/>
    <w:bookmarkEnd w:id="5"/>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6"/>
          <w:szCs w:val="16"/>
          <w:b w:val="1"/>
          <w:bCs w:val="1"/>
          <w:color w:val="auto"/>
        </w:rPr>
        <w:t>Schlumberger Limited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Samantha Blons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Assistant Secretary</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Schlumberger Oilfield Holdings Limited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Celia Rodrigues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Celia Rodrigues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 and Treasurer</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
      <w:numFmt w:val="bullet"/>
      <w:start w:val="1"/>
    </w:lvl>
    <w:lvl w:ilvl="1">
      <w:lvlJc w:val="left"/>
      <w:lvlText w:val="%2"/>
      <w:numFmt w:val="decimal"/>
      <w:start w:val="10"/>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9"/>
      <w:numFmt w:val="bullet"/>
      <w:start w:val="1"/>
    </w:lvl>
  </w:abstractNum>
  <w:abstractNum w:abstractNumId="14">
    <w:nsid w:val="6B68079A"/>
    <w:multiLevelType w:val="hybridMultilevel"/>
    <w:lvl w:ilvl="0">
      <w:lvlJc w:val="left"/>
      <w:lvlText w:val="*"/>
      <w:numFmt w:val="bullet"/>
      <w:start w:val="1"/>
    </w:lvl>
    <w:lvl w:ilvl="1">
      <w:lvlJc w:val="left"/>
      <w:lvlText w:val="%2"/>
      <w:numFmt w:val="decimal"/>
      <w:start w:val="10"/>
    </w:lvl>
  </w:abstractNum>
  <w:abstractNum w:abstractNumId="15">
    <w:nsid w:val="4E6AFB66"/>
    <w:multiLevelType w:val="hybridMultilevel"/>
    <w:lvl w:ilvl="0">
      <w:lvlJc w:val="left"/>
      <w:lvlText w:val="(%1)"/>
      <w:numFmt w:val="lowerLetter"/>
      <w:start w:val="1"/>
    </w:lvl>
    <w:lvl w:ilvl="1">
      <w:lvlJc w:val="left"/>
      <w:lvlText w:val="%2"/>
      <w:numFmt w:val="upp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2022-02-14T09:55:37Z</dcterms:created>
  <dcterms:modified xsi:type="dcterms:W3CDTF">2022-02-14T09:55:37Z</dcterms:modified>
</cp:coreProperties>
</file>