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20" w:type="dxa"/>
            <w:vAlign w:val="bottom"/>
            <w:gridSpan w:val="11"/>
          </w:tcPr>
          <w:p>
            <w:pPr>
              <w:jc w:val="center"/>
              <w:ind w:left="177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60" w:type="dxa"/>
            <w:vAlign w:val="bottom"/>
            <w:gridSpan w:val="12"/>
            <w:vMerge w:val="restart"/>
          </w:tcPr>
          <w:p>
            <w:pPr>
              <w:jc w:val="center"/>
              <w:ind w:left="1532"/>
              <w:spacing w:after="0"/>
              <w:rPr>
                <w:sz w:val="20"/>
                <w:szCs w:val="20"/>
                <w:color w:val="auto"/>
              </w:rPr>
            </w:pPr>
            <w:r>
              <w:rPr>
                <w:rFonts w:ascii="Arial" w:cs="Arial" w:eastAsia="Arial" w:hAnsi="Arial"/>
                <w:sz w:val="14"/>
                <w:szCs w:val="14"/>
                <w:b w:val="1"/>
                <w:bCs w:val="1"/>
                <w:color w:val="auto"/>
              </w:rPr>
              <w:t>NOTICE OF PROPOSED SALE OF SECURITIES</w:t>
            </w: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60" w:type="dxa"/>
            <w:vAlign w:val="bottom"/>
            <w:gridSpan w:val="1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6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16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2020" w:type="dxa"/>
            <w:vAlign w:val="bottom"/>
          </w:tcPr>
          <w:p>
            <w:pPr>
              <w:spacing w:after="0"/>
              <w:rPr>
                <w:sz w:val="9"/>
                <w:szCs w:val="9"/>
                <w:color w:val="auto"/>
              </w:rPr>
            </w:pPr>
          </w:p>
        </w:tc>
        <w:tc>
          <w:tcPr>
            <w:tcW w:w="82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4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24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860" w:type="dxa"/>
            <w:vAlign w:val="bottom"/>
            <w:gridSpan w:val="2"/>
          </w:tcPr>
          <w:p>
            <w:pPr>
              <w:jc w:val="right"/>
              <w:ind w:right="1752"/>
              <w:spacing w:after="0"/>
              <w:rPr>
                <w:sz w:val="20"/>
                <w:szCs w:val="20"/>
                <w:color w:val="auto"/>
              </w:rPr>
            </w:pPr>
            <w:r>
              <w:rPr>
                <w:rFonts w:ascii="Arial" w:cs="Arial" w:eastAsia="Arial" w:hAnsi="Arial"/>
                <w:sz w:val="13"/>
                <w:szCs w:val="13"/>
                <w:color w:val="auto"/>
                <w:w w:val="94"/>
              </w:rPr>
              <w:t>ARE TO BE SOLD</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60" w:type="dxa"/>
            <w:vAlign w:val="bottom"/>
            <w:tcBorders>
              <w:left w:val="single" w:sz="8" w:color="auto"/>
            </w:tcBorders>
            <w:gridSpan w:val="3"/>
          </w:tcPr>
          <w:p>
            <w:pPr>
              <w:ind w:left="60"/>
              <w:spacing w:after="0"/>
              <w:rPr>
                <w:sz w:val="20"/>
                <w:szCs w:val="20"/>
                <w:color w:val="auto"/>
              </w:rPr>
            </w:pPr>
            <w:r>
              <w:rPr>
                <w:rFonts w:ascii="Arial" w:cs="Arial" w:eastAsia="Arial" w:hAnsi="Arial"/>
                <w:sz w:val="14"/>
                <w:szCs w:val="14"/>
                <w:color w:val="auto"/>
              </w:rPr>
              <w:t>Philippe Lacour-Gayet</w:t>
            </w:r>
          </w:p>
        </w:tc>
        <w:tc>
          <w:tcPr>
            <w:tcW w:w="2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2020" w:type="dxa"/>
            <w:vAlign w:val="bottom"/>
          </w:tcPr>
          <w:p>
            <w:pPr>
              <w:jc w:val="right"/>
              <w:ind w:right="1732"/>
              <w:spacing w:after="0" w:line="110" w:lineRule="exact"/>
              <w:rPr>
                <w:sz w:val="20"/>
                <w:szCs w:val="20"/>
                <w:color w:val="auto"/>
              </w:rPr>
            </w:pPr>
            <w:r>
              <w:rPr>
                <w:rFonts w:ascii="Arial" w:cs="Arial" w:eastAsia="Arial" w:hAnsi="Arial"/>
                <w:sz w:val="12"/>
                <w:szCs w:val="12"/>
                <w:i w:val="1"/>
                <w:iCs w:val="1"/>
                <w:color w:val="auto"/>
              </w:rPr>
              <w:t>(b)</w:t>
            </w:r>
          </w:p>
        </w:tc>
        <w:tc>
          <w:tcPr>
            <w:tcW w:w="2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4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2"/>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2020" w:type="dxa"/>
            <w:vAlign w:val="bottom"/>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2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color w:val="auto"/>
              </w:rPr>
              <w:t>20,000</w:t>
            </w:r>
          </w:p>
        </w:tc>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right w:val="single" w:sz="8" w:color="auto"/>
            </w:tcBorders>
            <w:gridSpan w:val="2"/>
            <w:vMerge w:val="restart"/>
          </w:tcPr>
          <w:p>
            <w:pPr>
              <w:jc w:val="right"/>
              <w:ind w:right="254"/>
              <w:spacing w:after="0"/>
              <w:rPr>
                <w:sz w:val="20"/>
                <w:szCs w:val="20"/>
                <w:color w:val="auto"/>
              </w:rPr>
            </w:pPr>
            <w:r>
              <w:rPr>
                <w:rFonts w:ascii="Arial" w:cs="Arial" w:eastAsia="Arial" w:hAnsi="Arial"/>
                <w:sz w:val="14"/>
                <w:szCs w:val="14"/>
                <w:color w:val="auto"/>
                <w:w w:val="94"/>
              </w:rPr>
              <w:t>$1,600,000</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1,180,789,614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57"/>
              <w:spacing w:after="0"/>
              <w:rPr>
                <w:sz w:val="20"/>
                <w:szCs w:val="20"/>
                <w:color w:val="auto"/>
              </w:rPr>
            </w:pPr>
            <w:r>
              <w:rPr>
                <w:rFonts w:ascii="Arial" w:cs="Arial" w:eastAsia="Arial" w:hAnsi="Arial"/>
                <w:sz w:val="14"/>
                <w:szCs w:val="14"/>
                <w:color w:val="auto"/>
              </w:rPr>
              <w:t>5/22/2007</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w w:val="97"/>
              </w:rPr>
              <w:t>1900 St. James Place, Suite 100</w:t>
            </w:r>
          </w:p>
        </w:tc>
        <w:tc>
          <w:tcPr>
            <w:tcW w:w="2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86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08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93"/>
              </w:rPr>
              <w:t>(e)  Issuer’s telephone number, including area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01/24/2006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right"/>
              <w:ind w:right="473"/>
              <w:spacing w:after="0" w:line="142" w:lineRule="exact"/>
              <w:rPr>
                <w:sz w:val="20"/>
                <w:szCs w:val="20"/>
                <w:color w:val="auto"/>
              </w:rPr>
            </w:pPr>
            <w:r>
              <w:rPr>
                <w:rFonts w:ascii="Arial" w:cs="Arial" w:eastAsia="Arial" w:hAnsi="Arial"/>
                <w:sz w:val="14"/>
                <w:szCs w:val="14"/>
                <w:color w:val="auto"/>
              </w:rPr>
              <w:t>9,988</w:t>
            </w:r>
          </w:p>
        </w:tc>
        <w:tc>
          <w:tcPr>
            <w:tcW w:w="10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01/24/2006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04/25/2006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right"/>
              <w:ind w:right="433"/>
              <w:spacing w:after="0" w:line="142" w:lineRule="exact"/>
              <w:rPr>
                <w:sz w:val="20"/>
                <w:szCs w:val="20"/>
                <w:color w:val="auto"/>
              </w:rPr>
            </w:pPr>
            <w:r>
              <w:rPr>
                <w:rFonts w:ascii="Arial" w:cs="Arial" w:eastAsia="Arial" w:hAnsi="Arial"/>
                <w:sz w:val="14"/>
                <w:szCs w:val="14"/>
                <w:color w:val="auto"/>
              </w:rPr>
              <w:t>10,012</w:t>
            </w:r>
          </w:p>
        </w:tc>
        <w:tc>
          <w:tcPr>
            <w:tcW w:w="10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04/25/2006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StockCross Financial Services</w:t>
            </w:r>
          </w:p>
        </w:tc>
        <w:tc>
          <w:tcPr>
            <w:tcW w:w="29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vMerge w:val="restart"/>
          </w:tcPr>
          <w:p>
            <w:pPr>
              <w:jc w:val="right"/>
              <w:ind w:right="533"/>
              <w:spacing w:after="0"/>
              <w:rPr>
                <w:sz w:val="20"/>
                <w:szCs w:val="20"/>
                <w:color w:val="auto"/>
              </w:rPr>
            </w:pPr>
            <w:r>
              <w:rPr>
                <w:rFonts w:ascii="Arial" w:cs="Arial" w:eastAsia="Arial" w:hAnsi="Arial"/>
                <w:sz w:val="14"/>
                <w:szCs w:val="14"/>
                <w:color w:val="auto"/>
              </w:rPr>
              <w:t>03/27/07</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9,600</w:t>
            </w:r>
          </w:p>
        </w:tc>
        <w:tc>
          <w:tcPr>
            <w:tcW w:w="1620" w:type="dxa"/>
            <w:vAlign w:val="bottom"/>
            <w:tcBorders>
              <w:right w:val="single" w:sz="8" w:color="auto"/>
            </w:tcBorders>
            <w:vMerge w:val="restart"/>
          </w:tcPr>
          <w:p>
            <w:pPr>
              <w:jc w:val="right"/>
              <w:ind w:right="493"/>
              <w:spacing w:after="0"/>
              <w:rPr>
                <w:sz w:val="20"/>
                <w:szCs w:val="20"/>
                <w:color w:val="auto"/>
              </w:rPr>
            </w:pPr>
            <w:r>
              <w:rPr>
                <w:rFonts w:ascii="Arial" w:cs="Arial" w:eastAsia="Arial" w:hAnsi="Arial"/>
                <w:sz w:val="14"/>
                <w:szCs w:val="14"/>
                <w:color w:val="auto"/>
              </w:rPr>
              <w:t>$672,000</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1900 St. James Place, Suite 100</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60" w:type="dxa"/>
            <w:vAlign w:val="bottom"/>
            <w:tcBorders>
              <w:left w:val="single" w:sz="8" w:color="auto"/>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Houston, TX 77056-4108</w:t>
            </w:r>
          </w:p>
        </w:tc>
        <w:tc>
          <w:tcPr>
            <w:tcW w:w="29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166"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5/22/2007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Philippe Lacour-Gayet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337"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2019-12-21T02:07:17Z</dcterms:created>
  <dcterms:modified xsi:type="dcterms:W3CDTF">2019-12-21T02:07:17Z</dcterms:modified>
</cp:coreProperties>
</file>