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59"/>
        <w:spacing w:after="0"/>
        <w:rPr>
          <w:sz w:val="20"/>
          <w:szCs w:val="20"/>
          <w:color w:val="auto"/>
        </w:rPr>
      </w:pPr>
      <w:r>
        <w:rPr>
          <w:rFonts w:ascii="Courier New" w:cs="Courier New" w:eastAsia="Courier New" w:hAnsi="Courier New"/>
          <w:sz w:val="14"/>
          <w:szCs w:val="14"/>
          <w:color w:val="auto"/>
        </w:rPr>
        <w:t>UNITED STATES</w:t>
      </w:r>
    </w:p>
    <w:p>
      <w:pPr>
        <w:spacing w:after="0" w:line="4" w:lineRule="exact"/>
        <w:rPr>
          <w:sz w:val="24"/>
          <w:szCs w:val="24"/>
          <w:color w:val="auto"/>
        </w:rPr>
      </w:pPr>
    </w:p>
    <w:p>
      <w:pPr>
        <w:jc w:val="center"/>
        <w:ind w:right="35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4" w:lineRule="exact"/>
        <w:rPr>
          <w:sz w:val="24"/>
          <w:szCs w:val="24"/>
          <w:color w:val="auto"/>
        </w:rPr>
      </w:pPr>
    </w:p>
    <w:p>
      <w:pPr>
        <w:jc w:val="center"/>
        <w:ind w:right="3539"/>
        <w:spacing w:after="0"/>
        <w:rPr>
          <w:sz w:val="20"/>
          <w:szCs w:val="20"/>
          <w:color w:val="auto"/>
        </w:rPr>
      </w:pPr>
      <w:r>
        <w:rPr>
          <w:rFonts w:ascii="Courier New" w:cs="Courier New" w:eastAsia="Courier New" w:hAnsi="Courier New"/>
          <w:sz w:val="14"/>
          <w:szCs w:val="14"/>
          <w:color w:val="auto"/>
        </w:rPr>
        <w:t>WASHINGTON, D.C. 20549</w:t>
      </w:r>
    </w:p>
    <w:p>
      <w:pPr>
        <w:spacing w:after="0" w:line="168" w:lineRule="exact"/>
        <w:rPr>
          <w:sz w:val="24"/>
          <w:szCs w:val="24"/>
          <w:color w:val="auto"/>
        </w:rPr>
      </w:pPr>
    </w:p>
    <w:p>
      <w:pPr>
        <w:jc w:val="center"/>
        <w:ind w:right="3539"/>
        <w:spacing w:after="0"/>
        <w:rPr>
          <w:sz w:val="20"/>
          <w:szCs w:val="20"/>
          <w:color w:val="auto"/>
        </w:rPr>
      </w:pPr>
      <w:r>
        <w:rPr>
          <w:rFonts w:ascii="Courier New" w:cs="Courier New" w:eastAsia="Courier New" w:hAnsi="Courier New"/>
          <w:sz w:val="14"/>
          <w:szCs w:val="14"/>
          <w:color w:val="auto"/>
        </w:rPr>
        <w:t>SCHEDULE 14A</w:t>
      </w:r>
    </w:p>
    <w:p>
      <w:pPr>
        <w:spacing w:after="0" w:line="168"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4" w:lineRule="exact"/>
        <w:rPr>
          <w:sz w:val="24"/>
          <w:szCs w:val="24"/>
          <w:color w:val="auto"/>
        </w:rPr>
      </w:pPr>
    </w:p>
    <w:p>
      <w:pPr>
        <w:jc w:val="center"/>
        <w:ind w:right="3539"/>
        <w:spacing w:after="0"/>
        <w:tabs>
          <w:tab w:leader="none" w:pos="140" w:val="left"/>
        </w:tabs>
        <w:rPr>
          <w:sz w:val="20"/>
          <w:szCs w:val="20"/>
          <w:color w:val="auto"/>
        </w:rPr>
      </w:pPr>
      <w:r>
        <w:rPr>
          <w:rFonts w:ascii="Courier New" w:cs="Courier New" w:eastAsia="Courier New" w:hAnsi="Courier New"/>
          <w:sz w:val="14"/>
          <w:szCs w:val="14"/>
          <w:color w:val="auto"/>
        </w:rPr>
        <w:t>Exchange Act of 1934 (Amendment No.</w:t>
      </w:r>
      <w:r>
        <w:rPr>
          <w:sz w:val="20"/>
          <w:szCs w:val="20"/>
          <w:color w:val="auto"/>
        </w:rPr>
        <w:tab/>
      </w:r>
      <w:r>
        <w:rPr>
          <w:rFonts w:ascii="Courier New" w:cs="Courier New" w:eastAsia="Courier New" w:hAnsi="Courier New"/>
          <w:sz w:val="13"/>
          <w:szCs w:val="13"/>
          <w:color w:val="auto"/>
        </w:rPr>
        <w:t>)</w:t>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the Registrant [X]</w:t>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[_]</w:t>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pacing w:after="0" w:line="168" w:lineRule="exact"/>
        <w:rPr>
          <w:sz w:val="24"/>
          <w:szCs w:val="24"/>
          <w:color w:val="auto"/>
        </w:rPr>
      </w:pPr>
    </w:p>
    <w:p>
      <w:pPr>
        <w:ind w:left="440" w:hanging="433"/>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Preliminary Proxy Statement</w:t>
      </w:r>
    </w:p>
    <w:p>
      <w:pPr>
        <w:spacing w:after="0" w:line="168"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[_]</w:t>
        <w:tab/>
        <w:t>CONFIDENTIAL, FOR USE OF THE</w:t>
      </w:r>
    </w:p>
    <w:p>
      <w:pPr>
        <w:spacing w:after="0" w:line="4"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COMMISSION ONLY (AS PERMITTED BY</w:t>
      </w:r>
    </w:p>
    <w:p>
      <w:pPr>
        <w:spacing w:after="0" w:line="4"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RULE 14A-6(E)(2))</w:t>
      </w:r>
    </w:p>
    <w:p>
      <w:pPr>
        <w:spacing w:after="0" w:line="168"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[_]</w:t>
        <w:tab/>
        <w:t>Definitive Proxy Statement</w:t>
      </w:r>
    </w:p>
    <w:p>
      <w:pPr>
        <w:spacing w:after="0" w:line="168"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[_]</w:t>
        <w:tab/>
        <w:t>Definitive Additional Materials</w:t>
      </w:r>
    </w:p>
    <w:p>
      <w:pPr>
        <w:spacing w:after="0" w:line="168"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[_]</w:t>
        <w:tab/>
        <w:t>Soliciting Material Pursuant to (S) 240.14a-11(c) or (S) 240.14a-12</w:t>
      </w:r>
    </w:p>
    <w:p>
      <w:pPr>
        <w:spacing w:after="0" w:line="168" w:lineRule="exact"/>
        <w:rPr>
          <w:sz w:val="24"/>
          <w:szCs w:val="24"/>
          <w:color w:val="auto"/>
        </w:rPr>
      </w:pPr>
    </w:p>
    <w:p>
      <w:pPr>
        <w:ind w:left="2460"/>
        <w:spacing w:after="0"/>
        <w:rPr>
          <w:sz w:val="20"/>
          <w:szCs w:val="20"/>
          <w:color w:val="auto"/>
        </w:rPr>
      </w:pPr>
      <w:r>
        <w:rPr>
          <w:rFonts w:ascii="Courier New" w:cs="Courier New" w:eastAsia="Courier New" w:hAnsi="Courier New"/>
          <w:sz w:val="14"/>
          <w:szCs w:val="14"/>
          <w:color w:val="auto"/>
        </w:rPr>
        <w:t>SCHLUMBERGER LIMITED</w:t>
      </w:r>
    </w:p>
    <w:p>
      <w:pPr>
        <w:spacing w:after="0" w:line="4" w:lineRule="exact"/>
        <w:rPr>
          <w:sz w:val="24"/>
          <w:szCs w:val="24"/>
          <w:color w:val="auto"/>
        </w:rPr>
      </w:pPr>
    </w:p>
    <w:p>
      <w:pPr>
        <w:ind w:left="180" w:hanging="173"/>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Registrant as Specified In Its Charter)</w:t>
      </w:r>
    </w:p>
    <w:p>
      <w:pPr>
        <w:spacing w:after="0" w:line="167" w:lineRule="exact"/>
        <w:rPr>
          <w:rFonts w:ascii="Courier New" w:cs="Courier New" w:eastAsia="Courier New" w:hAnsi="Courier New"/>
          <w:sz w:val="14"/>
          <w:szCs w:val="14"/>
          <w:color w:val="auto"/>
        </w:rPr>
      </w:pPr>
    </w:p>
    <w:p>
      <w:pPr>
        <w:ind w:left="3740" w:hanging="935"/>
        <w:spacing w:after="0"/>
        <w:tabs>
          <w:tab w:leader="none" w:pos="374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 if other than the Registrant)</w:t>
      </w:r>
    </w:p>
    <w:p>
      <w:pPr>
        <w:spacing w:after="0" w:line="33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68" w:lineRule="exact"/>
        <w:rPr>
          <w:sz w:val="24"/>
          <w:szCs w:val="24"/>
          <w:color w:val="auto"/>
        </w:rPr>
      </w:pPr>
    </w:p>
    <w:p>
      <w:pPr>
        <w:ind w:left="440" w:hanging="433"/>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fee required.</w:t>
      </w:r>
    </w:p>
    <w:p>
      <w:pPr>
        <w:spacing w:after="0" w:line="168"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[_]</w:t>
        <w:tab/>
        <w:t>Fee computed on table below per Exchange Act Rules 14a-6(i)(4) and 0-11.</w:t>
      </w:r>
    </w:p>
    <w:p>
      <w:pPr>
        <w:spacing w:after="0" w:line="331" w:lineRule="exact"/>
        <w:rPr>
          <w:sz w:val="24"/>
          <w:szCs w:val="24"/>
          <w:color w:val="auto"/>
        </w:rPr>
      </w:pPr>
    </w:p>
    <w:p>
      <w:pPr>
        <w:ind w:left="780" w:hanging="349"/>
        <w:spacing w:after="0"/>
        <w:tabs>
          <w:tab w:leader="none" w:pos="7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6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0" w:lineRule="exact"/>
        <w:rPr>
          <w:rFonts w:ascii="Courier New" w:cs="Courier New" w:eastAsia="Courier New" w:hAnsi="Courier New"/>
          <w:sz w:val="14"/>
          <w:szCs w:val="14"/>
          <w:color w:val="auto"/>
        </w:rPr>
      </w:pPr>
    </w:p>
    <w:p>
      <w:pPr>
        <w:ind w:left="780" w:hanging="349"/>
        <w:spacing w:after="0"/>
        <w:tabs>
          <w:tab w:leader="none" w:pos="7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6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0" w:lineRule="exact"/>
        <w:rPr>
          <w:rFonts w:ascii="Courier New" w:cs="Courier New" w:eastAsia="Courier New" w:hAnsi="Courier New"/>
          <w:sz w:val="14"/>
          <w:szCs w:val="14"/>
          <w:color w:val="auto"/>
        </w:rPr>
      </w:pPr>
    </w:p>
    <w:p>
      <w:pPr>
        <w:ind w:left="780" w:right="3879" w:hanging="349"/>
        <w:spacing w:after="0" w:line="247" w:lineRule="auto"/>
        <w:tabs>
          <w:tab w:leader="none" w:pos="7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6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4"/>
          <w:szCs w:val="24"/>
          <w:color w:val="auto"/>
        </w:rPr>
      </w:pPr>
    </w:p>
    <w:p>
      <w:pPr>
        <w:ind w:left="780" w:hanging="349"/>
        <w:spacing w:after="0"/>
        <w:tabs>
          <w:tab w:leader="none" w:pos="7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6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0" w:lineRule="exact"/>
        <w:rPr>
          <w:rFonts w:ascii="Courier New" w:cs="Courier New" w:eastAsia="Courier New" w:hAnsi="Courier New"/>
          <w:sz w:val="14"/>
          <w:szCs w:val="14"/>
          <w:color w:val="auto"/>
        </w:rPr>
      </w:pPr>
    </w:p>
    <w:p>
      <w:pPr>
        <w:ind w:left="780" w:hanging="349"/>
        <w:spacing w:after="0"/>
        <w:tabs>
          <w:tab w:leader="none" w:pos="7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6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[_]</w:t>
        <w:tab/>
        <w:t>Fee paid previously with preliminary materials.</w:t>
      </w:r>
    </w:p>
    <w:p>
      <w:pPr>
        <w:spacing w:after="0" w:line="168"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[_]</w:t>
        <w:tab/>
        <w:t>Check box if any part of the fee is offset as provided by Exchange</w:t>
      </w:r>
    </w:p>
    <w:p>
      <w:pPr>
        <w:spacing w:after="0" w:line="4" w:lineRule="exact"/>
        <w:rPr>
          <w:sz w:val="24"/>
          <w:szCs w:val="24"/>
          <w:color w:val="auto"/>
        </w:rPr>
      </w:pPr>
    </w:p>
    <w:p>
      <w:pPr>
        <w:ind w:left="440" w:right="3359"/>
        <w:spacing w:after="0" w:line="247" w:lineRule="auto"/>
        <w:rPr>
          <w:sz w:val="20"/>
          <w:szCs w:val="20"/>
          <w:color w:val="auto"/>
        </w:rPr>
      </w:pPr>
      <w:r>
        <w:rPr>
          <w:rFonts w:ascii="Courier New" w:cs="Courier New" w:eastAsia="Courier New" w:hAnsi="Courier New"/>
          <w:sz w:val="14"/>
          <w:szCs w:val="14"/>
          <w:color w:val="auto"/>
        </w:rPr>
        <w:t>Act Rule 0-11(a)(2) and identify the filing for which the offsetting fee was paid previously. Identify the previous filing by registration statement number, or the Form or Schedule and the date of its filing.</w:t>
      </w:r>
    </w:p>
    <w:p>
      <w:pPr>
        <w:spacing w:after="0" w:line="163" w:lineRule="exact"/>
        <w:rPr>
          <w:sz w:val="24"/>
          <w:szCs w:val="24"/>
          <w:color w:val="auto"/>
        </w:rPr>
      </w:pPr>
    </w:p>
    <w:p>
      <w:pPr>
        <w:ind w:left="780" w:hanging="349"/>
        <w:spacing w:after="0"/>
        <w:tabs>
          <w:tab w:leader="none" w:pos="7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6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0" w:lineRule="exact"/>
        <w:rPr>
          <w:rFonts w:ascii="Courier New" w:cs="Courier New" w:eastAsia="Courier New" w:hAnsi="Courier New"/>
          <w:sz w:val="14"/>
          <w:szCs w:val="14"/>
          <w:color w:val="auto"/>
        </w:rPr>
      </w:pPr>
    </w:p>
    <w:p>
      <w:pPr>
        <w:ind w:left="780" w:hanging="349"/>
        <w:spacing w:after="0"/>
        <w:tabs>
          <w:tab w:leader="none" w:pos="7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6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0" w:lineRule="exact"/>
        <w:rPr>
          <w:rFonts w:ascii="Courier New" w:cs="Courier New" w:eastAsia="Courier New" w:hAnsi="Courier New"/>
          <w:sz w:val="14"/>
          <w:szCs w:val="14"/>
          <w:color w:val="auto"/>
        </w:rPr>
      </w:pPr>
    </w:p>
    <w:p>
      <w:pPr>
        <w:ind w:left="780" w:hanging="349"/>
        <w:spacing w:after="0"/>
        <w:tabs>
          <w:tab w:leader="none" w:pos="7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6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0" w:lineRule="exact"/>
        <w:rPr>
          <w:rFonts w:ascii="Courier New" w:cs="Courier New" w:eastAsia="Courier New" w:hAnsi="Courier New"/>
          <w:sz w:val="14"/>
          <w:szCs w:val="14"/>
          <w:color w:val="auto"/>
        </w:rPr>
      </w:pPr>
    </w:p>
    <w:p>
      <w:pPr>
        <w:ind w:left="780" w:hanging="349"/>
        <w:spacing w:after="0"/>
        <w:tabs>
          <w:tab w:leader="none" w:pos="7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16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Notes:</w:t>
      </w:r>
    </w:p>
    <w:p>
      <w:pPr>
        <w:sectPr>
          <w:pgSz w:w="11900" w:h="16838" w:orient="portrait"/>
          <w:cols w:equalWidth="0" w:num="1">
            <w:col w:w="10159"/>
          </w:cols>
          <w:pgMar w:left="300" w:top="881"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Reg. (S) 240.14a-101.</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 1913 (3-99)</w:t>
      </w:r>
    </w:p>
    <w:p>
      <w:pPr>
        <w:sectPr>
          <w:pgSz w:w="11900" w:h="16838" w:orient="portrait"/>
          <w:cols w:equalWidth="0" w:num="1">
            <w:col w:w="10159"/>
          </w:cols>
          <w:pgMar w:left="300" w:top="95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[LOGO OF SCHLUMBERGER]</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277 Park Avenue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10172-0266</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 rue Saint-Dominique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75007 Paris, France</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Parkstraat 83,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2514 JG The Hague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Netherlands</w:t>
      </w:r>
    </w:p>
    <w:p>
      <w:pPr>
        <w:spacing w:after="0" w:line="16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NOTICE OF ANNUAL GENERAL MEETING OF STOCKHOLDERS</w:t>
      </w:r>
    </w:p>
    <w:p>
      <w:pPr>
        <w:spacing w:after="0" w:line="168"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To Be Held April 12, 2000</w:t>
      </w:r>
    </w:p>
    <w:p>
      <w:pPr>
        <w:spacing w:after="0" w:line="168"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March 8, 2000</w:t>
      </w:r>
    </w:p>
    <w:p>
      <w:pPr>
        <w:spacing w:after="0" w:line="168" w:lineRule="exact"/>
        <w:rPr>
          <w:sz w:val="20"/>
          <w:szCs w:val="20"/>
          <w:color w:val="auto"/>
        </w:rPr>
      </w:pPr>
    </w:p>
    <w:p>
      <w:pPr>
        <w:ind w:right="3879" w:firstLine="170"/>
        <w:spacing w:after="0" w:line="247" w:lineRule="auto"/>
        <w:rPr>
          <w:sz w:val="20"/>
          <w:szCs w:val="20"/>
          <w:color w:val="auto"/>
        </w:rPr>
      </w:pPr>
      <w:r>
        <w:rPr>
          <w:rFonts w:ascii="Courier New" w:cs="Courier New" w:eastAsia="Courier New" w:hAnsi="Courier New"/>
          <w:sz w:val="14"/>
          <w:szCs w:val="14"/>
          <w:color w:val="auto"/>
        </w:rPr>
        <w:t>The Annual General Meeting of Stockholders of Schlumberger Limited (Schlumberger N.V.) will be held at the Avila Beach Hotel, Penstraat 130, Willemstad, Curacao, Netherlands Antilles, on Wednesday, April 12, 2000 at 10:30 in the morning (Curacao time), for the following purposes:</w:t>
      </w:r>
    </w:p>
    <w:p>
      <w:pPr>
        <w:spacing w:after="0" w:line="162" w:lineRule="exact"/>
        <w:rPr>
          <w:sz w:val="20"/>
          <w:szCs w:val="20"/>
          <w:color w:val="auto"/>
        </w:rPr>
      </w:pPr>
    </w:p>
    <w:p>
      <w:pPr>
        <w:ind w:left="260" w:hanging="253"/>
        <w:spacing w:after="0"/>
        <w:tabs>
          <w:tab w:leader="none" w:pos="2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12 directors.</w:t>
      </w:r>
    </w:p>
    <w:p>
      <w:pPr>
        <w:spacing w:after="0" w:line="167" w:lineRule="exact"/>
        <w:rPr>
          <w:rFonts w:ascii="Courier New" w:cs="Courier New" w:eastAsia="Courier New" w:hAnsi="Courier New"/>
          <w:sz w:val="14"/>
          <w:szCs w:val="14"/>
          <w:color w:val="auto"/>
        </w:rPr>
      </w:pPr>
    </w:p>
    <w:p>
      <w:pPr>
        <w:ind w:left="260" w:right="3539" w:hanging="253"/>
        <w:spacing w:after="0" w:line="247" w:lineRule="auto"/>
        <w:tabs>
          <w:tab w:leader="none" w:pos="2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report on the course of business during the year ended December 31, 1999, to adopt and approve the Company's Consolidated Balance Sheet as at December 31, 1999, its Consolidated Statement of Income for the year ended December 31, 1999, and the declaration of dividends by the Board of Directors as reflected in the Company's 1999 Annual Report to Stockholders.</w:t>
      </w:r>
    </w:p>
    <w:p>
      <w:pPr>
        <w:spacing w:after="0" w:line="162" w:lineRule="exact"/>
        <w:rPr>
          <w:rFonts w:ascii="Courier New" w:cs="Courier New" w:eastAsia="Courier New" w:hAnsi="Courier New"/>
          <w:sz w:val="14"/>
          <w:szCs w:val="14"/>
          <w:color w:val="auto"/>
        </w:rPr>
      </w:pPr>
    </w:p>
    <w:p>
      <w:pPr>
        <w:ind w:left="260" w:right="3879" w:hanging="253"/>
        <w:spacing w:after="0" w:line="248" w:lineRule="auto"/>
        <w:tabs>
          <w:tab w:leader="none" w:pos="2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appointment of PricewaterhouseCoopers LLP as independent public accountants to audit the accounts of the Company for 2000.</w:t>
      </w:r>
    </w:p>
    <w:p>
      <w:pPr>
        <w:spacing w:after="0" w:line="161" w:lineRule="exact"/>
        <w:rPr>
          <w:sz w:val="20"/>
          <w:szCs w:val="20"/>
          <w:color w:val="auto"/>
        </w:rPr>
      </w:pPr>
    </w:p>
    <w:p>
      <w:pPr>
        <w:ind w:right="3619"/>
        <w:spacing w:after="0" w:line="248" w:lineRule="auto"/>
        <w:rPr>
          <w:sz w:val="20"/>
          <w:szCs w:val="20"/>
          <w:color w:val="auto"/>
        </w:rPr>
      </w:pPr>
      <w:r>
        <w:rPr>
          <w:rFonts w:ascii="Courier New" w:cs="Courier New" w:eastAsia="Courier New" w:hAnsi="Courier New"/>
          <w:sz w:val="14"/>
          <w:szCs w:val="14"/>
          <w:color w:val="auto"/>
        </w:rPr>
        <w:t>Action will also be taken upon such other matters as may come properly before the meeting.</w:t>
      </w:r>
    </w:p>
    <w:p>
      <w:pPr>
        <w:spacing w:after="0" w:line="161" w:lineRule="exact"/>
        <w:rPr>
          <w:sz w:val="20"/>
          <w:szCs w:val="20"/>
          <w:color w:val="auto"/>
        </w:rPr>
      </w:pPr>
    </w:p>
    <w:p>
      <w:pPr>
        <w:ind w:right="3539" w:firstLine="170"/>
        <w:spacing w:after="0" w:line="247" w:lineRule="auto"/>
        <w:rPr>
          <w:sz w:val="20"/>
          <w:szCs w:val="20"/>
          <w:color w:val="auto"/>
        </w:rPr>
      </w:pPr>
      <w:r>
        <w:rPr>
          <w:rFonts w:ascii="Courier New" w:cs="Courier New" w:eastAsia="Courier New" w:hAnsi="Courier New"/>
          <w:sz w:val="14"/>
          <w:szCs w:val="14"/>
          <w:color w:val="auto"/>
        </w:rPr>
        <w:t>The close of business on February 24, 2000 has been fixed as the record date for the meeting. All holders of common stock of record at the close of business on that date are entitled to vote at the meeting.</w:t>
      </w:r>
    </w:p>
    <w:p>
      <w:pPr>
        <w:spacing w:after="0" w:line="163" w:lineRule="exact"/>
        <w:rPr>
          <w:sz w:val="20"/>
          <w:szCs w:val="20"/>
          <w:color w:val="auto"/>
        </w:rPr>
      </w:pPr>
    </w:p>
    <w:p>
      <w:pPr>
        <w:ind w:left="4240"/>
        <w:spacing w:after="0"/>
        <w:rPr>
          <w:sz w:val="20"/>
          <w:szCs w:val="20"/>
          <w:color w:val="auto"/>
        </w:rPr>
      </w:pPr>
      <w:r>
        <w:rPr>
          <w:rFonts w:ascii="Courier New" w:cs="Courier New" w:eastAsia="Courier New" w:hAnsi="Courier New"/>
          <w:sz w:val="14"/>
          <w:szCs w:val="14"/>
          <w:color w:val="auto"/>
        </w:rPr>
        <w:t>By order of the Board of</w:t>
      </w:r>
    </w:p>
    <w:p>
      <w:pPr>
        <w:spacing w:after="0" w:line="4" w:lineRule="exact"/>
        <w:rPr>
          <w:sz w:val="20"/>
          <w:szCs w:val="20"/>
          <w:color w:val="auto"/>
        </w:rPr>
      </w:pPr>
    </w:p>
    <w:p>
      <w:pPr>
        <w:ind w:left="4240"/>
        <w:spacing w:after="0"/>
        <w:rPr>
          <w:sz w:val="20"/>
          <w:szCs w:val="20"/>
          <w:color w:val="auto"/>
        </w:rPr>
      </w:pPr>
      <w:r>
        <w:rPr>
          <w:rFonts w:ascii="Courier New" w:cs="Courier New" w:eastAsia="Courier New" w:hAnsi="Courier New"/>
          <w:sz w:val="14"/>
          <w:szCs w:val="14"/>
          <w:color w:val="auto"/>
        </w:rPr>
        <w:t>Directors,</w:t>
      </w:r>
    </w:p>
    <w:p>
      <w:pPr>
        <w:spacing w:after="0" w:line="168" w:lineRule="exact"/>
        <w:rPr>
          <w:sz w:val="20"/>
          <w:szCs w:val="20"/>
          <w:color w:val="auto"/>
        </w:rPr>
      </w:pPr>
    </w:p>
    <w:p>
      <w:pPr>
        <w:ind w:left="4680"/>
        <w:spacing w:after="0"/>
        <w:rPr>
          <w:sz w:val="20"/>
          <w:szCs w:val="20"/>
          <w:color w:val="auto"/>
        </w:rPr>
      </w:pPr>
      <w:r>
        <w:rPr>
          <w:rFonts w:ascii="Courier New" w:cs="Courier New" w:eastAsia="Courier New" w:hAnsi="Courier New"/>
          <w:sz w:val="14"/>
          <w:szCs w:val="14"/>
          <w:color w:val="auto"/>
        </w:rPr>
        <w:t>JAMES L. GUNDERSON</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Secretary</w:t>
      </w:r>
    </w:p>
    <w:p>
      <w:pPr>
        <w:sectPr>
          <w:pgSz w:w="11900" w:h="16838" w:orient="portrait"/>
          <w:cols w:equalWidth="0" w:num="1">
            <w:col w:w="10159"/>
          </w:cols>
          <w:pgMar w:left="300" w:top="772" w:right="1440" w:bottom="1440" w:gutter="0" w:footer="0" w:header="0"/>
        </w:sectPr>
      </w:pPr>
    </w:p>
    <w:bookmarkStart w:id="3" w:name="page4"/>
    <w:bookmarkEnd w:id="3"/>
    <w:p>
      <w:pPr>
        <w:ind w:left="2720"/>
        <w:spacing w:after="0"/>
        <w:rPr>
          <w:sz w:val="20"/>
          <w:szCs w:val="20"/>
          <w:color w:val="auto"/>
        </w:rPr>
      </w:pPr>
      <w:r>
        <w:rPr>
          <w:rFonts w:ascii="Courier New" w:cs="Courier New" w:eastAsia="Courier New" w:hAnsi="Courier New"/>
          <w:sz w:val="14"/>
          <w:szCs w:val="14"/>
          <w:color w:val="auto"/>
        </w:rPr>
        <w:t>PROXY STATEMENT</w:t>
      </w:r>
    </w:p>
    <w:p>
      <w:pPr>
        <w:spacing w:after="0" w:line="168"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March 8, 2000</w:t>
      </w:r>
    </w:p>
    <w:p>
      <w:pPr>
        <w:spacing w:after="0" w:line="168" w:lineRule="exact"/>
        <w:rPr>
          <w:sz w:val="20"/>
          <w:szCs w:val="20"/>
          <w:color w:val="auto"/>
        </w:rPr>
      </w:pPr>
    </w:p>
    <w:p>
      <w:pPr>
        <w:ind w:right="3539" w:firstLine="170"/>
        <w:spacing w:after="0" w:line="246" w:lineRule="auto"/>
        <w:rPr>
          <w:sz w:val="20"/>
          <w:szCs w:val="20"/>
          <w:color w:val="auto"/>
        </w:rPr>
      </w:pPr>
      <w:r>
        <w:rPr>
          <w:rFonts w:ascii="Courier New" w:cs="Courier New" w:eastAsia="Courier New" w:hAnsi="Courier New"/>
          <w:sz w:val="14"/>
          <w:szCs w:val="14"/>
          <w:color w:val="auto"/>
        </w:rPr>
        <w:t>This proxy statement is furnished in connection with the solicitation by the Board of Directors of Schlumberger Limited (Schlumberger N.V.) ("the Company") of proxies to be voted at the 2000 Annual General Meeting of Stockholders. The approximate mailing date of this proxy statement is March 8, 2000.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spacing w:after="0" w:line="168" w:lineRule="exact"/>
        <w:rPr>
          <w:sz w:val="20"/>
          <w:szCs w:val="20"/>
          <w:color w:val="auto"/>
        </w:rPr>
      </w:pPr>
    </w:p>
    <w:p>
      <w:pPr>
        <w:ind w:right="3799" w:firstLine="170"/>
        <w:spacing w:after="0" w:line="247" w:lineRule="auto"/>
        <w:rPr>
          <w:sz w:val="20"/>
          <w:szCs w:val="20"/>
          <w:color w:val="auto"/>
        </w:rPr>
      </w:pPr>
      <w:r>
        <w:rPr>
          <w:rFonts w:ascii="Courier New" w:cs="Courier New" w:eastAsia="Courier New" w:hAnsi="Courier New"/>
          <w:sz w:val="14"/>
          <w:szCs w:val="14"/>
          <w:color w:val="auto"/>
        </w:rPr>
        <w:t>The Schlumberger 1999 Annual Report to Stockholders has been mailed under separate cover. The Company's Consolidated Balance Sheet as at December 31, 1999, its Consolidated Statement of Income for the year ended December 31, 1999 and the supplemental financial information with respect to dividends included in the Annual Report are incorporated by reference as part of this proxy soliciting material.</w:t>
      </w:r>
    </w:p>
    <w:p>
      <w:pPr>
        <w:spacing w:after="0" w:line="162" w:lineRule="exact"/>
        <w:rPr>
          <w:sz w:val="20"/>
          <w:szCs w:val="20"/>
          <w:color w:val="auto"/>
        </w:rPr>
      </w:pPr>
    </w:p>
    <w:p>
      <w:pPr>
        <w:ind w:right="3619" w:firstLine="170"/>
        <w:spacing w:after="0" w:line="247" w:lineRule="auto"/>
        <w:rPr>
          <w:sz w:val="20"/>
          <w:szCs w:val="20"/>
          <w:color w:val="auto"/>
        </w:rPr>
      </w:pPr>
      <w:r>
        <w:rPr>
          <w:rFonts w:ascii="Courier New" w:cs="Courier New" w:eastAsia="Courier New" w:hAnsi="Courier New"/>
          <w:sz w:val="14"/>
          <w:szCs w:val="14"/>
          <w:color w:val="auto"/>
        </w:rPr>
        <w:t>The Company will bear the cost of furnishing proxy material to all stockholders and of soliciting proxies by mail and telephone. D. F. King &amp; Co., Inc. has been retained by the Company to assist in the solicitation of proxies for a fee estimated at $10,000 plus reasonable expenses. The Company will reimburse brokerage firms, fiduciaries and custodians for their reasonable expenses in forwarding the solicitation material to the beneficial owners.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Procedure</w:t>
      </w:r>
    </w:p>
    <w:p>
      <w:pPr>
        <w:spacing w:after="0" w:line="168" w:lineRule="exact"/>
        <w:rPr>
          <w:sz w:val="20"/>
          <w:szCs w:val="20"/>
          <w:color w:val="auto"/>
        </w:rPr>
      </w:pPr>
    </w:p>
    <w:p>
      <w:pPr>
        <w:ind w:right="3619" w:firstLine="170"/>
        <w:spacing w:after="0" w:line="247" w:lineRule="auto"/>
        <w:rPr>
          <w:sz w:val="20"/>
          <w:szCs w:val="20"/>
          <w:color w:val="auto"/>
        </w:rPr>
      </w:pPr>
      <w:r>
        <w:rPr>
          <w:rFonts w:ascii="Courier New" w:cs="Courier New" w:eastAsia="Courier New" w:hAnsi="Courier New"/>
          <w:sz w:val="14"/>
          <w:szCs w:val="14"/>
          <w:color w:val="auto"/>
        </w:rPr>
        <w:t>Each stockholder of record at the close of business on February 24, 2000 is entitled to one vote for each share registered in the stockholder's name. On that date there were outstanding shares of common stock of Schlumberger, excluding shares held in treasury.</w:t>
      </w:r>
    </w:p>
    <w:p>
      <w:pPr>
        <w:spacing w:after="0" w:line="162" w:lineRule="exact"/>
        <w:rPr>
          <w:sz w:val="20"/>
          <w:szCs w:val="20"/>
          <w:color w:val="auto"/>
        </w:rPr>
      </w:pPr>
    </w:p>
    <w:p>
      <w:pPr>
        <w:ind w:right="3539" w:firstLine="170"/>
        <w:spacing w:after="0" w:line="247" w:lineRule="auto"/>
        <w:rPr>
          <w:sz w:val="20"/>
          <w:szCs w:val="20"/>
          <w:color w:val="auto"/>
        </w:rPr>
      </w:pPr>
      <w:r>
        <w:rPr>
          <w:rFonts w:ascii="Courier New" w:cs="Courier New" w:eastAsia="Courier New" w:hAnsi="Courier New"/>
          <w:sz w:val="14"/>
          <w:szCs w:val="14"/>
          <w:color w:val="auto"/>
        </w:rPr>
        <w:t>Fifty percent of the outstanding shares, exclusive of shares held in treasury, must be present in person or by proxy to constitute a quorum for the holding of the meeting. Abstentions and broker non-votes are counted for determining the presence of a quorum but are not counted as votes cast in the tabulation of votes on any matter brought before the meeting.</w:t>
      </w:r>
    </w:p>
    <w:p>
      <w:pPr>
        <w:spacing w:after="0" w:line="162" w:lineRule="exact"/>
        <w:rPr>
          <w:sz w:val="20"/>
          <w:szCs w:val="20"/>
          <w:color w:val="auto"/>
        </w:rPr>
      </w:pPr>
    </w:p>
    <w:p>
      <w:pPr>
        <w:ind w:right="3619" w:firstLine="170"/>
        <w:spacing w:after="0" w:line="247" w:lineRule="auto"/>
        <w:rPr>
          <w:sz w:val="20"/>
          <w:szCs w:val="20"/>
          <w:color w:val="auto"/>
        </w:rPr>
      </w:pPr>
      <w:r>
        <w:rPr>
          <w:rFonts w:ascii="Courier New" w:cs="Courier New" w:eastAsia="Courier New" w:hAnsi="Courier New"/>
          <w:sz w:val="14"/>
          <w:szCs w:val="14"/>
          <w:color w:val="auto"/>
        </w:rPr>
        <w:t>Shares cannot be voted at the meeting unless the owner of record is present in person or is represented by proxy. Schlumberger is incorporated in the Netherlands Antilles and, as required by the Schlumberger Deed of Incorporation, meetings of stockholders must be held in Curacao. The enclosed proxy card is a means by which a stockholder may authorize the voting of shares at the meeting. It may be revoked at any time by written notice to the Secretary of the Company before it is voted. If it is not revoked, the shares represented will be voted in accordance with the proxy.</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159"/>
          </w:cols>
          <w:pgMar w:left="300" w:top="609" w:right="1440" w:bottom="1440" w:gutter="0" w:footer="0" w:header="0"/>
        </w:sectPr>
      </w:pPr>
    </w:p>
    <w:bookmarkStart w:id="4" w:name="page5"/>
    <w:bookmarkEnd w:id="4"/>
    <w:p>
      <w:pPr>
        <w:jc w:val="center"/>
        <w:ind w:right="3539"/>
        <w:spacing w:after="0"/>
        <w:rPr>
          <w:sz w:val="20"/>
          <w:szCs w:val="20"/>
          <w:color w:val="auto"/>
        </w:rPr>
      </w:pPr>
      <w:r>
        <w:rPr>
          <w:rFonts w:ascii="Courier New" w:cs="Courier New" w:eastAsia="Courier New" w:hAnsi="Courier New"/>
          <w:sz w:val="14"/>
          <w:szCs w:val="14"/>
          <w:color w:val="auto"/>
        </w:rPr>
        <w:t>1. Election of Directors</w:t>
      </w:r>
    </w:p>
    <w:p>
      <w:pPr>
        <w:spacing w:after="0" w:line="168" w:lineRule="exact"/>
        <w:rPr>
          <w:sz w:val="20"/>
          <w:szCs w:val="20"/>
          <w:color w:val="auto"/>
        </w:rPr>
      </w:pPr>
    </w:p>
    <w:p>
      <w:pPr>
        <w:ind w:right="3539" w:firstLine="170"/>
        <w:spacing w:after="0" w:line="246" w:lineRule="auto"/>
        <w:rPr>
          <w:sz w:val="20"/>
          <w:szCs w:val="20"/>
          <w:color w:val="auto"/>
        </w:rPr>
      </w:pPr>
      <w:r>
        <w:rPr>
          <w:rFonts w:ascii="Courier New" w:cs="Courier New" w:eastAsia="Courier New" w:hAnsi="Courier New"/>
          <w:sz w:val="14"/>
          <w:szCs w:val="14"/>
          <w:color w:val="auto"/>
        </w:rPr>
        <w:t>It is intended to fix the number of directors at 12 and to elect a Board of Directors of 12 members, each to hold office until the next Annual General Meeting of Stockholders and until a director's successor is elected and qualified or until a director's death, resignation or removal. Each of the nominees is now a director and was previously elected by the stockholders. Unless instructed otherwise, the proxies will be voted for the election of the 12 nominees named below. If any nominee is unable or unwilling to serve, proxies may be voted for another person designated by the Board of Directors. The Board knows of no reason why any nominee will be unable or unwilling to serve if elected.</w:t>
      </w:r>
    </w:p>
    <w:p>
      <w:pPr>
        <w:spacing w:after="0" w:line="168" w:lineRule="exact"/>
        <w:rPr>
          <w:sz w:val="20"/>
          <w:szCs w:val="20"/>
          <w:color w:val="auto"/>
        </w:rPr>
      </w:pPr>
    </w:p>
    <w:p>
      <w:pPr>
        <w:jc w:val="both"/>
        <w:ind w:right="3699" w:firstLine="170"/>
        <w:spacing w:after="0" w:line="248" w:lineRule="auto"/>
        <w:rPr>
          <w:sz w:val="20"/>
          <w:szCs w:val="20"/>
          <w:color w:val="auto"/>
        </w:rPr>
      </w:pPr>
      <w:r>
        <w:rPr>
          <w:rFonts w:ascii="Courier New" w:cs="Courier New" w:eastAsia="Courier New" w:hAnsi="Courier New"/>
          <w:sz w:val="14"/>
          <w:szCs w:val="14"/>
          <w:color w:val="auto"/>
        </w:rPr>
        <w:t>A majority of the votes cast is required to elect each of the nominees for director.</w:t>
      </w:r>
    </w:p>
    <w:p>
      <w:pPr>
        <w:spacing w:after="0" w:line="16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Board of Directors Recommends a Vote FOR All Nominees.</w:t>
      </w:r>
    </w:p>
    <w:p>
      <w:pPr>
        <w:spacing w:after="0" w:line="168" w:lineRule="exact"/>
        <w:rPr>
          <w:sz w:val="20"/>
          <w:szCs w:val="20"/>
          <w:color w:val="auto"/>
        </w:rPr>
      </w:pPr>
    </w:p>
    <w:p>
      <w:pPr>
        <w:jc w:val="both"/>
        <w:ind w:right="3699" w:firstLine="170"/>
        <w:spacing w:after="0" w:line="247" w:lineRule="auto"/>
        <w:rPr>
          <w:sz w:val="20"/>
          <w:szCs w:val="20"/>
          <w:color w:val="auto"/>
        </w:rPr>
      </w:pPr>
      <w:r>
        <w:rPr>
          <w:rFonts w:ascii="Courier New" w:cs="Courier New" w:eastAsia="Courier New" w:hAnsi="Courier New"/>
          <w:sz w:val="14"/>
          <w:szCs w:val="14"/>
          <w:color w:val="auto"/>
        </w:rPr>
        <w:t>The Board of Directors' nominees for election to the Board, together with information furnished by them with respect to their business experience, and other information regarding them, are set forth below:</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940" w:type="dxa"/>
            <w:vAlign w:val="bottom"/>
          </w:tcPr>
          <w:p>
            <w:pPr>
              <w:ind w:left="2220"/>
              <w:spacing w:after="0"/>
              <w:rPr>
                <w:sz w:val="20"/>
                <w:szCs w:val="20"/>
                <w:color w:val="auto"/>
              </w:rPr>
            </w:pPr>
            <w:r>
              <w:rPr>
                <w:rFonts w:ascii="Courier New" w:cs="Courier New" w:eastAsia="Courier New" w:hAnsi="Courier New"/>
                <w:sz w:val="14"/>
                <w:szCs w:val="14"/>
                <w:color w:val="auto"/>
              </w:rPr>
              <w:t>Nominee, Age and</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w w:val="98"/>
              </w:rPr>
              <w:t>Director</w:t>
            </w:r>
          </w:p>
        </w:tc>
      </w:tr>
      <w:tr>
        <w:trPr>
          <w:trHeight w:val="163"/>
        </w:trPr>
        <w:tc>
          <w:tcPr>
            <w:tcW w:w="5940" w:type="dxa"/>
            <w:vAlign w:val="bottom"/>
          </w:tcPr>
          <w:p>
            <w:pPr>
              <w:ind w:left="1700"/>
              <w:spacing w:after="0"/>
              <w:rPr>
                <w:sz w:val="20"/>
                <w:szCs w:val="20"/>
                <w:color w:val="auto"/>
              </w:rPr>
            </w:pPr>
            <w:r>
              <w:rPr>
                <w:rFonts w:ascii="Courier New" w:cs="Courier New" w:eastAsia="Courier New" w:hAnsi="Courier New"/>
                <w:sz w:val="14"/>
                <w:szCs w:val="14"/>
                <w:color w:val="auto"/>
              </w:rPr>
              <w:t>Five-Year Business Experience</w:t>
            </w:r>
          </w:p>
        </w:tc>
        <w:tc>
          <w:tcPr>
            <w:tcW w:w="760" w:type="dxa"/>
            <w:vAlign w:val="bottom"/>
          </w:tcPr>
          <w:p>
            <w:pPr>
              <w:ind w:left="180"/>
              <w:spacing w:after="0"/>
              <w:rPr>
                <w:sz w:val="20"/>
                <w:szCs w:val="20"/>
                <w:color w:val="auto"/>
              </w:rPr>
            </w:pPr>
            <w:r>
              <w:rPr>
                <w:rFonts w:ascii="Courier New" w:cs="Courier New" w:eastAsia="Courier New" w:hAnsi="Courier New"/>
                <w:sz w:val="14"/>
                <w:szCs w:val="14"/>
                <w:color w:val="auto"/>
              </w:rPr>
              <w:t>Since</w:t>
            </w:r>
          </w:p>
        </w:tc>
      </w:tr>
      <w:tr>
        <w:trPr>
          <w:trHeight w:val="163"/>
        </w:trPr>
        <w:tc>
          <w:tcPr>
            <w:tcW w:w="5940" w:type="dxa"/>
            <w:vAlign w:val="bottom"/>
          </w:tcPr>
          <w:p>
            <w:pPr>
              <w:ind w:left="170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center"/>
              <w:ind w:left="9"/>
              <w:spacing w:after="0"/>
              <w:rPr>
                <w:sz w:val="20"/>
                <w:szCs w:val="20"/>
                <w:color w:val="auto"/>
              </w:rPr>
            </w:pPr>
            <w:r>
              <w:rPr>
                <w:rFonts w:ascii="Courier New" w:cs="Courier New" w:eastAsia="Courier New" w:hAnsi="Courier New"/>
                <w:sz w:val="14"/>
                <w:szCs w:val="14"/>
                <w:color w:val="auto"/>
              </w:rPr>
              <w:t>--------</w:t>
            </w:r>
          </w:p>
        </w:tc>
      </w:tr>
      <w:tr>
        <w:trPr>
          <w:trHeight w:val="326"/>
        </w:trPr>
        <w:tc>
          <w:tcPr>
            <w:tcW w:w="5940" w:type="dxa"/>
            <w:vAlign w:val="bottom"/>
          </w:tcPr>
          <w:p>
            <w:pPr>
              <w:spacing w:after="0"/>
              <w:rPr>
                <w:sz w:val="20"/>
                <w:szCs w:val="20"/>
                <w:color w:val="auto"/>
              </w:rPr>
            </w:pPr>
            <w:r>
              <w:rPr>
                <w:rFonts w:ascii="Courier New" w:cs="Courier New" w:eastAsia="Courier New" w:hAnsi="Courier New"/>
                <w:sz w:val="14"/>
                <w:szCs w:val="14"/>
                <w:color w:val="auto"/>
              </w:rPr>
              <w:t>DON E. ACKERMAN, 66; Private Investor since 1991.(1).................</w:t>
            </w:r>
          </w:p>
        </w:tc>
        <w:tc>
          <w:tcPr>
            <w:tcW w:w="760" w:type="dxa"/>
            <w:vAlign w:val="bottom"/>
          </w:tcPr>
          <w:p>
            <w:pPr>
              <w:jc w:val="center"/>
              <w:ind w:left="29"/>
              <w:spacing w:after="0"/>
              <w:rPr>
                <w:sz w:val="20"/>
                <w:szCs w:val="20"/>
                <w:color w:val="auto"/>
              </w:rPr>
            </w:pPr>
            <w:r>
              <w:rPr>
                <w:rFonts w:ascii="Courier New" w:cs="Courier New" w:eastAsia="Courier New" w:hAnsi="Courier New"/>
                <w:sz w:val="14"/>
                <w:szCs w:val="14"/>
                <w:color w:val="auto"/>
              </w:rPr>
              <w:t>1982</w:t>
            </w:r>
          </w:p>
        </w:tc>
      </w:tr>
      <w:tr>
        <w:trPr>
          <w:trHeight w:val="163"/>
        </w:trPr>
        <w:tc>
          <w:tcPr>
            <w:tcW w:w="5940" w:type="dxa"/>
            <w:vAlign w:val="bottom"/>
          </w:tcPr>
          <w:p>
            <w:pPr>
              <w:spacing w:after="0"/>
              <w:rPr>
                <w:sz w:val="20"/>
                <w:szCs w:val="20"/>
                <w:color w:val="auto"/>
              </w:rPr>
            </w:pPr>
            <w:r>
              <w:rPr>
                <w:rFonts w:ascii="Courier New" w:cs="Courier New" w:eastAsia="Courier New" w:hAnsi="Courier New"/>
                <w:sz w:val="14"/>
                <w:szCs w:val="14"/>
                <w:color w:val="auto"/>
              </w:rPr>
              <w:t>D. EUAN BAIRD, 62; Chairman and Chief Executive Officer since October</w:t>
            </w:r>
          </w:p>
        </w:tc>
        <w:tc>
          <w:tcPr>
            <w:tcW w:w="760" w:type="dxa"/>
            <w:vAlign w:val="bottom"/>
          </w:tcPr>
          <w:p>
            <w:pPr>
              <w:spacing w:after="0"/>
              <w:rPr>
                <w:sz w:val="14"/>
                <w:szCs w:val="14"/>
                <w:color w:val="auto"/>
              </w:rPr>
            </w:pPr>
          </w:p>
        </w:tc>
      </w:tr>
      <w:tr>
        <w:trPr>
          <w:trHeight w:val="163"/>
        </w:trPr>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1986.(2)............................................................</w:t>
            </w:r>
          </w:p>
        </w:tc>
        <w:tc>
          <w:tcPr>
            <w:tcW w:w="760" w:type="dxa"/>
            <w:vAlign w:val="bottom"/>
          </w:tcPr>
          <w:p>
            <w:pPr>
              <w:jc w:val="center"/>
              <w:ind w:left="29"/>
              <w:spacing w:after="0"/>
              <w:rPr>
                <w:sz w:val="20"/>
                <w:szCs w:val="20"/>
                <w:color w:val="auto"/>
              </w:rPr>
            </w:pPr>
            <w:r>
              <w:rPr>
                <w:rFonts w:ascii="Courier New" w:cs="Courier New" w:eastAsia="Courier New" w:hAnsi="Courier New"/>
                <w:sz w:val="14"/>
                <w:szCs w:val="14"/>
                <w:color w:val="auto"/>
              </w:rPr>
              <w:t>1986</w:t>
            </w:r>
          </w:p>
        </w:tc>
      </w:tr>
      <w:tr>
        <w:trPr>
          <w:trHeight w:val="163"/>
        </w:trPr>
        <w:tc>
          <w:tcPr>
            <w:tcW w:w="5940" w:type="dxa"/>
            <w:vAlign w:val="bottom"/>
          </w:tcPr>
          <w:p>
            <w:pPr>
              <w:spacing w:after="0"/>
              <w:rPr>
                <w:sz w:val="20"/>
                <w:szCs w:val="20"/>
                <w:color w:val="auto"/>
              </w:rPr>
            </w:pPr>
            <w:r>
              <w:rPr>
                <w:rFonts w:ascii="Courier New" w:cs="Courier New" w:eastAsia="Courier New" w:hAnsi="Courier New"/>
                <w:sz w:val="14"/>
                <w:szCs w:val="14"/>
                <w:color w:val="auto"/>
              </w:rPr>
              <w:t>JOHN DEUTCH, 61; Institute Professor, Massachusetts Institute of</w:t>
            </w:r>
          </w:p>
        </w:tc>
        <w:tc>
          <w:tcPr>
            <w:tcW w:w="760" w:type="dxa"/>
            <w:vAlign w:val="bottom"/>
          </w:tcPr>
          <w:p>
            <w:pPr>
              <w:spacing w:after="0"/>
              <w:rPr>
                <w:sz w:val="14"/>
                <w:szCs w:val="14"/>
                <w:color w:val="auto"/>
              </w:rPr>
            </w:pPr>
          </w:p>
        </w:tc>
      </w:tr>
      <w:tr>
        <w:trPr>
          <w:trHeight w:val="163"/>
        </w:trPr>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Technology, Cambridge, Massachusetts since January 1997; Director of</w:t>
            </w:r>
          </w:p>
        </w:tc>
        <w:tc>
          <w:tcPr>
            <w:tcW w:w="760" w:type="dxa"/>
            <w:vAlign w:val="bottom"/>
          </w:tcPr>
          <w:p>
            <w:pPr>
              <w:spacing w:after="0"/>
              <w:rPr>
                <w:sz w:val="14"/>
                <w:szCs w:val="14"/>
                <w:color w:val="auto"/>
              </w:rPr>
            </w:pPr>
          </w:p>
        </w:tc>
      </w:tr>
      <w:tr>
        <w:trPr>
          <w:trHeight w:val="163"/>
        </w:trPr>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U.S. Central Intelligence May 1995 to December 1996; Deputy</w:t>
            </w:r>
          </w:p>
        </w:tc>
        <w:tc>
          <w:tcPr>
            <w:tcW w:w="760" w:type="dxa"/>
            <w:vAlign w:val="bottom"/>
          </w:tcPr>
          <w:p>
            <w:pPr>
              <w:spacing w:after="0"/>
              <w:rPr>
                <w:sz w:val="14"/>
                <w:szCs w:val="14"/>
                <w:color w:val="auto"/>
              </w:rPr>
            </w:pPr>
          </w:p>
        </w:tc>
      </w:tr>
      <w:tr>
        <w:trPr>
          <w:trHeight w:val="163"/>
        </w:trPr>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Secretary of Defense April 1994 to May 1995; Undersecretary of</w:t>
            </w:r>
          </w:p>
        </w:tc>
        <w:tc>
          <w:tcPr>
            <w:tcW w:w="760" w:type="dxa"/>
            <w:vAlign w:val="bottom"/>
          </w:tcPr>
          <w:p>
            <w:pPr>
              <w:spacing w:after="0"/>
              <w:rPr>
                <w:sz w:val="14"/>
                <w:szCs w:val="14"/>
                <w:color w:val="auto"/>
              </w:rPr>
            </w:pPr>
          </w:p>
        </w:tc>
      </w:tr>
      <w:tr>
        <w:trPr>
          <w:trHeight w:val="163"/>
        </w:trPr>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Defense (Acquisition and Technology) March 1993 to 1994; Director of</w:t>
            </w:r>
          </w:p>
        </w:tc>
        <w:tc>
          <w:tcPr>
            <w:tcW w:w="760" w:type="dxa"/>
            <w:vAlign w:val="bottom"/>
          </w:tcPr>
          <w:p>
            <w:pPr>
              <w:spacing w:after="0"/>
              <w:rPr>
                <w:sz w:val="14"/>
                <w:szCs w:val="14"/>
                <w:color w:val="auto"/>
              </w:rPr>
            </w:pPr>
          </w:p>
        </w:tc>
      </w:tr>
      <w:tr>
        <w:trPr>
          <w:trHeight w:val="163"/>
        </w:trPr>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Schlumberger Limited, May 1987 to 1993.(3)..........................</w:t>
            </w:r>
          </w:p>
        </w:tc>
        <w:tc>
          <w:tcPr>
            <w:tcW w:w="760" w:type="dxa"/>
            <w:vAlign w:val="bottom"/>
          </w:tcPr>
          <w:p>
            <w:pPr>
              <w:jc w:val="center"/>
              <w:ind w:left="2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5940" w:type="dxa"/>
            <w:vAlign w:val="bottom"/>
          </w:tcPr>
          <w:p>
            <w:pPr>
              <w:spacing w:after="0"/>
              <w:rPr>
                <w:sz w:val="20"/>
                <w:szCs w:val="20"/>
                <w:color w:val="auto"/>
              </w:rPr>
            </w:pPr>
            <w:r>
              <w:rPr>
                <w:rFonts w:ascii="Courier New" w:cs="Courier New" w:eastAsia="Courier New" w:hAnsi="Courier New"/>
                <w:sz w:val="14"/>
                <w:szCs w:val="14"/>
                <w:color w:val="auto"/>
              </w:rPr>
              <w:t>VICTOR E. GRIJALVA, 61; Vice Chairman since April 1998; Executive</w:t>
            </w:r>
          </w:p>
        </w:tc>
        <w:tc>
          <w:tcPr>
            <w:tcW w:w="760" w:type="dxa"/>
            <w:vAlign w:val="bottom"/>
          </w:tcPr>
          <w:p>
            <w:pPr>
              <w:spacing w:after="0"/>
              <w:rPr>
                <w:sz w:val="14"/>
                <w:szCs w:val="14"/>
                <w:color w:val="auto"/>
              </w:rPr>
            </w:pPr>
          </w:p>
        </w:tc>
      </w:tr>
      <w:tr>
        <w:trPr>
          <w:trHeight w:val="163"/>
        </w:trPr>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Vice President, Oilfield Services from 1994 to April 1998; Executive</w:t>
            </w:r>
          </w:p>
        </w:tc>
        <w:tc>
          <w:tcPr>
            <w:tcW w:w="760" w:type="dxa"/>
            <w:vAlign w:val="bottom"/>
          </w:tcPr>
          <w:p>
            <w:pPr>
              <w:spacing w:after="0"/>
              <w:rPr>
                <w:sz w:val="14"/>
                <w:szCs w:val="14"/>
                <w:color w:val="auto"/>
              </w:rPr>
            </w:pPr>
          </w:p>
        </w:tc>
      </w:tr>
      <w:tr>
        <w:trPr>
          <w:trHeight w:val="163"/>
        </w:trPr>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Vice President for Wireline, Testing &amp; Anadrill from 1992 to 1994.</w:t>
            </w:r>
          </w:p>
        </w:tc>
        <w:tc>
          <w:tcPr>
            <w:tcW w:w="760" w:type="dxa"/>
            <w:vAlign w:val="bottom"/>
          </w:tcPr>
          <w:p>
            <w:pPr>
              <w:spacing w:after="0"/>
              <w:rPr>
                <w:sz w:val="14"/>
                <w:szCs w:val="14"/>
                <w:color w:val="auto"/>
              </w:rPr>
            </w:pPr>
          </w:p>
        </w:tc>
      </w:tr>
      <w:tr>
        <w:trPr>
          <w:trHeight w:val="163"/>
        </w:trPr>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(4).................................................................</w:t>
            </w:r>
          </w:p>
        </w:tc>
        <w:tc>
          <w:tcPr>
            <w:tcW w:w="760" w:type="dxa"/>
            <w:vAlign w:val="bottom"/>
          </w:tcPr>
          <w:p>
            <w:pPr>
              <w:jc w:val="center"/>
              <w:ind w:left="2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5940" w:type="dxa"/>
            <w:vAlign w:val="bottom"/>
          </w:tcPr>
          <w:p>
            <w:pPr>
              <w:spacing w:after="0"/>
              <w:rPr>
                <w:sz w:val="20"/>
                <w:szCs w:val="20"/>
                <w:color w:val="auto"/>
              </w:rPr>
            </w:pPr>
            <w:r>
              <w:rPr>
                <w:rFonts w:ascii="Courier New" w:cs="Courier New" w:eastAsia="Courier New" w:hAnsi="Courier New"/>
                <w:sz w:val="14"/>
                <w:szCs w:val="14"/>
                <w:color w:val="auto"/>
              </w:rPr>
              <w:t>DENYS HENDERSON, 67; Chairman, The Rank Group Plc., a diversified</w:t>
            </w:r>
          </w:p>
        </w:tc>
        <w:tc>
          <w:tcPr>
            <w:tcW w:w="760" w:type="dxa"/>
            <w:vAlign w:val="bottom"/>
          </w:tcPr>
          <w:p>
            <w:pPr>
              <w:spacing w:after="0"/>
              <w:rPr>
                <w:sz w:val="14"/>
                <w:szCs w:val="14"/>
                <w:color w:val="auto"/>
              </w:rPr>
            </w:pPr>
          </w:p>
        </w:tc>
      </w:tr>
      <w:tr>
        <w:trPr>
          <w:trHeight w:val="163"/>
        </w:trPr>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leisure services concern, since March 1995; Chairman, Dalgety PLC,</w:t>
            </w:r>
          </w:p>
        </w:tc>
        <w:tc>
          <w:tcPr>
            <w:tcW w:w="760" w:type="dxa"/>
            <w:vAlign w:val="bottom"/>
          </w:tcPr>
          <w:p>
            <w:pPr>
              <w:spacing w:after="0"/>
              <w:rPr>
                <w:sz w:val="14"/>
                <w:szCs w:val="14"/>
                <w:color w:val="auto"/>
              </w:rPr>
            </w:pPr>
          </w:p>
        </w:tc>
      </w:tr>
      <w:tr>
        <w:trPr>
          <w:trHeight w:val="163"/>
        </w:trPr>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January 1997 through December 31, 1998; Chairman, Zeneca Group PLC,</w:t>
            </w:r>
          </w:p>
        </w:tc>
        <w:tc>
          <w:tcPr>
            <w:tcW w:w="760" w:type="dxa"/>
            <w:vAlign w:val="bottom"/>
          </w:tcPr>
          <w:p>
            <w:pPr>
              <w:spacing w:after="0"/>
              <w:rPr>
                <w:sz w:val="14"/>
                <w:szCs w:val="14"/>
                <w:color w:val="auto"/>
              </w:rPr>
            </w:pPr>
          </w:p>
        </w:tc>
      </w:tr>
      <w:tr>
        <w:trPr>
          <w:trHeight w:val="163"/>
        </w:trPr>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June 1993 to May 1995; Chairman, Imperial Chemical Industries PLC</w:t>
            </w:r>
          </w:p>
        </w:tc>
        <w:tc>
          <w:tcPr>
            <w:tcW w:w="760" w:type="dxa"/>
            <w:vAlign w:val="bottom"/>
          </w:tcPr>
          <w:p>
            <w:pPr>
              <w:spacing w:after="0"/>
              <w:rPr>
                <w:sz w:val="14"/>
                <w:szCs w:val="14"/>
                <w:color w:val="auto"/>
              </w:rPr>
            </w:pPr>
          </w:p>
        </w:tc>
      </w:tr>
      <w:tr>
        <w:trPr>
          <w:trHeight w:val="163"/>
        </w:trPr>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("ICI"), June 1993 through April 1995; Chairman and Chief Executive</w:t>
            </w:r>
          </w:p>
        </w:tc>
        <w:tc>
          <w:tcPr>
            <w:tcW w:w="760" w:type="dxa"/>
            <w:vAlign w:val="bottom"/>
          </w:tcPr>
          <w:p>
            <w:pPr>
              <w:spacing w:after="0"/>
              <w:rPr>
                <w:sz w:val="14"/>
                <w:szCs w:val="14"/>
                <w:color w:val="auto"/>
              </w:rPr>
            </w:pPr>
          </w:p>
        </w:tc>
      </w:tr>
      <w:tr>
        <w:trPr>
          <w:trHeight w:val="163"/>
        </w:trPr>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Officer, ICI, April 1987 to June 1993, all in the United Kingdom....</w:t>
            </w:r>
          </w:p>
        </w:tc>
        <w:tc>
          <w:tcPr>
            <w:tcW w:w="760" w:type="dxa"/>
            <w:vAlign w:val="bottom"/>
          </w:tcPr>
          <w:p>
            <w:pPr>
              <w:jc w:val="center"/>
              <w:ind w:left="29"/>
              <w:spacing w:after="0"/>
              <w:rPr>
                <w:sz w:val="20"/>
                <w:szCs w:val="20"/>
                <w:color w:val="auto"/>
              </w:rPr>
            </w:pPr>
            <w:r>
              <w:rPr>
                <w:rFonts w:ascii="Courier New" w:cs="Courier New" w:eastAsia="Courier New" w:hAnsi="Courier New"/>
                <w:sz w:val="14"/>
                <w:szCs w:val="14"/>
                <w:color w:val="auto"/>
              </w:rPr>
              <w:t>1995</w:t>
            </w:r>
          </w:p>
        </w:tc>
      </w:tr>
      <w:tr>
        <w:trPr>
          <w:trHeight w:val="163"/>
        </w:trPr>
        <w:tc>
          <w:tcPr>
            <w:tcW w:w="5940" w:type="dxa"/>
            <w:vAlign w:val="bottom"/>
          </w:tcPr>
          <w:p>
            <w:pPr>
              <w:spacing w:after="0"/>
              <w:rPr>
                <w:sz w:val="20"/>
                <w:szCs w:val="20"/>
                <w:color w:val="auto"/>
              </w:rPr>
            </w:pPr>
            <w:r>
              <w:rPr>
                <w:rFonts w:ascii="Courier New" w:cs="Courier New" w:eastAsia="Courier New" w:hAnsi="Courier New"/>
                <w:sz w:val="14"/>
                <w:szCs w:val="14"/>
                <w:color w:val="auto"/>
              </w:rPr>
              <w:t>ANDRE LEVY-LANG, 62; Independent Investor since November, 1999;</w:t>
            </w:r>
          </w:p>
        </w:tc>
        <w:tc>
          <w:tcPr>
            <w:tcW w:w="760" w:type="dxa"/>
            <w:vAlign w:val="bottom"/>
          </w:tcPr>
          <w:p>
            <w:pPr>
              <w:spacing w:after="0"/>
              <w:rPr>
                <w:sz w:val="14"/>
                <w:szCs w:val="14"/>
                <w:color w:val="auto"/>
              </w:rPr>
            </w:pPr>
          </w:p>
        </w:tc>
      </w:tr>
      <w:tr>
        <w:trPr>
          <w:trHeight w:val="163"/>
        </w:trPr>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Chairman of the Executive Board of Paribas, an international banking</w:t>
            </w:r>
          </w:p>
        </w:tc>
        <w:tc>
          <w:tcPr>
            <w:tcW w:w="760" w:type="dxa"/>
            <w:vAlign w:val="bottom"/>
          </w:tcPr>
          <w:p>
            <w:pPr>
              <w:spacing w:after="0"/>
              <w:rPr>
                <w:sz w:val="14"/>
                <w:szCs w:val="14"/>
                <w:color w:val="auto"/>
              </w:rPr>
            </w:pPr>
          </w:p>
        </w:tc>
      </w:tr>
      <w:tr>
        <w:trPr>
          <w:trHeight w:val="163"/>
        </w:trPr>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group, May 1998 to August 1999; Chairman of the Board of Management</w:t>
            </w:r>
          </w:p>
        </w:tc>
        <w:tc>
          <w:tcPr>
            <w:tcW w:w="760" w:type="dxa"/>
            <w:vAlign w:val="bottom"/>
          </w:tcPr>
          <w:p>
            <w:pPr>
              <w:spacing w:after="0"/>
              <w:rPr>
                <w:sz w:val="14"/>
                <w:szCs w:val="14"/>
                <w:color w:val="auto"/>
              </w:rPr>
            </w:pPr>
          </w:p>
        </w:tc>
      </w:tr>
      <w:tr>
        <w:trPr>
          <w:trHeight w:val="163"/>
        </w:trPr>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of Compagnie Financiere de Paribas from June 1990 until May 1998,</w:t>
            </w:r>
          </w:p>
        </w:tc>
        <w:tc>
          <w:tcPr>
            <w:tcW w:w="760" w:type="dxa"/>
            <w:vAlign w:val="bottom"/>
          </w:tcPr>
          <w:p>
            <w:pPr>
              <w:spacing w:after="0"/>
              <w:rPr>
                <w:sz w:val="14"/>
                <w:szCs w:val="14"/>
                <w:color w:val="auto"/>
              </w:rPr>
            </w:pPr>
          </w:p>
        </w:tc>
      </w:tr>
      <w:tr>
        <w:trPr>
          <w:trHeight w:val="163"/>
        </w:trPr>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Paris. (5)..........................................................</w:t>
            </w:r>
          </w:p>
        </w:tc>
        <w:tc>
          <w:tcPr>
            <w:tcW w:w="760" w:type="dxa"/>
            <w:vAlign w:val="bottom"/>
          </w:tcPr>
          <w:p>
            <w:pPr>
              <w:jc w:val="center"/>
              <w:ind w:left="29"/>
              <w:spacing w:after="0"/>
              <w:rPr>
                <w:sz w:val="20"/>
                <w:szCs w:val="20"/>
                <w:color w:val="auto"/>
              </w:rPr>
            </w:pPr>
            <w:r>
              <w:rPr>
                <w:rFonts w:ascii="Courier New" w:cs="Courier New" w:eastAsia="Courier New" w:hAnsi="Courier New"/>
                <w:sz w:val="14"/>
                <w:szCs w:val="14"/>
                <w:color w:val="auto"/>
              </w:rPr>
              <w:t>1992</w:t>
            </w:r>
          </w:p>
        </w:tc>
      </w:tr>
      <w:tr>
        <w:trPr>
          <w:trHeight w:val="163"/>
        </w:trPr>
        <w:tc>
          <w:tcPr>
            <w:tcW w:w="5940" w:type="dxa"/>
            <w:vAlign w:val="bottom"/>
          </w:tcPr>
          <w:p>
            <w:pPr>
              <w:spacing w:after="0"/>
              <w:rPr>
                <w:sz w:val="20"/>
                <w:szCs w:val="20"/>
                <w:color w:val="auto"/>
              </w:rPr>
            </w:pPr>
            <w:r>
              <w:rPr>
                <w:rFonts w:ascii="Courier New" w:cs="Courier New" w:eastAsia="Courier New" w:hAnsi="Courier New"/>
                <w:sz w:val="14"/>
                <w:szCs w:val="14"/>
                <w:color w:val="auto"/>
              </w:rPr>
              <w:t>WILLIAM T. McCORMICK, JR., 55; Chairman and Chief Executive Officer,</w:t>
            </w:r>
          </w:p>
        </w:tc>
        <w:tc>
          <w:tcPr>
            <w:tcW w:w="760" w:type="dxa"/>
            <w:vAlign w:val="bottom"/>
          </w:tcPr>
          <w:p>
            <w:pPr>
              <w:spacing w:after="0"/>
              <w:rPr>
                <w:sz w:val="14"/>
                <w:szCs w:val="14"/>
                <w:color w:val="auto"/>
              </w:rPr>
            </w:pPr>
          </w:p>
        </w:tc>
      </w:tr>
      <w:tr>
        <w:trPr>
          <w:trHeight w:val="163"/>
        </w:trPr>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CMS Energy Corp., a diversified energy company, Dearborn,</w:t>
            </w:r>
          </w:p>
        </w:tc>
        <w:tc>
          <w:tcPr>
            <w:tcW w:w="760" w:type="dxa"/>
            <w:vAlign w:val="bottom"/>
          </w:tcPr>
          <w:p>
            <w:pPr>
              <w:spacing w:after="0"/>
              <w:rPr>
                <w:sz w:val="14"/>
                <w:szCs w:val="14"/>
                <w:color w:val="auto"/>
              </w:rPr>
            </w:pPr>
          </w:p>
        </w:tc>
      </w:tr>
      <w:tr>
        <w:trPr>
          <w:trHeight w:val="163"/>
        </w:trPr>
        <w:tc>
          <w:tcPr>
            <w:tcW w:w="5940" w:type="dxa"/>
            <w:vAlign w:val="bottom"/>
          </w:tcPr>
          <w:p>
            <w:pPr>
              <w:ind w:left="100"/>
              <w:spacing w:after="0"/>
              <w:rPr>
                <w:sz w:val="20"/>
                <w:szCs w:val="20"/>
                <w:color w:val="auto"/>
              </w:rPr>
            </w:pPr>
            <w:r>
              <w:rPr>
                <w:rFonts w:ascii="Courier New" w:cs="Courier New" w:eastAsia="Courier New" w:hAnsi="Courier New"/>
                <w:sz w:val="14"/>
                <w:szCs w:val="14"/>
                <w:color w:val="auto"/>
              </w:rPr>
              <w:t>Michigan.(6)........................................................</w:t>
            </w:r>
          </w:p>
        </w:tc>
        <w:tc>
          <w:tcPr>
            <w:tcW w:w="760" w:type="dxa"/>
            <w:vAlign w:val="bottom"/>
          </w:tcPr>
          <w:p>
            <w:pPr>
              <w:jc w:val="center"/>
              <w:ind w:left="29"/>
              <w:spacing w:after="0"/>
              <w:rPr>
                <w:sz w:val="20"/>
                <w:szCs w:val="20"/>
                <w:color w:val="auto"/>
              </w:rPr>
            </w:pPr>
            <w:r>
              <w:rPr>
                <w:rFonts w:ascii="Courier New" w:cs="Courier New" w:eastAsia="Courier New" w:hAnsi="Courier New"/>
                <w:sz w:val="14"/>
                <w:szCs w:val="14"/>
                <w:color w:val="auto"/>
              </w:rPr>
              <w:t>1990</w:t>
            </w:r>
          </w:p>
        </w:tc>
      </w:tr>
      <w:tr>
        <w:trPr>
          <w:trHeight w:val="489"/>
        </w:trPr>
        <w:tc>
          <w:tcPr>
            <w:tcW w:w="5940" w:type="dxa"/>
            <w:vAlign w:val="bottom"/>
          </w:tcPr>
          <w:p>
            <w:pPr>
              <w:ind w:left="3320"/>
              <w:spacing w:after="0"/>
              <w:rPr>
                <w:sz w:val="20"/>
                <w:szCs w:val="20"/>
                <w:color w:val="auto"/>
              </w:rPr>
            </w:pPr>
            <w:r>
              <w:rPr>
                <w:rFonts w:ascii="Courier New" w:cs="Courier New" w:eastAsia="Courier New" w:hAnsi="Courier New"/>
                <w:sz w:val="14"/>
                <w:szCs w:val="14"/>
                <w:color w:val="auto"/>
              </w:rPr>
              <w:t>2</w:t>
            </w:r>
          </w:p>
        </w:tc>
        <w:tc>
          <w:tcPr>
            <w:tcW w:w="760" w:type="dxa"/>
            <w:vAlign w:val="bottom"/>
          </w:tcPr>
          <w:p>
            <w:pPr>
              <w:spacing w:after="0"/>
              <w:rPr>
                <w:sz w:val="24"/>
                <w:szCs w:val="24"/>
                <w:color w:val="auto"/>
              </w:rPr>
            </w:pPr>
          </w:p>
        </w:tc>
      </w:tr>
    </w:tbl>
    <w:p>
      <w:pPr>
        <w:sectPr>
          <w:pgSz w:w="11900" w:h="16838" w:orient="portrait"/>
          <w:cols w:equalWidth="0" w:num="1">
            <w:col w:w="10159"/>
          </w:cols>
          <w:pgMar w:left="300" w:top="609" w:right="1440"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980" w:type="dxa"/>
            <w:vAlign w:val="bottom"/>
            <w:gridSpan w:val="2"/>
          </w:tcPr>
          <w:p>
            <w:pPr>
              <w:ind w:left="2300"/>
              <w:spacing w:after="0"/>
              <w:rPr>
                <w:sz w:val="20"/>
                <w:szCs w:val="20"/>
                <w:color w:val="auto"/>
              </w:rPr>
            </w:pPr>
            <w:r>
              <w:rPr>
                <w:rFonts w:ascii="Courier New" w:cs="Courier New" w:eastAsia="Courier New" w:hAnsi="Courier New"/>
                <w:sz w:val="14"/>
                <w:szCs w:val="14"/>
                <w:color w:val="auto"/>
              </w:rPr>
              <w:t>Nominee, Age and</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w w:val="98"/>
              </w:rPr>
              <w:t>Director</w:t>
            </w:r>
          </w:p>
        </w:tc>
      </w:tr>
      <w:tr>
        <w:trPr>
          <w:trHeight w:val="163"/>
        </w:trPr>
        <w:tc>
          <w:tcPr>
            <w:tcW w:w="2560" w:type="dxa"/>
            <w:vAlign w:val="bottom"/>
          </w:tcPr>
          <w:p>
            <w:pPr>
              <w:ind w:left="1700"/>
              <w:spacing w:after="0"/>
              <w:rPr>
                <w:sz w:val="20"/>
                <w:szCs w:val="20"/>
                <w:color w:val="auto"/>
              </w:rPr>
            </w:pPr>
            <w:r>
              <w:rPr>
                <w:rFonts w:ascii="Courier New" w:cs="Courier New" w:eastAsia="Courier New" w:hAnsi="Courier New"/>
                <w:sz w:val="14"/>
                <w:szCs w:val="14"/>
                <w:color w:val="auto"/>
              </w:rPr>
              <w:t>Five-Year</w:t>
            </w:r>
          </w:p>
        </w:tc>
        <w:tc>
          <w:tcPr>
            <w:tcW w:w="3420" w:type="dxa"/>
            <w:vAlign w:val="bottom"/>
          </w:tcPr>
          <w:p>
            <w:pPr>
              <w:spacing w:after="0"/>
              <w:rPr>
                <w:sz w:val="20"/>
                <w:szCs w:val="20"/>
                <w:color w:val="auto"/>
              </w:rPr>
            </w:pPr>
            <w:r>
              <w:rPr>
                <w:rFonts w:ascii="Courier New" w:cs="Courier New" w:eastAsia="Courier New" w:hAnsi="Courier New"/>
                <w:sz w:val="14"/>
                <w:szCs w:val="14"/>
                <w:color w:val="auto"/>
              </w:rPr>
              <w:t>Business Experience</w:t>
            </w:r>
          </w:p>
        </w:tc>
        <w:tc>
          <w:tcPr>
            <w:tcW w:w="720" w:type="dxa"/>
            <w:vAlign w:val="bottom"/>
          </w:tcPr>
          <w:p>
            <w:pPr>
              <w:ind w:left="140"/>
              <w:spacing w:after="0"/>
              <w:rPr>
                <w:sz w:val="20"/>
                <w:szCs w:val="20"/>
                <w:color w:val="auto"/>
              </w:rPr>
            </w:pPr>
            <w:r>
              <w:rPr>
                <w:rFonts w:ascii="Courier New" w:cs="Courier New" w:eastAsia="Courier New" w:hAnsi="Courier New"/>
                <w:sz w:val="14"/>
                <w:szCs w:val="14"/>
                <w:color w:val="auto"/>
              </w:rPr>
              <w:t>Since</w:t>
            </w:r>
          </w:p>
        </w:tc>
      </w:tr>
      <w:tr>
        <w:trPr>
          <w:trHeight w:val="163"/>
        </w:trPr>
        <w:tc>
          <w:tcPr>
            <w:tcW w:w="5980" w:type="dxa"/>
            <w:vAlign w:val="bottom"/>
            <w:gridSpan w:val="2"/>
          </w:tcPr>
          <w:p>
            <w:pPr>
              <w:ind w:left="170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326"/>
        </w:trPr>
        <w:tc>
          <w:tcPr>
            <w:tcW w:w="2560" w:type="dxa"/>
            <w:vAlign w:val="bottom"/>
          </w:tcPr>
          <w:p>
            <w:pPr>
              <w:spacing w:after="0"/>
              <w:rPr>
                <w:sz w:val="20"/>
                <w:szCs w:val="20"/>
                <w:color w:val="auto"/>
              </w:rPr>
            </w:pPr>
            <w:r>
              <w:rPr>
                <w:rFonts w:ascii="Courier New" w:cs="Courier New" w:eastAsia="Courier New" w:hAnsi="Courier New"/>
                <w:sz w:val="14"/>
                <w:szCs w:val="14"/>
                <w:color w:val="auto"/>
              </w:rPr>
              <w:t>DIDIER PRIMAT, 55; President,</w:t>
            </w:r>
          </w:p>
        </w:tc>
        <w:tc>
          <w:tcPr>
            <w:tcW w:w="3420" w:type="dxa"/>
            <w:vAlign w:val="bottom"/>
          </w:tcPr>
          <w:p>
            <w:pPr>
              <w:spacing w:after="0"/>
              <w:rPr>
                <w:sz w:val="20"/>
                <w:szCs w:val="20"/>
                <w:color w:val="auto"/>
              </w:rPr>
            </w:pPr>
            <w:r>
              <w:rPr>
                <w:rFonts w:ascii="Courier New" w:cs="Courier New" w:eastAsia="Courier New" w:hAnsi="Courier New"/>
                <w:sz w:val="14"/>
                <w:szCs w:val="14"/>
                <w:color w:val="auto"/>
              </w:rPr>
              <w:t>Primwest Holding N.V., an investment</w:t>
            </w:r>
          </w:p>
        </w:tc>
        <w:tc>
          <w:tcPr>
            <w:tcW w:w="720" w:type="dxa"/>
            <w:vAlign w:val="bottom"/>
          </w:tcPr>
          <w:p>
            <w:pPr>
              <w:spacing w:after="0"/>
              <w:rPr>
                <w:sz w:val="24"/>
                <w:szCs w:val="24"/>
                <w:color w:val="auto"/>
              </w:rPr>
            </w:pPr>
          </w:p>
        </w:tc>
      </w:tr>
      <w:tr>
        <w:trPr>
          <w:trHeight w:val="163"/>
        </w:trPr>
        <w:tc>
          <w:tcPr>
            <w:tcW w:w="2560" w:type="dxa"/>
            <w:vAlign w:val="bottom"/>
          </w:tcPr>
          <w:p>
            <w:pPr>
              <w:ind w:left="100"/>
              <w:spacing w:after="0"/>
              <w:rPr>
                <w:sz w:val="20"/>
                <w:szCs w:val="20"/>
                <w:color w:val="auto"/>
              </w:rPr>
            </w:pPr>
            <w:r>
              <w:rPr>
                <w:rFonts w:ascii="Courier New" w:cs="Courier New" w:eastAsia="Courier New" w:hAnsi="Courier New"/>
                <w:sz w:val="14"/>
                <w:szCs w:val="14"/>
                <w:color w:val="auto"/>
              </w:rPr>
              <w:t>management company, Curacao,</w:t>
            </w:r>
          </w:p>
        </w:tc>
        <w:tc>
          <w:tcPr>
            <w:tcW w:w="3420" w:type="dxa"/>
            <w:vAlign w:val="bottom"/>
          </w:tcPr>
          <w:p>
            <w:pPr>
              <w:spacing w:after="0"/>
              <w:rPr>
                <w:sz w:val="20"/>
                <w:szCs w:val="20"/>
                <w:color w:val="auto"/>
              </w:rPr>
            </w:pPr>
            <w:r>
              <w:rPr>
                <w:rFonts w:ascii="Courier New" w:cs="Courier New" w:eastAsia="Courier New" w:hAnsi="Courier New"/>
                <w:sz w:val="14"/>
                <w:szCs w:val="14"/>
                <w:color w:val="auto"/>
              </w:rPr>
              <w:t>N.A. (7)................................</w:t>
            </w: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1988</w:t>
            </w:r>
          </w:p>
        </w:tc>
      </w:tr>
      <w:tr>
        <w:trPr>
          <w:trHeight w:val="163"/>
        </w:trPr>
        <w:tc>
          <w:tcPr>
            <w:tcW w:w="2560" w:type="dxa"/>
            <w:vAlign w:val="bottom"/>
          </w:tcPr>
          <w:p>
            <w:pPr>
              <w:spacing w:after="0"/>
              <w:rPr>
                <w:sz w:val="20"/>
                <w:szCs w:val="20"/>
                <w:color w:val="auto"/>
              </w:rPr>
            </w:pPr>
            <w:r>
              <w:rPr>
                <w:rFonts w:ascii="Courier New" w:cs="Courier New" w:eastAsia="Courier New" w:hAnsi="Courier New"/>
                <w:sz w:val="14"/>
                <w:szCs w:val="14"/>
                <w:color w:val="auto"/>
              </w:rPr>
              <w:t>NICOLAS SEYDOUX, 60; Chairman</w:t>
            </w:r>
          </w:p>
        </w:tc>
        <w:tc>
          <w:tcPr>
            <w:tcW w:w="3420" w:type="dxa"/>
            <w:vAlign w:val="bottom"/>
          </w:tcPr>
          <w:p>
            <w:pPr>
              <w:spacing w:after="0"/>
              <w:rPr>
                <w:sz w:val="20"/>
                <w:szCs w:val="20"/>
                <w:color w:val="auto"/>
              </w:rPr>
            </w:pPr>
            <w:r>
              <w:rPr>
                <w:rFonts w:ascii="Courier New" w:cs="Courier New" w:eastAsia="Courier New" w:hAnsi="Courier New"/>
                <w:sz w:val="14"/>
                <w:szCs w:val="14"/>
                <w:color w:val="auto"/>
              </w:rPr>
              <w:t>and Chief Executive Officer, Gaumont, a</w:t>
            </w:r>
          </w:p>
        </w:tc>
        <w:tc>
          <w:tcPr>
            <w:tcW w:w="720" w:type="dxa"/>
            <w:vAlign w:val="bottom"/>
          </w:tcPr>
          <w:p>
            <w:pPr>
              <w:spacing w:after="0"/>
              <w:rPr>
                <w:sz w:val="14"/>
                <w:szCs w:val="14"/>
                <w:color w:val="auto"/>
              </w:rPr>
            </w:pPr>
          </w:p>
        </w:tc>
      </w:tr>
      <w:tr>
        <w:trPr>
          <w:trHeight w:val="163"/>
        </w:trPr>
        <w:tc>
          <w:tcPr>
            <w:tcW w:w="59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French film-making enterprise, Paris.(7).............................</w:t>
            </w: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1982</w:t>
            </w:r>
          </w:p>
        </w:tc>
      </w:tr>
      <w:tr>
        <w:trPr>
          <w:trHeight w:val="163"/>
        </w:trPr>
        <w:tc>
          <w:tcPr>
            <w:tcW w:w="5980" w:type="dxa"/>
            <w:vAlign w:val="bottom"/>
            <w:gridSpan w:val="2"/>
          </w:tcPr>
          <w:p>
            <w:pPr>
              <w:spacing w:after="0"/>
              <w:rPr>
                <w:sz w:val="20"/>
                <w:szCs w:val="20"/>
                <w:color w:val="auto"/>
              </w:rPr>
            </w:pPr>
            <w:r>
              <w:rPr>
                <w:rFonts w:ascii="Courier New" w:cs="Courier New" w:eastAsia="Courier New" w:hAnsi="Courier New"/>
                <w:sz w:val="14"/>
                <w:szCs w:val="14"/>
                <w:color w:val="auto"/>
              </w:rPr>
              <w:t>LINDA GILLESPIE STUNTZ, 45; Partner, law firm of Stuntz, Davis &amp;</w:t>
            </w:r>
          </w:p>
        </w:tc>
        <w:tc>
          <w:tcPr>
            <w:tcW w:w="720" w:type="dxa"/>
            <w:vAlign w:val="bottom"/>
          </w:tcPr>
          <w:p>
            <w:pPr>
              <w:spacing w:after="0"/>
              <w:rPr>
                <w:sz w:val="14"/>
                <w:szCs w:val="14"/>
                <w:color w:val="auto"/>
              </w:rPr>
            </w:pPr>
          </w:p>
        </w:tc>
      </w:tr>
      <w:tr>
        <w:trPr>
          <w:trHeight w:val="163"/>
        </w:trPr>
        <w:tc>
          <w:tcPr>
            <w:tcW w:w="59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Staffier P.C., since February 1995; Partner, law firm of Van Ness</w:t>
            </w:r>
          </w:p>
        </w:tc>
        <w:tc>
          <w:tcPr>
            <w:tcW w:w="720" w:type="dxa"/>
            <w:vAlign w:val="bottom"/>
          </w:tcPr>
          <w:p>
            <w:pPr>
              <w:spacing w:after="0"/>
              <w:rPr>
                <w:sz w:val="14"/>
                <w:szCs w:val="14"/>
                <w:color w:val="auto"/>
              </w:rPr>
            </w:pPr>
          </w:p>
        </w:tc>
      </w:tr>
      <w:tr>
        <w:trPr>
          <w:trHeight w:val="163"/>
        </w:trPr>
        <w:tc>
          <w:tcPr>
            <w:tcW w:w="2560" w:type="dxa"/>
            <w:vAlign w:val="bottom"/>
          </w:tcPr>
          <w:p>
            <w:pPr>
              <w:ind w:left="100"/>
              <w:spacing w:after="0"/>
              <w:rPr>
                <w:sz w:val="20"/>
                <w:szCs w:val="20"/>
                <w:color w:val="auto"/>
              </w:rPr>
            </w:pPr>
            <w:r>
              <w:rPr>
                <w:rFonts w:ascii="Courier New" w:cs="Courier New" w:eastAsia="Courier New" w:hAnsi="Courier New"/>
                <w:sz w:val="14"/>
                <w:szCs w:val="14"/>
                <w:color w:val="auto"/>
              </w:rPr>
              <w:t>Feldman, P.C., March 1993 to</w:t>
            </w:r>
          </w:p>
        </w:tc>
        <w:tc>
          <w:tcPr>
            <w:tcW w:w="3420" w:type="dxa"/>
            <w:vAlign w:val="bottom"/>
          </w:tcPr>
          <w:p>
            <w:pPr>
              <w:spacing w:after="0"/>
              <w:rPr>
                <w:sz w:val="20"/>
                <w:szCs w:val="20"/>
                <w:color w:val="auto"/>
              </w:rPr>
            </w:pPr>
            <w:r>
              <w:rPr>
                <w:rFonts w:ascii="Courier New" w:cs="Courier New" w:eastAsia="Courier New" w:hAnsi="Courier New"/>
                <w:sz w:val="14"/>
                <w:szCs w:val="14"/>
                <w:color w:val="auto"/>
              </w:rPr>
              <w:t>February 1995, both in Washington, D. C.</w:t>
            </w:r>
          </w:p>
        </w:tc>
        <w:tc>
          <w:tcPr>
            <w:tcW w:w="720" w:type="dxa"/>
            <w:vAlign w:val="bottom"/>
          </w:tcPr>
          <w:p>
            <w:pPr>
              <w:spacing w:after="0"/>
              <w:rPr>
                <w:sz w:val="14"/>
                <w:szCs w:val="14"/>
                <w:color w:val="auto"/>
              </w:rPr>
            </w:pPr>
          </w:p>
        </w:tc>
      </w:tr>
      <w:tr>
        <w:trPr>
          <w:trHeight w:val="163"/>
        </w:trPr>
        <w:tc>
          <w:tcPr>
            <w:tcW w:w="59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(8)..................................................................</w:t>
            </w: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1993</w:t>
            </w:r>
          </w:p>
        </w:tc>
      </w:tr>
      <w:tr>
        <w:trPr>
          <w:trHeight w:val="163"/>
        </w:trPr>
        <w:tc>
          <w:tcPr>
            <w:tcW w:w="5980" w:type="dxa"/>
            <w:vAlign w:val="bottom"/>
            <w:gridSpan w:val="2"/>
          </w:tcPr>
          <w:p>
            <w:pPr>
              <w:spacing w:after="0"/>
              <w:rPr>
                <w:sz w:val="20"/>
                <w:szCs w:val="20"/>
                <w:color w:val="auto"/>
              </w:rPr>
            </w:pPr>
            <w:r>
              <w:rPr>
                <w:rFonts w:ascii="Courier New" w:cs="Courier New" w:eastAsia="Courier New" w:hAnsi="Courier New"/>
                <w:sz w:val="14"/>
                <w:szCs w:val="14"/>
                <w:color w:val="auto"/>
              </w:rPr>
              <w:t>SVEN ULLRING, 64; President and Chief Executive Officer, Det Norske</w:t>
            </w:r>
          </w:p>
        </w:tc>
        <w:tc>
          <w:tcPr>
            <w:tcW w:w="720" w:type="dxa"/>
            <w:vAlign w:val="bottom"/>
          </w:tcPr>
          <w:p>
            <w:pPr>
              <w:spacing w:after="0"/>
              <w:rPr>
                <w:sz w:val="14"/>
                <w:szCs w:val="14"/>
                <w:color w:val="auto"/>
              </w:rPr>
            </w:pPr>
          </w:p>
        </w:tc>
      </w:tr>
      <w:tr>
        <w:trPr>
          <w:trHeight w:val="163"/>
        </w:trPr>
        <w:tc>
          <w:tcPr>
            <w:tcW w:w="2560" w:type="dxa"/>
            <w:vAlign w:val="bottom"/>
          </w:tcPr>
          <w:p>
            <w:pPr>
              <w:ind w:left="100"/>
              <w:spacing w:after="0"/>
              <w:rPr>
                <w:sz w:val="20"/>
                <w:szCs w:val="20"/>
                <w:color w:val="auto"/>
              </w:rPr>
            </w:pPr>
            <w:r>
              <w:rPr>
                <w:rFonts w:ascii="Courier New" w:cs="Courier New" w:eastAsia="Courier New" w:hAnsi="Courier New"/>
                <w:sz w:val="14"/>
                <w:szCs w:val="14"/>
                <w:color w:val="auto"/>
              </w:rPr>
              <w:t>Veritas, provider of safety,</w:t>
            </w:r>
          </w:p>
        </w:tc>
        <w:tc>
          <w:tcPr>
            <w:tcW w:w="3420" w:type="dxa"/>
            <w:vAlign w:val="bottom"/>
          </w:tcPr>
          <w:p>
            <w:pPr>
              <w:spacing w:after="0"/>
              <w:rPr>
                <w:sz w:val="20"/>
                <w:szCs w:val="20"/>
                <w:color w:val="auto"/>
              </w:rPr>
            </w:pPr>
            <w:r>
              <w:rPr>
                <w:rFonts w:ascii="Courier New" w:cs="Courier New" w:eastAsia="Courier New" w:hAnsi="Courier New"/>
                <w:sz w:val="14"/>
                <w:szCs w:val="14"/>
                <w:color w:val="auto"/>
              </w:rPr>
              <w:t>quality and reliability services to</w:t>
            </w:r>
          </w:p>
        </w:tc>
        <w:tc>
          <w:tcPr>
            <w:tcW w:w="720" w:type="dxa"/>
            <w:vAlign w:val="bottom"/>
          </w:tcPr>
          <w:p>
            <w:pPr>
              <w:spacing w:after="0"/>
              <w:rPr>
                <w:sz w:val="14"/>
                <w:szCs w:val="14"/>
                <w:color w:val="auto"/>
              </w:rPr>
            </w:pPr>
          </w:p>
        </w:tc>
      </w:tr>
      <w:tr>
        <w:trPr>
          <w:trHeight w:val="163"/>
        </w:trPr>
        <w:tc>
          <w:tcPr>
            <w:tcW w:w="2560" w:type="dxa"/>
            <w:vAlign w:val="bottom"/>
          </w:tcPr>
          <w:p>
            <w:pPr>
              <w:ind w:left="100"/>
              <w:spacing w:after="0"/>
              <w:rPr>
                <w:sz w:val="20"/>
                <w:szCs w:val="20"/>
                <w:color w:val="auto"/>
              </w:rPr>
            </w:pPr>
            <w:r>
              <w:rPr>
                <w:rFonts w:ascii="Courier New" w:cs="Courier New" w:eastAsia="Courier New" w:hAnsi="Courier New"/>
                <w:sz w:val="14"/>
                <w:szCs w:val="14"/>
                <w:color w:val="auto"/>
              </w:rPr>
              <w:t>maritime, offshore and other</w:t>
            </w:r>
          </w:p>
        </w:tc>
        <w:tc>
          <w:tcPr>
            <w:tcW w:w="3420" w:type="dxa"/>
            <w:vAlign w:val="bottom"/>
          </w:tcPr>
          <w:p>
            <w:pPr>
              <w:spacing w:after="0"/>
              <w:rPr>
                <w:sz w:val="20"/>
                <w:szCs w:val="20"/>
                <w:color w:val="auto"/>
              </w:rPr>
            </w:pPr>
            <w:r>
              <w:rPr>
                <w:rFonts w:ascii="Courier New" w:cs="Courier New" w:eastAsia="Courier New" w:hAnsi="Courier New"/>
                <w:sz w:val="14"/>
                <w:szCs w:val="14"/>
                <w:color w:val="auto"/>
              </w:rPr>
              <w:t>industries, Hovik, Norway...............</w:t>
            </w: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1990</w:t>
            </w:r>
          </w:p>
        </w:tc>
      </w:tr>
      <w:tr>
        <w:trPr>
          <w:trHeight w:val="163"/>
        </w:trPr>
        <w:tc>
          <w:tcPr>
            <w:tcW w:w="5980" w:type="dxa"/>
            <w:vAlign w:val="bottom"/>
            <w:gridSpan w:val="2"/>
          </w:tcPr>
          <w:p>
            <w:pPr>
              <w:spacing w:after="0"/>
              <w:rPr>
                <w:sz w:val="20"/>
                <w:szCs w:val="20"/>
                <w:color w:val="auto"/>
              </w:rPr>
            </w:pPr>
            <w:r>
              <w:rPr>
                <w:rFonts w:ascii="Courier New" w:cs="Courier New" w:eastAsia="Courier New" w:hAnsi="Courier New"/>
                <w:sz w:val="14"/>
                <w:szCs w:val="14"/>
                <w:color w:val="auto"/>
              </w:rPr>
              <w:t>YOSHIHIKO WAKUMOTO, 68; Adviser to Toshiba Corporation, a technology</w:t>
            </w:r>
          </w:p>
        </w:tc>
        <w:tc>
          <w:tcPr>
            <w:tcW w:w="720" w:type="dxa"/>
            <w:vAlign w:val="bottom"/>
          </w:tcPr>
          <w:p>
            <w:pPr>
              <w:spacing w:after="0"/>
              <w:rPr>
                <w:sz w:val="14"/>
                <w:szCs w:val="14"/>
                <w:color w:val="auto"/>
              </w:rPr>
            </w:pPr>
          </w:p>
        </w:tc>
      </w:tr>
      <w:tr>
        <w:trPr>
          <w:trHeight w:val="163"/>
        </w:trPr>
        <w:tc>
          <w:tcPr>
            <w:tcW w:w="59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company centered on electronics and energy, since July 1996; member</w:t>
            </w:r>
          </w:p>
        </w:tc>
        <w:tc>
          <w:tcPr>
            <w:tcW w:w="720" w:type="dxa"/>
            <w:vAlign w:val="bottom"/>
          </w:tcPr>
          <w:p>
            <w:pPr>
              <w:spacing w:after="0"/>
              <w:rPr>
                <w:sz w:val="14"/>
                <w:szCs w:val="14"/>
                <w:color w:val="auto"/>
              </w:rPr>
            </w:pPr>
          </w:p>
        </w:tc>
      </w:tr>
      <w:tr>
        <w:trPr>
          <w:trHeight w:val="163"/>
        </w:trPr>
        <w:tc>
          <w:tcPr>
            <w:tcW w:w="59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of Board of Toshiba from July 1988 to June 1996; Executive Vice</w:t>
            </w:r>
          </w:p>
        </w:tc>
        <w:tc>
          <w:tcPr>
            <w:tcW w:w="720" w:type="dxa"/>
            <w:vAlign w:val="bottom"/>
          </w:tcPr>
          <w:p>
            <w:pPr>
              <w:spacing w:after="0"/>
              <w:rPr>
                <w:sz w:val="14"/>
                <w:szCs w:val="14"/>
                <w:color w:val="auto"/>
              </w:rPr>
            </w:pPr>
          </w:p>
        </w:tc>
      </w:tr>
      <w:tr>
        <w:trPr>
          <w:trHeight w:val="163"/>
        </w:trPr>
        <w:tc>
          <w:tcPr>
            <w:tcW w:w="59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President of Toshiba, July 1992 through June 1996, with</w:t>
            </w:r>
          </w:p>
        </w:tc>
        <w:tc>
          <w:tcPr>
            <w:tcW w:w="720" w:type="dxa"/>
            <w:vAlign w:val="bottom"/>
          </w:tcPr>
          <w:p>
            <w:pPr>
              <w:spacing w:after="0"/>
              <w:rPr>
                <w:sz w:val="14"/>
                <w:szCs w:val="14"/>
                <w:color w:val="auto"/>
              </w:rPr>
            </w:pPr>
          </w:p>
        </w:tc>
      </w:tr>
      <w:tr>
        <w:trPr>
          <w:trHeight w:val="163"/>
        </w:trPr>
        <w:tc>
          <w:tcPr>
            <w:tcW w:w="2560" w:type="dxa"/>
            <w:vAlign w:val="bottom"/>
          </w:tcPr>
          <w:p>
            <w:pPr>
              <w:ind w:left="100"/>
              <w:spacing w:after="0"/>
              <w:rPr>
                <w:sz w:val="20"/>
                <w:szCs w:val="20"/>
                <w:color w:val="auto"/>
              </w:rPr>
            </w:pPr>
            <w:r>
              <w:rPr>
                <w:rFonts w:ascii="Courier New" w:cs="Courier New" w:eastAsia="Courier New" w:hAnsi="Courier New"/>
                <w:sz w:val="14"/>
                <w:szCs w:val="14"/>
                <w:color w:val="auto"/>
              </w:rPr>
              <w:t>responsibility for corporate</w:t>
            </w:r>
          </w:p>
        </w:tc>
        <w:tc>
          <w:tcPr>
            <w:tcW w:w="3420" w:type="dxa"/>
            <w:vAlign w:val="bottom"/>
          </w:tcPr>
          <w:p>
            <w:pPr>
              <w:spacing w:after="0"/>
              <w:rPr>
                <w:sz w:val="20"/>
                <w:szCs w:val="20"/>
                <w:color w:val="auto"/>
              </w:rPr>
            </w:pPr>
            <w:r>
              <w:rPr>
                <w:rFonts w:ascii="Courier New" w:cs="Courier New" w:eastAsia="Courier New" w:hAnsi="Courier New"/>
                <w:sz w:val="14"/>
                <w:szCs w:val="14"/>
                <w:color w:val="auto"/>
              </w:rPr>
              <w:t>planning, group companies and</w:t>
            </w:r>
          </w:p>
        </w:tc>
        <w:tc>
          <w:tcPr>
            <w:tcW w:w="720" w:type="dxa"/>
            <w:vAlign w:val="bottom"/>
          </w:tcPr>
          <w:p>
            <w:pPr>
              <w:spacing w:after="0"/>
              <w:rPr>
                <w:sz w:val="14"/>
                <w:szCs w:val="14"/>
                <w:color w:val="auto"/>
              </w:rPr>
            </w:pPr>
          </w:p>
        </w:tc>
      </w:tr>
      <w:tr>
        <w:trPr>
          <w:trHeight w:val="163"/>
        </w:trPr>
        <w:tc>
          <w:tcPr>
            <w:tcW w:w="2560" w:type="dxa"/>
            <w:vAlign w:val="bottom"/>
          </w:tcPr>
          <w:p>
            <w:pPr>
              <w:ind w:left="100"/>
              <w:spacing w:after="0"/>
              <w:rPr>
                <w:sz w:val="20"/>
                <w:szCs w:val="20"/>
                <w:color w:val="auto"/>
              </w:rPr>
            </w:pPr>
            <w:r>
              <w:rPr>
                <w:rFonts w:ascii="Courier New" w:cs="Courier New" w:eastAsia="Courier New" w:hAnsi="Courier New"/>
                <w:sz w:val="14"/>
                <w:szCs w:val="14"/>
                <w:color w:val="auto"/>
              </w:rPr>
              <w:t>information systems (1992 to</w:t>
            </w:r>
          </w:p>
        </w:tc>
        <w:tc>
          <w:tcPr>
            <w:tcW w:w="3420" w:type="dxa"/>
            <w:vAlign w:val="bottom"/>
          </w:tcPr>
          <w:p>
            <w:pPr>
              <w:spacing w:after="0"/>
              <w:rPr>
                <w:sz w:val="20"/>
                <w:szCs w:val="20"/>
                <w:color w:val="auto"/>
              </w:rPr>
            </w:pPr>
            <w:r>
              <w:rPr>
                <w:rFonts w:ascii="Courier New" w:cs="Courier New" w:eastAsia="Courier New" w:hAnsi="Courier New"/>
                <w:sz w:val="14"/>
                <w:szCs w:val="14"/>
                <w:color w:val="auto"/>
              </w:rPr>
              <w:t>1995), and international affairs (1996),</w:t>
            </w:r>
          </w:p>
        </w:tc>
        <w:tc>
          <w:tcPr>
            <w:tcW w:w="720" w:type="dxa"/>
            <w:vAlign w:val="bottom"/>
          </w:tcPr>
          <w:p>
            <w:pPr>
              <w:spacing w:after="0"/>
              <w:rPr>
                <w:sz w:val="14"/>
                <w:szCs w:val="14"/>
                <w:color w:val="auto"/>
              </w:rPr>
            </w:pPr>
          </w:p>
        </w:tc>
      </w:tr>
      <w:tr>
        <w:trPr>
          <w:trHeight w:val="163"/>
        </w:trPr>
        <w:tc>
          <w:tcPr>
            <w:tcW w:w="59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all in Tokyo. (9)....................................................</w:t>
            </w: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jc w:val="both"/>
        <w:ind w:left="340" w:right="3619" w:hanging="333"/>
        <w:spacing w:after="0" w:line="246" w:lineRule="auto"/>
        <w:tabs>
          <w:tab w:leader="none" w:pos="3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Ackerman is Chairman of the Board and a member of the Audit Committee of Genicom Corporation, which is in the business of computer peripherals, electronic components, and computer related services.</w:t>
      </w:r>
    </w:p>
    <w:p>
      <w:pPr>
        <w:spacing w:after="0" w:line="1" w:lineRule="exact"/>
        <w:rPr>
          <w:rFonts w:ascii="Courier New" w:cs="Courier New" w:eastAsia="Courier New" w:hAnsi="Courier New"/>
          <w:sz w:val="14"/>
          <w:szCs w:val="14"/>
          <w:color w:val="auto"/>
        </w:rPr>
      </w:pPr>
    </w:p>
    <w:p>
      <w:pPr>
        <w:ind w:left="340" w:right="3959" w:hanging="333"/>
        <w:spacing w:after="0" w:line="246" w:lineRule="auto"/>
        <w:tabs>
          <w:tab w:leader="none" w:pos="3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Baird is a director of Paribas, Paris, France. He is a trustee of Haven Capital Management Trust.</w:t>
      </w:r>
    </w:p>
    <w:p>
      <w:pPr>
        <w:spacing w:after="0" w:line="1" w:lineRule="exact"/>
        <w:rPr>
          <w:rFonts w:ascii="Courier New" w:cs="Courier New" w:eastAsia="Courier New" w:hAnsi="Courier New"/>
          <w:sz w:val="14"/>
          <w:szCs w:val="14"/>
          <w:color w:val="auto"/>
        </w:rPr>
      </w:pPr>
    </w:p>
    <w:p>
      <w:pPr>
        <w:ind w:left="340" w:right="3799" w:hanging="333"/>
        <w:spacing w:after="0" w:line="246" w:lineRule="auto"/>
        <w:tabs>
          <w:tab w:leader="none" w:pos="3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Deutch is a director of Citigroup, a banking and insurance organization; CMS Energy Corp., a diversified energy company; Cummins Engine Company, Inc., a manufacturer of diesel engines and components; ARIAD Pharmaceuticals which is engaged in the discovery of novel pharmaceuticals; and Raytheon Corporation, an electronics manufacturer. Mr. Deutch's adult son, Paul Deutch, is employed by a unit of Schlumberger. The employment of Mr. Deutch's son was not influenced by John Deutch's position as a director of the company.</w:t>
      </w:r>
    </w:p>
    <w:p>
      <w:pPr>
        <w:spacing w:after="0" w:line="4" w:lineRule="exact"/>
        <w:rPr>
          <w:rFonts w:ascii="Courier New" w:cs="Courier New" w:eastAsia="Courier New" w:hAnsi="Courier New"/>
          <w:sz w:val="14"/>
          <w:szCs w:val="14"/>
          <w:color w:val="auto"/>
        </w:rPr>
      </w:pPr>
    </w:p>
    <w:p>
      <w:pPr>
        <w:ind w:left="340" w:right="3879" w:hanging="333"/>
        <w:spacing w:after="0" w:line="246" w:lineRule="auto"/>
        <w:tabs>
          <w:tab w:leader="none" w:pos="3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Grijalva is Chairman of the Board of Directors of Transocean Sedco Forex Inc., an offshore drilling company.</w:t>
      </w:r>
    </w:p>
    <w:p>
      <w:pPr>
        <w:spacing w:after="0" w:line="1" w:lineRule="exact"/>
        <w:rPr>
          <w:rFonts w:ascii="Courier New" w:cs="Courier New" w:eastAsia="Courier New" w:hAnsi="Courier New"/>
          <w:sz w:val="14"/>
          <w:szCs w:val="14"/>
          <w:color w:val="auto"/>
        </w:rPr>
      </w:pPr>
    </w:p>
    <w:p>
      <w:pPr>
        <w:ind w:left="340" w:right="3539" w:hanging="333"/>
        <w:spacing w:after="0" w:line="246" w:lineRule="auto"/>
        <w:tabs>
          <w:tab w:leader="none" w:pos="3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Levy-Lang is a director and member of the Compensation Committee of AGF, a French insurance company. On January 4, 1996, Mr. Levy-Lang was notified by a French judge that he was placed under official investigation ("mise en examen") as part of an ongoing inquiry regarding irregularities uncovered in the 1991 financial statements of Ciments Francais, S. A., which was at that time a subsidiary of Compagnie Financiere de Paribas.</w:t>
      </w:r>
    </w:p>
    <w:p>
      <w:pPr>
        <w:spacing w:after="0" w:line="3" w:lineRule="exact"/>
        <w:rPr>
          <w:rFonts w:ascii="Courier New" w:cs="Courier New" w:eastAsia="Courier New" w:hAnsi="Courier New"/>
          <w:sz w:val="14"/>
          <w:szCs w:val="14"/>
          <w:color w:val="auto"/>
        </w:rPr>
      </w:pPr>
    </w:p>
    <w:p>
      <w:pPr>
        <w:ind w:left="340" w:right="3539" w:hanging="333"/>
        <w:spacing w:after="0" w:line="246" w:lineRule="auto"/>
        <w:tabs>
          <w:tab w:leader="none" w:pos="3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McCormick is a director of Bank One, Inc., a regional bank holding company, and Rockwell International Inc., a diversified producer of, among others, electronic, industrial automation and avionics products.</w:t>
      </w:r>
    </w:p>
    <w:p>
      <w:pPr>
        <w:spacing w:after="0" w:line="1" w:lineRule="exact"/>
        <w:rPr>
          <w:rFonts w:ascii="Courier New" w:cs="Courier New" w:eastAsia="Courier New" w:hAnsi="Courier New"/>
          <w:sz w:val="14"/>
          <w:szCs w:val="14"/>
          <w:color w:val="auto"/>
        </w:rPr>
      </w:pPr>
    </w:p>
    <w:p>
      <w:pPr>
        <w:ind w:left="340" w:hanging="333"/>
        <w:spacing w:after="0"/>
        <w:tabs>
          <w:tab w:leader="none" w:pos="3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Primat and Mr. Seydoux are cousins.</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935" w:right="1440" w:bottom="1440" w:gutter="0" w:footer="0" w:header="0"/>
        </w:sectPr>
      </w:pPr>
    </w:p>
    <w:bookmarkStart w:id="6" w:name="page7"/>
    <w:bookmarkEnd w:id="6"/>
    <w:p>
      <w:pPr>
        <w:ind w:left="340" w:right="3699" w:hanging="333"/>
        <w:spacing w:after="0" w:line="246" w:lineRule="auto"/>
        <w:tabs>
          <w:tab w:leader="none" w:pos="3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Mrs. Stuntz is a director of American Electric Power Company, Inc., an electric and power holding company. She is Chairman of its Finance Committee and is a member of its Executive, Directors, Nuclear Oversight and Public Policy Committees.</w:t>
      </w:r>
    </w:p>
    <w:p>
      <w:pPr>
        <w:spacing w:after="0" w:line="2" w:lineRule="exact"/>
        <w:rPr>
          <w:rFonts w:ascii="Courier New" w:cs="Courier New" w:eastAsia="Courier New" w:hAnsi="Courier New"/>
          <w:sz w:val="14"/>
          <w:szCs w:val="14"/>
          <w:color w:val="auto"/>
        </w:rPr>
      </w:pPr>
    </w:p>
    <w:p>
      <w:pPr>
        <w:ind w:left="340" w:right="3699" w:hanging="333"/>
        <w:spacing w:after="0" w:line="247" w:lineRule="auto"/>
        <w:tabs>
          <w:tab w:leader="none" w:pos="3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Wakumoto is Vice President (part-time executive member of the Board) of The Japan Foundation, a nonprofit institution funded by the Japanese Government and incorporated under a special enactment.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Security Ownership of Certain Beneficial Owners and Management</w:t>
      </w:r>
    </w:p>
    <w:p>
      <w:pPr>
        <w:spacing w:after="0" w:line="168" w:lineRule="exact"/>
        <w:rPr>
          <w:sz w:val="20"/>
          <w:szCs w:val="20"/>
          <w:color w:val="auto"/>
        </w:rPr>
      </w:pPr>
    </w:p>
    <w:p>
      <w:pPr>
        <w:ind w:right="3539" w:firstLine="170"/>
        <w:spacing w:after="0" w:line="246" w:lineRule="auto"/>
        <w:rPr>
          <w:sz w:val="20"/>
          <w:szCs w:val="20"/>
          <w:color w:val="auto"/>
        </w:rPr>
      </w:pPr>
      <w:r>
        <w:rPr>
          <w:rFonts w:ascii="Courier New" w:cs="Courier New" w:eastAsia="Courier New" w:hAnsi="Courier New"/>
          <w:sz w:val="14"/>
          <w:szCs w:val="14"/>
          <w:color w:val="auto"/>
        </w:rPr>
        <w:t>The following table lists the shares of Schlumberger common stock beneficially owned as of January 31, 2000 by all directors and nominees, by each of the named executive officers, and by the directors and officers as a group. Except as footnoted, each individual has sole voting and investment power over the shares listed by that individual's name. As of January 31, 2000, no nominee for director owned more than 1% of the outstanding shares of the Company's common stock, except Mr. Primat who owned 4.3%. All 24 directors and executive officers as a group owned 5.3% of the outstanding shares of the Company at January 31, 2000.</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5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2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Shares</w:t>
            </w:r>
          </w:p>
        </w:tc>
      </w:tr>
      <w:tr>
        <w:trPr>
          <w:trHeight w:val="163"/>
        </w:trPr>
        <w:tc>
          <w:tcPr>
            <w:tcW w:w="55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r>
      <w:tr>
        <w:trPr>
          <w:trHeight w:val="326"/>
        </w:trPr>
        <w:tc>
          <w:tcPr>
            <w:tcW w:w="5560" w:type="dxa"/>
            <w:vAlign w:val="bottom"/>
          </w:tcPr>
          <w:p>
            <w:pPr>
              <w:spacing w:after="0"/>
              <w:rPr>
                <w:sz w:val="20"/>
                <w:szCs w:val="20"/>
                <w:color w:val="auto"/>
              </w:rPr>
            </w:pPr>
            <w:r>
              <w:rPr>
                <w:rFonts w:ascii="Courier New" w:cs="Courier New" w:eastAsia="Courier New" w:hAnsi="Courier New"/>
                <w:sz w:val="14"/>
                <w:szCs w:val="14"/>
                <w:color w:val="auto"/>
              </w:rPr>
              <w:t>Don E. Ackerman..................................................</w:t>
            </w: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2,000</w:t>
            </w:r>
          </w:p>
        </w:tc>
      </w:tr>
      <w:tr>
        <w:trPr>
          <w:trHeight w:val="163"/>
        </w:trPr>
        <w:tc>
          <w:tcPr>
            <w:tcW w:w="5560" w:type="dxa"/>
            <w:vAlign w:val="bottom"/>
          </w:tcPr>
          <w:p>
            <w:pPr>
              <w:spacing w:after="0"/>
              <w:rPr>
                <w:sz w:val="20"/>
                <w:szCs w:val="20"/>
                <w:color w:val="auto"/>
              </w:rPr>
            </w:pPr>
            <w:r>
              <w:rPr>
                <w:rFonts w:ascii="Courier New" w:cs="Courier New" w:eastAsia="Courier New" w:hAnsi="Courier New"/>
                <w:sz w:val="14"/>
                <w:szCs w:val="14"/>
                <w:color w:val="auto"/>
              </w:rPr>
              <w:t>D. Euan Baird....................................................</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2,117,664(1)</w:t>
            </w:r>
          </w:p>
        </w:tc>
      </w:tr>
      <w:tr>
        <w:trPr>
          <w:trHeight w:val="163"/>
        </w:trPr>
        <w:tc>
          <w:tcPr>
            <w:tcW w:w="5560" w:type="dxa"/>
            <w:vAlign w:val="bottom"/>
          </w:tcPr>
          <w:p>
            <w:pPr>
              <w:spacing w:after="0"/>
              <w:rPr>
                <w:sz w:val="20"/>
                <w:szCs w:val="20"/>
                <w:color w:val="auto"/>
              </w:rPr>
            </w:pPr>
            <w:r>
              <w:rPr>
                <w:rFonts w:ascii="Courier New" w:cs="Courier New" w:eastAsia="Courier New" w:hAnsi="Courier New"/>
                <w:sz w:val="14"/>
                <w:szCs w:val="14"/>
                <w:color w:val="auto"/>
              </w:rPr>
              <w:t>John Deutch......................................................</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3,600(2)</w:t>
            </w:r>
          </w:p>
        </w:tc>
      </w:tr>
      <w:tr>
        <w:trPr>
          <w:trHeight w:val="163"/>
        </w:trPr>
        <w:tc>
          <w:tcPr>
            <w:tcW w:w="5560" w:type="dxa"/>
            <w:vAlign w:val="bottom"/>
          </w:tcPr>
          <w:p>
            <w:pPr>
              <w:spacing w:after="0"/>
              <w:rPr>
                <w:sz w:val="20"/>
                <w:szCs w:val="20"/>
                <w:color w:val="auto"/>
              </w:rPr>
            </w:pPr>
            <w:r>
              <w:rPr>
                <w:rFonts w:ascii="Courier New" w:cs="Courier New" w:eastAsia="Courier New" w:hAnsi="Courier New"/>
                <w:sz w:val="14"/>
                <w:szCs w:val="14"/>
                <w:color w:val="auto"/>
              </w:rPr>
              <w:t>Andrew Gould.....................................................</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244,790(3)</w:t>
            </w:r>
          </w:p>
        </w:tc>
      </w:tr>
      <w:tr>
        <w:trPr>
          <w:trHeight w:val="163"/>
        </w:trPr>
        <w:tc>
          <w:tcPr>
            <w:tcW w:w="5560" w:type="dxa"/>
            <w:vAlign w:val="bottom"/>
          </w:tcPr>
          <w:p>
            <w:pPr>
              <w:spacing w:after="0"/>
              <w:rPr>
                <w:sz w:val="20"/>
                <w:szCs w:val="20"/>
                <w:color w:val="auto"/>
              </w:rPr>
            </w:pPr>
            <w:r>
              <w:rPr>
                <w:rFonts w:ascii="Courier New" w:cs="Courier New" w:eastAsia="Courier New" w:hAnsi="Courier New"/>
                <w:sz w:val="14"/>
                <w:szCs w:val="14"/>
                <w:color w:val="auto"/>
              </w:rPr>
              <w:t>Victor E. Grijalva...............................................</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789,781(4)</w:t>
            </w:r>
          </w:p>
        </w:tc>
      </w:tr>
      <w:tr>
        <w:trPr>
          <w:trHeight w:val="163"/>
        </w:trPr>
        <w:tc>
          <w:tcPr>
            <w:tcW w:w="5560" w:type="dxa"/>
            <w:vAlign w:val="bottom"/>
          </w:tcPr>
          <w:p>
            <w:pPr>
              <w:spacing w:after="0"/>
              <w:rPr>
                <w:sz w:val="20"/>
                <w:szCs w:val="20"/>
                <w:color w:val="auto"/>
              </w:rPr>
            </w:pPr>
            <w:r>
              <w:rPr>
                <w:rFonts w:ascii="Courier New" w:cs="Courier New" w:eastAsia="Courier New" w:hAnsi="Courier New"/>
                <w:sz w:val="14"/>
                <w:szCs w:val="14"/>
                <w:color w:val="auto"/>
              </w:rPr>
              <w:t>Denys Henderson..................................................</w:t>
            </w: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5,000</w:t>
            </w:r>
          </w:p>
        </w:tc>
      </w:tr>
      <w:tr>
        <w:trPr>
          <w:trHeight w:val="163"/>
        </w:trPr>
        <w:tc>
          <w:tcPr>
            <w:tcW w:w="5560" w:type="dxa"/>
            <w:vAlign w:val="bottom"/>
          </w:tcPr>
          <w:p>
            <w:pPr>
              <w:spacing w:after="0"/>
              <w:rPr>
                <w:sz w:val="20"/>
                <w:szCs w:val="20"/>
                <w:color w:val="auto"/>
              </w:rPr>
            </w:pPr>
            <w:r>
              <w:rPr>
                <w:rFonts w:ascii="Courier New" w:cs="Courier New" w:eastAsia="Courier New" w:hAnsi="Courier New"/>
                <w:sz w:val="14"/>
                <w:szCs w:val="14"/>
                <w:color w:val="auto"/>
              </w:rPr>
              <w:t>Andre Levy-Lang..................................................</w:t>
            </w: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4,000</w:t>
            </w:r>
          </w:p>
        </w:tc>
      </w:tr>
      <w:tr>
        <w:trPr>
          <w:trHeight w:val="163"/>
        </w:trPr>
        <w:tc>
          <w:tcPr>
            <w:tcW w:w="5560" w:type="dxa"/>
            <w:vAlign w:val="bottom"/>
          </w:tcPr>
          <w:p>
            <w:pPr>
              <w:spacing w:after="0"/>
              <w:rPr>
                <w:sz w:val="20"/>
                <w:szCs w:val="20"/>
                <w:color w:val="auto"/>
              </w:rPr>
            </w:pPr>
            <w:r>
              <w:rPr>
                <w:rFonts w:ascii="Courier New" w:cs="Courier New" w:eastAsia="Courier New" w:hAnsi="Courier New"/>
                <w:sz w:val="14"/>
                <w:szCs w:val="14"/>
                <w:color w:val="auto"/>
              </w:rPr>
              <w:t>Jack Liu.........................................................</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134,832(5)</w:t>
            </w:r>
          </w:p>
        </w:tc>
      </w:tr>
      <w:tr>
        <w:trPr>
          <w:trHeight w:val="163"/>
        </w:trPr>
        <w:tc>
          <w:tcPr>
            <w:tcW w:w="5560" w:type="dxa"/>
            <w:vAlign w:val="bottom"/>
          </w:tcPr>
          <w:p>
            <w:pPr>
              <w:spacing w:after="0"/>
              <w:rPr>
                <w:sz w:val="20"/>
                <w:szCs w:val="20"/>
                <w:color w:val="auto"/>
              </w:rPr>
            </w:pPr>
            <w:r>
              <w:rPr>
                <w:rFonts w:ascii="Courier New" w:cs="Courier New" w:eastAsia="Courier New" w:hAnsi="Courier New"/>
                <w:sz w:val="14"/>
                <w:szCs w:val="14"/>
                <w:color w:val="auto"/>
              </w:rPr>
              <w:t>William T. McCormick, Jr. .......................................</w:t>
            </w: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10,000</w:t>
            </w:r>
          </w:p>
        </w:tc>
      </w:tr>
      <w:tr>
        <w:trPr>
          <w:trHeight w:val="163"/>
        </w:trPr>
        <w:tc>
          <w:tcPr>
            <w:tcW w:w="5560" w:type="dxa"/>
            <w:vAlign w:val="bottom"/>
          </w:tcPr>
          <w:p>
            <w:pPr>
              <w:spacing w:after="0"/>
              <w:rPr>
                <w:sz w:val="20"/>
                <w:szCs w:val="20"/>
                <w:color w:val="auto"/>
              </w:rPr>
            </w:pPr>
            <w:r>
              <w:rPr>
                <w:rFonts w:ascii="Courier New" w:cs="Courier New" w:eastAsia="Courier New" w:hAnsi="Courier New"/>
                <w:sz w:val="14"/>
                <w:szCs w:val="14"/>
                <w:color w:val="auto"/>
              </w:rPr>
              <w:t>Irwin Pfister....................................................</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243,881(6)</w:t>
            </w:r>
          </w:p>
        </w:tc>
      </w:tr>
      <w:tr>
        <w:trPr>
          <w:trHeight w:val="163"/>
        </w:trPr>
        <w:tc>
          <w:tcPr>
            <w:tcW w:w="5560" w:type="dxa"/>
            <w:vAlign w:val="bottom"/>
          </w:tcPr>
          <w:p>
            <w:pPr>
              <w:spacing w:after="0"/>
              <w:rPr>
                <w:sz w:val="20"/>
                <w:szCs w:val="20"/>
                <w:color w:val="auto"/>
              </w:rPr>
            </w:pPr>
            <w:r>
              <w:rPr>
                <w:rFonts w:ascii="Courier New" w:cs="Courier New" w:eastAsia="Courier New" w:hAnsi="Courier New"/>
                <w:sz w:val="14"/>
                <w:szCs w:val="14"/>
                <w:color w:val="auto"/>
              </w:rPr>
              <w:t>Didier Primat....................................................</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24,556,236(7)</w:t>
            </w:r>
          </w:p>
        </w:tc>
      </w:tr>
      <w:tr>
        <w:trPr>
          <w:trHeight w:val="163"/>
        </w:trPr>
        <w:tc>
          <w:tcPr>
            <w:tcW w:w="5560" w:type="dxa"/>
            <w:vAlign w:val="bottom"/>
          </w:tcPr>
          <w:p>
            <w:pPr>
              <w:spacing w:after="0"/>
              <w:rPr>
                <w:sz w:val="20"/>
                <w:szCs w:val="20"/>
                <w:color w:val="auto"/>
              </w:rPr>
            </w:pPr>
            <w:r>
              <w:rPr>
                <w:rFonts w:ascii="Courier New" w:cs="Courier New" w:eastAsia="Courier New" w:hAnsi="Courier New"/>
                <w:sz w:val="14"/>
                <w:szCs w:val="14"/>
                <w:color w:val="auto"/>
              </w:rPr>
              <w:t>Nicolas Seydoux..................................................</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251,524(8)</w:t>
            </w:r>
          </w:p>
        </w:tc>
      </w:tr>
      <w:tr>
        <w:trPr>
          <w:trHeight w:val="163"/>
        </w:trPr>
        <w:tc>
          <w:tcPr>
            <w:tcW w:w="5560" w:type="dxa"/>
            <w:vAlign w:val="bottom"/>
          </w:tcPr>
          <w:p>
            <w:pPr>
              <w:spacing w:after="0"/>
              <w:rPr>
                <w:sz w:val="20"/>
                <w:szCs w:val="20"/>
                <w:color w:val="auto"/>
              </w:rPr>
            </w:pPr>
            <w:r>
              <w:rPr>
                <w:rFonts w:ascii="Courier New" w:cs="Courier New" w:eastAsia="Courier New" w:hAnsi="Courier New"/>
                <w:sz w:val="14"/>
                <w:szCs w:val="14"/>
                <w:color w:val="auto"/>
              </w:rPr>
              <w:t>Linda Gillespie Stuntz...........................................</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5,000(9)</w:t>
            </w:r>
          </w:p>
        </w:tc>
      </w:tr>
      <w:tr>
        <w:trPr>
          <w:trHeight w:val="163"/>
        </w:trPr>
        <w:tc>
          <w:tcPr>
            <w:tcW w:w="5560" w:type="dxa"/>
            <w:vAlign w:val="bottom"/>
          </w:tcPr>
          <w:p>
            <w:pPr>
              <w:spacing w:after="0"/>
              <w:rPr>
                <w:sz w:val="20"/>
                <w:szCs w:val="20"/>
                <w:color w:val="auto"/>
              </w:rPr>
            </w:pPr>
            <w:r>
              <w:rPr>
                <w:rFonts w:ascii="Courier New" w:cs="Courier New" w:eastAsia="Courier New" w:hAnsi="Courier New"/>
                <w:sz w:val="14"/>
                <w:szCs w:val="14"/>
                <w:color w:val="auto"/>
              </w:rPr>
              <w:t>Sven Ullring.....................................................</w:t>
            </w: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3,305</w:t>
            </w:r>
          </w:p>
        </w:tc>
      </w:tr>
      <w:tr>
        <w:trPr>
          <w:trHeight w:val="163"/>
        </w:trPr>
        <w:tc>
          <w:tcPr>
            <w:tcW w:w="5560" w:type="dxa"/>
            <w:vAlign w:val="bottom"/>
          </w:tcPr>
          <w:p>
            <w:pPr>
              <w:spacing w:after="0"/>
              <w:rPr>
                <w:sz w:val="20"/>
                <w:szCs w:val="20"/>
                <w:color w:val="auto"/>
              </w:rPr>
            </w:pPr>
            <w:r>
              <w:rPr>
                <w:rFonts w:ascii="Courier New" w:cs="Courier New" w:eastAsia="Courier New" w:hAnsi="Courier New"/>
                <w:sz w:val="14"/>
                <w:szCs w:val="14"/>
                <w:color w:val="auto"/>
              </w:rPr>
              <w:t>Yoshihiko Wakumoto...............................................</w:t>
            </w: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2,000</w:t>
            </w:r>
          </w:p>
        </w:tc>
      </w:tr>
      <w:tr>
        <w:trPr>
          <w:trHeight w:val="163"/>
        </w:trPr>
        <w:tc>
          <w:tcPr>
            <w:tcW w:w="556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 as a group (24 persons).....</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29,709,962(10)</w:t>
            </w:r>
          </w:p>
        </w:tc>
      </w:tr>
    </w:tbl>
    <w:p>
      <w:pPr>
        <w:spacing w:after="0" w:line="166" w:lineRule="exact"/>
        <w:rPr>
          <w:sz w:val="20"/>
          <w:szCs w:val="20"/>
          <w:color w:val="auto"/>
        </w:rPr>
      </w:pPr>
    </w:p>
    <w:p>
      <w:pPr>
        <w:ind w:left="180" w:hanging="173"/>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40" w:right="3699" w:hanging="348"/>
        <w:spacing w:after="0" w:line="246" w:lineRule="auto"/>
        <w:tabs>
          <w:tab w:leader="none" w:pos="44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699,955 shares held in a revocable grantor trust and 1,417,709 shares which may be acquired by Mr. Baird within 60 days through the exercise of stock options.</w:t>
      </w:r>
    </w:p>
    <w:p>
      <w:pPr>
        <w:spacing w:after="0" w:line="1" w:lineRule="exact"/>
        <w:rPr>
          <w:rFonts w:ascii="Courier New" w:cs="Courier New" w:eastAsia="Courier New" w:hAnsi="Courier New"/>
          <w:sz w:val="14"/>
          <w:szCs w:val="14"/>
          <w:color w:val="auto"/>
        </w:rPr>
      </w:pPr>
    </w:p>
    <w:p>
      <w:pPr>
        <w:ind w:left="440" w:right="3619" w:hanging="348"/>
        <w:spacing w:after="0" w:line="246" w:lineRule="auto"/>
        <w:tabs>
          <w:tab w:leader="none" w:pos="44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600 shares owned by Mr. Deutch's wife, as to which he disclaims beneficial ownership.</w:t>
      </w:r>
    </w:p>
    <w:p>
      <w:pPr>
        <w:spacing w:after="0" w:line="1" w:lineRule="exact"/>
        <w:rPr>
          <w:rFonts w:ascii="Courier New" w:cs="Courier New" w:eastAsia="Courier New" w:hAnsi="Courier New"/>
          <w:sz w:val="14"/>
          <w:szCs w:val="14"/>
          <w:color w:val="auto"/>
        </w:rPr>
      </w:pPr>
    </w:p>
    <w:p>
      <w:pPr>
        <w:ind w:left="440" w:right="3539" w:hanging="348"/>
        <w:spacing w:after="0" w:line="248" w:lineRule="auto"/>
        <w:tabs>
          <w:tab w:leader="none" w:pos="44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230,790 shares which may be acquired by Mr. Gould within 60 days through the exercise of stock options.</w:t>
      </w:r>
    </w:p>
    <w:p>
      <w:pPr>
        <w:spacing w:after="0" w:line="16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609" w:right="1440" w:bottom="1440" w:gutter="0" w:footer="0" w:header="0"/>
        </w:sectPr>
      </w:pPr>
    </w:p>
    <w:bookmarkStart w:id="7" w:name="page8"/>
    <w:bookmarkEnd w:id="7"/>
    <w:p>
      <w:pPr>
        <w:ind w:left="440" w:right="3619" w:hanging="348"/>
        <w:spacing w:after="0" w:line="246"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600 shares owned by Mr. Grijalva's daughter, as to which he disclaims beneficial ownership, and 670,389 shares which may be acquired by Mr. Grijalva within 60 days through the exercise of stock options.</w:t>
      </w:r>
    </w:p>
    <w:p>
      <w:pPr>
        <w:spacing w:after="0" w:line="1" w:lineRule="exact"/>
        <w:rPr>
          <w:rFonts w:ascii="Courier New" w:cs="Courier New" w:eastAsia="Courier New" w:hAnsi="Courier New"/>
          <w:sz w:val="14"/>
          <w:szCs w:val="14"/>
          <w:color w:val="auto"/>
        </w:rPr>
      </w:pPr>
    </w:p>
    <w:p>
      <w:pPr>
        <w:ind w:left="440" w:right="3699" w:hanging="348"/>
        <w:spacing w:after="0" w:line="246"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128,583 shares which may be acquired by Mr. Liu within 60 days through the exercise of stock options.</w:t>
      </w:r>
    </w:p>
    <w:p>
      <w:pPr>
        <w:spacing w:after="0" w:line="1" w:lineRule="exact"/>
        <w:rPr>
          <w:rFonts w:ascii="Courier New" w:cs="Courier New" w:eastAsia="Courier New" w:hAnsi="Courier New"/>
          <w:sz w:val="14"/>
          <w:szCs w:val="14"/>
          <w:color w:val="auto"/>
        </w:rPr>
      </w:pPr>
    </w:p>
    <w:p>
      <w:pPr>
        <w:ind w:left="440" w:right="3799" w:hanging="348"/>
        <w:spacing w:after="0" w:line="246"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242,878 shares which may be acquired by Mr. Pfister within 60 days through the exercise of stock options.</w:t>
      </w:r>
    </w:p>
    <w:p>
      <w:pPr>
        <w:spacing w:after="0" w:line="1" w:lineRule="exact"/>
        <w:rPr>
          <w:rFonts w:ascii="Courier New" w:cs="Courier New" w:eastAsia="Courier New" w:hAnsi="Courier New"/>
          <w:sz w:val="14"/>
          <w:szCs w:val="14"/>
          <w:color w:val="auto"/>
        </w:rPr>
      </w:pPr>
    </w:p>
    <w:p>
      <w:pPr>
        <w:ind w:left="440" w:right="3619" w:hanging="348"/>
        <w:spacing w:after="0" w:line="246"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560,000 shares as to which Mr. Primat shares investment power, 13,996,136 shares held by Mr. Primat as Executor of the Estate of Francoise Primat as to which he has sole voting and investment power and 5,000,000 shares held for account of the minor children of Mr. Primat as to which he has joint voting and investment power.</w:t>
      </w:r>
    </w:p>
    <w:p>
      <w:pPr>
        <w:spacing w:after="0" w:line="2" w:lineRule="exact"/>
        <w:rPr>
          <w:rFonts w:ascii="Courier New" w:cs="Courier New" w:eastAsia="Courier New" w:hAnsi="Courier New"/>
          <w:sz w:val="14"/>
          <w:szCs w:val="14"/>
          <w:color w:val="auto"/>
        </w:rPr>
      </w:pPr>
    </w:p>
    <w:p>
      <w:pPr>
        <w:ind w:left="440" w:right="3619" w:hanging="348"/>
        <w:spacing w:after="0" w:line="246"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15,364 shares owned by Mr. Seydoux's wife as to which he shares voting and investment power.</w:t>
      </w:r>
    </w:p>
    <w:p>
      <w:pPr>
        <w:spacing w:after="0" w:line="1" w:lineRule="exact"/>
        <w:rPr>
          <w:rFonts w:ascii="Courier New" w:cs="Courier New" w:eastAsia="Courier New" w:hAnsi="Courier New"/>
          <w:sz w:val="14"/>
          <w:szCs w:val="14"/>
          <w:color w:val="auto"/>
        </w:rPr>
      </w:pPr>
    </w:p>
    <w:p>
      <w:pPr>
        <w:ind w:left="440" w:hanging="348"/>
        <w:spacing w:after="0"/>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3,000 shares as to which Mrs. Stuntz shares voting power.</w:t>
      </w:r>
    </w:p>
    <w:p>
      <w:pPr>
        <w:spacing w:after="0" w:line="4" w:lineRule="exact"/>
        <w:rPr>
          <w:rFonts w:ascii="Courier New" w:cs="Courier New" w:eastAsia="Courier New" w:hAnsi="Courier New"/>
          <w:sz w:val="14"/>
          <w:szCs w:val="14"/>
          <w:color w:val="auto"/>
        </w:rPr>
      </w:pPr>
    </w:p>
    <w:p>
      <w:pPr>
        <w:ind w:left="440" w:right="3539" w:hanging="433"/>
        <w:spacing w:after="0" w:line="247"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3,772,534 shares which may be acquired by executive officers as a group because they have the right to acquire such shares within 60 days through the exercise of stock options.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and Committees</w:t>
      </w:r>
    </w:p>
    <w:p>
      <w:pPr>
        <w:spacing w:after="0" w:line="168" w:lineRule="exact"/>
        <w:rPr>
          <w:sz w:val="20"/>
          <w:szCs w:val="20"/>
          <w:color w:val="auto"/>
        </w:rPr>
      </w:pPr>
    </w:p>
    <w:p>
      <w:pPr>
        <w:ind w:right="4139" w:firstLine="170"/>
        <w:spacing w:after="0" w:line="248" w:lineRule="auto"/>
        <w:rPr>
          <w:sz w:val="20"/>
          <w:szCs w:val="20"/>
          <w:color w:val="auto"/>
        </w:rPr>
      </w:pPr>
      <w:r>
        <w:rPr>
          <w:rFonts w:ascii="Courier New" w:cs="Courier New" w:eastAsia="Courier New" w:hAnsi="Courier New"/>
          <w:sz w:val="14"/>
          <w:szCs w:val="14"/>
          <w:color w:val="auto"/>
        </w:rPr>
        <w:t>Schlumberger has an Audit, a Compensation, a Finance and a Nominating Committee.</w:t>
      </w:r>
    </w:p>
    <w:p>
      <w:pPr>
        <w:spacing w:after="0" w:line="161" w:lineRule="exact"/>
        <w:rPr>
          <w:sz w:val="20"/>
          <w:szCs w:val="20"/>
          <w:color w:val="auto"/>
        </w:rPr>
      </w:pPr>
    </w:p>
    <w:p>
      <w:pPr>
        <w:ind w:right="3619" w:firstLine="170"/>
        <w:spacing w:after="0" w:line="246" w:lineRule="auto"/>
        <w:rPr>
          <w:sz w:val="20"/>
          <w:szCs w:val="20"/>
          <w:color w:val="auto"/>
        </w:rPr>
      </w:pPr>
      <w:r>
        <w:rPr>
          <w:rFonts w:ascii="Courier New" w:cs="Courier New" w:eastAsia="Courier New" w:hAnsi="Courier New"/>
          <w:sz w:val="14"/>
          <w:szCs w:val="14"/>
          <w:color w:val="auto"/>
        </w:rPr>
        <w:t>The Audit Committee assesses and monitors the corporate control environment and recommends for appointment by the Board of Directors, subject to approval by the stockholders, a firm of independent certified public accountants whose duty is to examine the Schlumberger consolidated financial statements. The Audit Committee confers with the independent accountants and periodically reports to and advises the Board concerning the scope of the independent accountants' examinations and similar matters relating to Schlumberger accounting practices and internal accounting controls. The Audit Committee also advises the Board concerning the fees of the independent accountants.</w:t>
      </w:r>
    </w:p>
    <w:p>
      <w:pPr>
        <w:spacing w:after="0" w:line="5"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4"/>
          <w:szCs w:val="14"/>
          <w:color w:val="auto"/>
        </w:rPr>
        <w:t>Mr. Ullring is Chairman of the Audit Committee, and Messrs. Ackerman and Levy-Lang and Mrs. Stuntz are the other members.</w:t>
      </w:r>
    </w:p>
    <w:p>
      <w:pPr>
        <w:spacing w:after="0" w:line="161" w:lineRule="exact"/>
        <w:rPr>
          <w:sz w:val="20"/>
          <w:szCs w:val="20"/>
          <w:color w:val="auto"/>
        </w:rPr>
      </w:pPr>
    </w:p>
    <w:p>
      <w:pPr>
        <w:ind w:right="3539" w:firstLine="170"/>
        <w:spacing w:after="0" w:line="247" w:lineRule="auto"/>
        <w:rPr>
          <w:sz w:val="20"/>
          <w:szCs w:val="20"/>
          <w:color w:val="auto"/>
        </w:rPr>
      </w:pPr>
      <w:r>
        <w:rPr>
          <w:rFonts w:ascii="Courier New" w:cs="Courier New" w:eastAsia="Courier New" w:hAnsi="Courier New"/>
          <w:sz w:val="14"/>
          <w:szCs w:val="14"/>
          <w:color w:val="auto"/>
        </w:rPr>
        <w:t>The Compensation Committee reviews and approves the compensation of the officers of the Company, advises on compensation and benefits matters and administers the Company's stock option plans. Mr. Ackerman is Chairman of the Compensation Committee. Messrs. Henderson, McCormick and Seydoux are the other members.</w:t>
      </w:r>
    </w:p>
    <w:p>
      <w:pPr>
        <w:spacing w:after="0" w:line="162" w:lineRule="exact"/>
        <w:rPr>
          <w:sz w:val="20"/>
          <w:szCs w:val="20"/>
          <w:color w:val="auto"/>
        </w:rPr>
      </w:pPr>
    </w:p>
    <w:p>
      <w:pPr>
        <w:ind w:right="3539" w:firstLine="170"/>
        <w:spacing w:after="0" w:line="247" w:lineRule="auto"/>
        <w:rPr>
          <w:sz w:val="20"/>
          <w:szCs w:val="20"/>
          <w:color w:val="auto"/>
        </w:rPr>
      </w:pPr>
      <w:r>
        <w:rPr>
          <w:rFonts w:ascii="Courier New" w:cs="Courier New" w:eastAsia="Courier New" w:hAnsi="Courier New"/>
          <w:sz w:val="14"/>
          <w:szCs w:val="14"/>
          <w:color w:val="auto"/>
        </w:rPr>
        <w:t>The Finance Committee advises on various matters, including dividend and financial policies, the borrowing of money, the purchase and sale of securities and the investment and reinvestment of surplus funds. The Finance Committee periodically reviews the administration of the Schlumberger employee benefit plans and those of its subsidiaries. Messrs. Baird, Deutch, Grijalva, Levy-Lang, Primat and Wakumoto are the members of the Finance Committee.</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609" w:right="1440" w:bottom="1440" w:gutter="0" w:footer="0" w:header="0"/>
        </w:sectPr>
      </w:pPr>
    </w:p>
    <w:bookmarkStart w:id="8" w:name="page9"/>
    <w:bookmarkEnd w:id="8"/>
    <w:p>
      <w:pPr>
        <w:ind w:right="3619" w:firstLine="170"/>
        <w:spacing w:after="0" w:line="246" w:lineRule="auto"/>
        <w:rPr>
          <w:sz w:val="20"/>
          <w:szCs w:val="20"/>
          <w:color w:val="auto"/>
        </w:rPr>
      </w:pPr>
      <w:r>
        <w:rPr>
          <w:rFonts w:ascii="Courier New" w:cs="Courier New" w:eastAsia="Courier New" w:hAnsi="Courier New"/>
          <w:sz w:val="14"/>
          <w:szCs w:val="14"/>
          <w:color w:val="auto"/>
        </w:rPr>
        <w:t>The Nominating Committee recommends to the Board the number and names of persons to be proposed by the Board for election as directors at the annual general meetings of stockholders. It may also recommend to the Board persons to be appointed by the Board or to be elected by the stockholders to fill any vacancies which occur on the Board. Mr. McCormick is Chairman of the Nominating Committee, and Messrs. Baird, Seydoux and Ullring are the other members. The Nominating Committee will consider nominees recommended by stockholders who may submit nominations to Chairman, Nominating Committee, care of the Secretary, Schlumberger Limited, 277 Park Avenue, New York, New York 10172-0266.</w:t>
      </w:r>
    </w:p>
    <w:p>
      <w:pPr>
        <w:spacing w:after="0" w:line="168" w:lineRule="exact"/>
        <w:rPr>
          <w:sz w:val="20"/>
          <w:szCs w:val="20"/>
          <w:color w:val="auto"/>
        </w:rPr>
      </w:pPr>
    </w:p>
    <w:p>
      <w:pPr>
        <w:ind w:right="3539" w:firstLine="170"/>
        <w:spacing w:after="0" w:line="247" w:lineRule="auto"/>
        <w:rPr>
          <w:sz w:val="20"/>
          <w:szCs w:val="20"/>
          <w:color w:val="auto"/>
        </w:rPr>
      </w:pPr>
      <w:r>
        <w:rPr>
          <w:rFonts w:ascii="Courier New" w:cs="Courier New" w:eastAsia="Courier New" w:hAnsi="Courier New"/>
          <w:sz w:val="14"/>
          <w:szCs w:val="14"/>
          <w:color w:val="auto"/>
        </w:rPr>
        <w:t>During 1999 the Board of Directors held five meetings. The Audit Committee met twice; the Compensation Committee met four times; the Finance Committee met twice, and the Nominating Committee met three times. All present directors attended at least 75% of the aggregate of the meetings of the Board and of the committees of the Board on which such directors served, except for Denys Henderson who attended two-thirds of all such meetings.</w:t>
      </w:r>
    </w:p>
    <w:p>
      <w:pPr>
        <w:spacing w:after="0" w:line="162" w:lineRule="exact"/>
        <w:rPr>
          <w:sz w:val="20"/>
          <w:szCs w:val="20"/>
          <w:color w:val="auto"/>
        </w:rPr>
      </w:pPr>
    </w:p>
    <w:p>
      <w:pPr>
        <w:ind w:right="3539" w:firstLine="170"/>
        <w:spacing w:after="0" w:line="247" w:lineRule="auto"/>
        <w:rPr>
          <w:sz w:val="20"/>
          <w:szCs w:val="20"/>
          <w:color w:val="auto"/>
        </w:rPr>
      </w:pPr>
      <w:r>
        <w:rPr>
          <w:rFonts w:ascii="Courier New" w:cs="Courier New" w:eastAsia="Courier New" w:hAnsi="Courier New"/>
          <w:sz w:val="14"/>
          <w:szCs w:val="14"/>
          <w:color w:val="auto"/>
        </w:rPr>
        <w:t>Directors who are employees of Schlumberger do not receive compensation for serving on the Board or on committees of the Board. Board members who are not employees receive annual fees of $40,000 each and additional annual fees of $10,000 as members of each of the committees on which they serve, except that the Chairmen of the Audit, Compensation and Nominating Committees each receive an annual fee of $20,000, rather than the $10,000 annual fee for committee service.</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609"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EXECUTIVE COMPENSATION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Cash and Certain Other Compensation</w:t>
      </w:r>
    </w:p>
    <w:p>
      <w:pPr>
        <w:spacing w:after="0" w:line="168" w:lineRule="exact"/>
        <w:rPr>
          <w:sz w:val="20"/>
          <w:szCs w:val="20"/>
          <w:color w:val="auto"/>
        </w:rPr>
      </w:pPr>
    </w:p>
    <w:p>
      <w:pPr>
        <w:ind w:right="3619" w:firstLine="170"/>
        <w:spacing w:after="0" w:line="247" w:lineRule="auto"/>
        <w:rPr>
          <w:sz w:val="20"/>
          <w:szCs w:val="20"/>
          <w:color w:val="auto"/>
        </w:rPr>
      </w:pPr>
      <w:r>
        <w:rPr>
          <w:rFonts w:ascii="Courier New" w:cs="Courier New" w:eastAsia="Courier New" w:hAnsi="Courier New"/>
          <w:sz w:val="14"/>
          <w:szCs w:val="14"/>
          <w:color w:val="auto"/>
        </w:rPr>
        <w:t>The following table shows the compensation paid by the Company and its subsidiaries to the Chief Executive Officer and to the next four most highly compensated executive officers for the fiscal years ending December 31, 1999, 1998, and 1997.</w:t>
      </w:r>
    </w:p>
    <w:p>
      <w:pPr>
        <w:spacing w:after="0" w:line="162"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SUMMARY COMPENSATION TABLE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7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Long Term</w:t>
            </w:r>
          </w:p>
        </w:tc>
        <w:tc>
          <w:tcPr>
            <w:tcW w:w="1700" w:type="dxa"/>
            <w:vAlign w:val="bottom"/>
          </w:tcPr>
          <w:p>
            <w:pPr>
              <w:spacing w:after="0"/>
              <w:rPr>
                <w:sz w:val="13"/>
                <w:szCs w:val="13"/>
                <w:color w:val="auto"/>
              </w:rPr>
            </w:pPr>
          </w:p>
        </w:tc>
      </w:tr>
      <w:tr>
        <w:trPr>
          <w:trHeight w:val="163"/>
        </w:trPr>
        <w:tc>
          <w:tcPr>
            <w:tcW w:w="2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40" w:type="dxa"/>
            <w:vAlign w:val="bottom"/>
          </w:tcPr>
          <w:p>
            <w:pPr>
              <w:jc w:val="center"/>
              <w:ind w:right="49"/>
              <w:spacing w:after="0"/>
              <w:rPr>
                <w:sz w:val="20"/>
                <w:szCs w:val="20"/>
                <w:color w:val="auto"/>
              </w:rPr>
            </w:pPr>
            <w:r>
              <w:rPr>
                <w:rFonts w:ascii="Courier New" w:cs="Courier New" w:eastAsia="Courier New" w:hAnsi="Courier New"/>
                <w:sz w:val="14"/>
                <w:szCs w:val="14"/>
                <w:color w:val="auto"/>
              </w:rPr>
              <w:t>Compensation</w:t>
            </w:r>
          </w:p>
        </w:tc>
        <w:tc>
          <w:tcPr>
            <w:tcW w:w="1700" w:type="dxa"/>
            <w:vAlign w:val="bottom"/>
          </w:tcPr>
          <w:p>
            <w:pPr>
              <w:spacing w:after="0"/>
              <w:rPr>
                <w:sz w:val="14"/>
                <w:szCs w:val="14"/>
                <w:color w:val="auto"/>
              </w:rPr>
            </w:pPr>
          </w:p>
        </w:tc>
      </w:tr>
      <w:tr>
        <w:trPr>
          <w:trHeight w:val="163"/>
        </w:trPr>
        <w:tc>
          <w:tcPr>
            <w:tcW w:w="2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spacing w:after="0"/>
              <w:rPr>
                <w:sz w:val="14"/>
                <w:szCs w:val="14"/>
                <w:color w:val="auto"/>
              </w:rPr>
            </w:pPr>
          </w:p>
        </w:tc>
      </w:tr>
      <w:tr>
        <w:trPr>
          <w:trHeight w:val="163"/>
        </w:trPr>
        <w:tc>
          <w:tcPr>
            <w:tcW w:w="2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40" w:type="dxa"/>
            <w:vAlign w:val="bottom"/>
          </w:tcPr>
          <w:p>
            <w:pPr>
              <w:jc w:val="center"/>
              <w:ind w:right="49"/>
              <w:spacing w:after="0"/>
              <w:rPr>
                <w:sz w:val="20"/>
                <w:szCs w:val="20"/>
                <w:color w:val="auto"/>
              </w:rPr>
            </w:pPr>
            <w:r>
              <w:rPr>
                <w:rFonts w:ascii="Courier New" w:cs="Courier New" w:eastAsia="Courier New" w:hAnsi="Courier New"/>
                <w:sz w:val="14"/>
                <w:szCs w:val="14"/>
                <w:color w:val="auto"/>
                <w:w w:val="99"/>
              </w:rPr>
              <w:t>Awards</w:t>
            </w:r>
          </w:p>
        </w:tc>
        <w:tc>
          <w:tcPr>
            <w:tcW w:w="1700" w:type="dxa"/>
            <w:vAlign w:val="bottom"/>
          </w:tcPr>
          <w:p>
            <w:pPr>
              <w:spacing w:after="0"/>
              <w:rPr>
                <w:sz w:val="14"/>
                <w:szCs w:val="14"/>
                <w:color w:val="auto"/>
              </w:rPr>
            </w:pPr>
          </w:p>
        </w:tc>
      </w:tr>
      <w:tr>
        <w:trPr>
          <w:trHeight w:val="163"/>
        </w:trPr>
        <w:tc>
          <w:tcPr>
            <w:tcW w:w="2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spacing w:after="0"/>
              <w:rPr>
                <w:sz w:val="14"/>
                <w:szCs w:val="14"/>
                <w:color w:val="auto"/>
              </w:rPr>
            </w:pPr>
          </w:p>
        </w:tc>
      </w:tr>
      <w:tr>
        <w:trPr>
          <w:trHeight w:val="163"/>
        </w:trPr>
        <w:tc>
          <w:tcPr>
            <w:tcW w:w="2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Courier New" w:cs="Courier New" w:eastAsia="Courier New" w:hAnsi="Courier New"/>
                <w:sz w:val="14"/>
                <w:szCs w:val="14"/>
                <w:color w:val="auto"/>
              </w:rPr>
              <w:t>Annual Compensation</w:t>
            </w:r>
          </w:p>
        </w:tc>
        <w:tc>
          <w:tcPr>
            <w:tcW w:w="17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3"/>
        </w:trPr>
        <w:tc>
          <w:tcPr>
            <w:tcW w:w="2080" w:type="dxa"/>
            <w:vAlign w:val="bottom"/>
          </w:tcPr>
          <w:p>
            <w:pPr>
              <w:spacing w:after="0"/>
              <w:rPr>
                <w:sz w:val="14"/>
                <w:szCs w:val="14"/>
                <w:color w:val="auto"/>
              </w:rPr>
            </w:pPr>
          </w:p>
        </w:tc>
        <w:tc>
          <w:tcPr>
            <w:tcW w:w="166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1"/>
              </w:rPr>
              <w:t>-------------------------------</w:t>
            </w:r>
          </w:p>
        </w:tc>
        <w:tc>
          <w:tcPr>
            <w:tcW w:w="1220" w:type="dxa"/>
            <w:vAlign w:val="bottom"/>
          </w:tcPr>
          <w:p>
            <w:pPr>
              <w:spacing w:after="0"/>
              <w:rPr>
                <w:sz w:val="14"/>
                <w:szCs w:val="14"/>
                <w:color w:val="auto"/>
              </w:rPr>
            </w:pPr>
          </w:p>
        </w:tc>
        <w:tc>
          <w:tcPr>
            <w:tcW w:w="1740" w:type="dxa"/>
            <w:vAlign w:val="bottom"/>
          </w:tcPr>
          <w:p>
            <w:pPr>
              <w:jc w:val="center"/>
              <w:ind w:right="49"/>
              <w:spacing w:after="0"/>
              <w:rPr>
                <w:sz w:val="20"/>
                <w:szCs w:val="20"/>
                <w:color w:val="auto"/>
              </w:rPr>
            </w:pPr>
            <w:r>
              <w:rPr>
                <w:rFonts w:ascii="Courier New" w:cs="Courier New" w:eastAsia="Courier New" w:hAnsi="Courier New"/>
                <w:sz w:val="14"/>
                <w:szCs w:val="14"/>
                <w:color w:val="auto"/>
              </w:rPr>
              <w:t>Securities</w:t>
            </w:r>
          </w:p>
        </w:tc>
        <w:tc>
          <w:tcPr>
            <w:tcW w:w="1700" w:type="dxa"/>
            <w:vAlign w:val="bottom"/>
          </w:tcPr>
          <w:p>
            <w:pPr>
              <w:spacing w:after="0"/>
              <w:rPr>
                <w:sz w:val="14"/>
                <w:szCs w:val="14"/>
                <w:color w:val="auto"/>
              </w:rPr>
            </w:pPr>
          </w:p>
        </w:tc>
      </w:tr>
      <w:tr>
        <w:trPr>
          <w:trHeight w:val="163"/>
        </w:trPr>
        <w:tc>
          <w:tcPr>
            <w:tcW w:w="2080" w:type="dxa"/>
            <w:vAlign w:val="bottom"/>
          </w:tcPr>
          <w:p>
            <w:pPr>
              <w:jc w:val="center"/>
              <w:spacing w:after="0"/>
              <w:rPr>
                <w:sz w:val="20"/>
                <w:szCs w:val="20"/>
                <w:color w:val="auto"/>
              </w:rPr>
            </w:pPr>
            <w:r>
              <w:rPr>
                <w:rFonts w:ascii="Courier New" w:cs="Courier New" w:eastAsia="Courier New" w:hAnsi="Courier New"/>
                <w:sz w:val="14"/>
                <w:szCs w:val="14"/>
                <w:color w:val="auto"/>
              </w:rPr>
              <w:t>Name and</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40" w:type="dxa"/>
            <w:vAlign w:val="bottom"/>
          </w:tcPr>
          <w:p>
            <w:pPr>
              <w:jc w:val="center"/>
              <w:ind w:right="49"/>
              <w:spacing w:after="0"/>
              <w:rPr>
                <w:sz w:val="20"/>
                <w:szCs w:val="20"/>
                <w:color w:val="auto"/>
              </w:rPr>
            </w:pPr>
            <w:r>
              <w:rPr>
                <w:rFonts w:ascii="Courier New" w:cs="Courier New" w:eastAsia="Courier New" w:hAnsi="Courier New"/>
                <w:sz w:val="14"/>
                <w:szCs w:val="14"/>
                <w:color w:val="auto"/>
              </w:rPr>
              <w:t>Underlying</w:t>
            </w:r>
          </w:p>
        </w:tc>
        <w:tc>
          <w:tcPr>
            <w:tcW w:w="17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All Other</w:t>
            </w:r>
          </w:p>
        </w:tc>
      </w:tr>
      <w:tr>
        <w:trPr>
          <w:trHeight w:val="163"/>
        </w:trPr>
        <w:tc>
          <w:tcPr>
            <w:tcW w:w="2080" w:type="dxa"/>
            <w:vAlign w:val="bottom"/>
          </w:tcPr>
          <w:p>
            <w:pPr>
              <w:jc w:val="center"/>
              <w:spacing w:after="0"/>
              <w:rPr>
                <w:sz w:val="20"/>
                <w:szCs w:val="20"/>
                <w:color w:val="auto"/>
              </w:rPr>
            </w:pPr>
            <w:r>
              <w:rPr>
                <w:rFonts w:ascii="Courier New" w:cs="Courier New" w:eastAsia="Courier New" w:hAnsi="Courier New"/>
                <w:sz w:val="14"/>
                <w:szCs w:val="14"/>
                <w:color w:val="auto"/>
              </w:rPr>
              <w:t>Principal Position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Salary ($)(1)</w:t>
            </w: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Bonus ($)(1)</w:t>
            </w:r>
          </w:p>
        </w:tc>
        <w:tc>
          <w:tcPr>
            <w:tcW w:w="3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Options (#) (4) (5) Compensation ($) (6)</w:t>
            </w:r>
          </w:p>
        </w:tc>
      </w:tr>
      <w:tr>
        <w:trPr>
          <w:trHeight w:val="163"/>
        </w:trPr>
        <w:tc>
          <w:tcPr>
            <w:tcW w:w="20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3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326"/>
        </w:trPr>
        <w:tc>
          <w:tcPr>
            <w:tcW w:w="2080" w:type="dxa"/>
            <w:vAlign w:val="bottom"/>
          </w:tcPr>
          <w:p>
            <w:pPr>
              <w:jc w:val="center"/>
              <w:spacing w:after="0"/>
              <w:rPr>
                <w:sz w:val="20"/>
                <w:szCs w:val="20"/>
                <w:color w:val="auto"/>
              </w:rPr>
            </w:pPr>
            <w:r>
              <w:rPr>
                <w:rFonts w:ascii="Courier New" w:cs="Courier New" w:eastAsia="Courier New" w:hAnsi="Courier New"/>
                <w:sz w:val="14"/>
                <w:szCs w:val="14"/>
                <w:color w:val="auto"/>
              </w:rPr>
              <w:t>D. E. Baird ............</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1,500,000</w:t>
            </w:r>
          </w:p>
        </w:tc>
        <w:tc>
          <w:tcPr>
            <w:tcW w:w="12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1,000,000</w:t>
            </w:r>
          </w:p>
        </w:tc>
        <w:tc>
          <w:tcPr>
            <w:tcW w:w="174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0</w:t>
            </w:r>
          </w:p>
        </w:tc>
        <w:tc>
          <w:tcPr>
            <w:tcW w:w="17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105,000</w:t>
            </w:r>
          </w:p>
        </w:tc>
      </w:tr>
      <w:tr>
        <w:trPr>
          <w:trHeight w:val="163"/>
        </w:trPr>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Chairman and</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1,500,000</w:t>
            </w:r>
          </w:p>
        </w:tc>
        <w:tc>
          <w:tcPr>
            <w:tcW w:w="12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600,000</w:t>
            </w:r>
          </w:p>
        </w:tc>
        <w:tc>
          <w:tcPr>
            <w:tcW w:w="174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0</w:t>
            </w:r>
          </w:p>
        </w:tc>
        <w:tc>
          <w:tcPr>
            <w:tcW w:w="17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270,000</w:t>
            </w:r>
          </w:p>
        </w:tc>
      </w:tr>
      <w:tr>
        <w:trPr>
          <w:trHeight w:val="163"/>
        </w:trPr>
        <w:tc>
          <w:tcPr>
            <w:tcW w:w="25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Chief Executive Officer 1997</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1,500,000</w:t>
            </w:r>
          </w:p>
        </w:tc>
        <w:tc>
          <w:tcPr>
            <w:tcW w:w="12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1,500,000</w:t>
            </w:r>
          </w:p>
        </w:tc>
        <w:tc>
          <w:tcPr>
            <w:tcW w:w="174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549,500</w:t>
            </w:r>
          </w:p>
        </w:tc>
        <w:tc>
          <w:tcPr>
            <w:tcW w:w="17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323,000</w:t>
            </w:r>
          </w:p>
        </w:tc>
      </w:tr>
      <w:tr>
        <w:trPr>
          <w:trHeight w:val="163"/>
        </w:trPr>
        <w:tc>
          <w:tcPr>
            <w:tcW w:w="2080" w:type="dxa"/>
            <w:vAlign w:val="bottom"/>
          </w:tcPr>
          <w:p>
            <w:pPr>
              <w:jc w:val="center"/>
              <w:spacing w:after="0"/>
              <w:rPr>
                <w:sz w:val="20"/>
                <w:szCs w:val="20"/>
                <w:color w:val="auto"/>
              </w:rPr>
            </w:pPr>
            <w:r>
              <w:rPr>
                <w:rFonts w:ascii="Courier New" w:cs="Courier New" w:eastAsia="Courier New" w:hAnsi="Courier New"/>
                <w:sz w:val="14"/>
                <w:szCs w:val="14"/>
                <w:color w:val="auto"/>
              </w:rPr>
              <w:t>V.E. Grijalva...........</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800,000</w:t>
            </w:r>
          </w:p>
        </w:tc>
        <w:tc>
          <w:tcPr>
            <w:tcW w:w="12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420,000</w:t>
            </w:r>
          </w:p>
        </w:tc>
        <w:tc>
          <w:tcPr>
            <w:tcW w:w="174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0</w:t>
            </w:r>
          </w:p>
        </w:tc>
        <w:tc>
          <w:tcPr>
            <w:tcW w:w="17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52,000</w:t>
            </w:r>
          </w:p>
        </w:tc>
      </w:tr>
      <w:tr>
        <w:trPr>
          <w:trHeight w:val="163"/>
        </w:trPr>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Vice Chairman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800,000</w:t>
            </w:r>
          </w:p>
        </w:tc>
        <w:tc>
          <w:tcPr>
            <w:tcW w:w="12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240,000</w:t>
            </w:r>
          </w:p>
        </w:tc>
        <w:tc>
          <w:tcPr>
            <w:tcW w:w="174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0</w:t>
            </w:r>
          </w:p>
        </w:tc>
        <w:tc>
          <w:tcPr>
            <w:tcW w:w="17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112,500</w:t>
            </w:r>
          </w:p>
        </w:tc>
      </w:tr>
      <w:tr>
        <w:trPr>
          <w:trHeight w:val="163"/>
        </w:trPr>
        <w:tc>
          <w:tcPr>
            <w:tcW w:w="208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600,000</w:t>
            </w:r>
          </w:p>
        </w:tc>
        <w:tc>
          <w:tcPr>
            <w:tcW w:w="12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450,000</w:t>
            </w:r>
          </w:p>
        </w:tc>
        <w:tc>
          <w:tcPr>
            <w:tcW w:w="174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219,800</w:t>
            </w:r>
          </w:p>
        </w:tc>
        <w:tc>
          <w:tcPr>
            <w:tcW w:w="17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129,000</w:t>
            </w:r>
          </w:p>
        </w:tc>
      </w:tr>
      <w:tr>
        <w:trPr>
          <w:trHeight w:val="163"/>
        </w:trPr>
        <w:tc>
          <w:tcPr>
            <w:tcW w:w="2080" w:type="dxa"/>
            <w:vAlign w:val="bottom"/>
          </w:tcPr>
          <w:p>
            <w:pPr>
              <w:jc w:val="center"/>
              <w:spacing w:after="0"/>
              <w:rPr>
                <w:sz w:val="20"/>
                <w:szCs w:val="20"/>
                <w:color w:val="auto"/>
              </w:rPr>
            </w:pPr>
            <w:r>
              <w:rPr>
                <w:rFonts w:ascii="Courier New" w:cs="Courier New" w:eastAsia="Courier New" w:hAnsi="Courier New"/>
                <w:sz w:val="14"/>
                <w:szCs w:val="14"/>
                <w:color w:val="auto"/>
              </w:rPr>
              <w:t>A. Gould................</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589,102(2)</w:t>
            </w:r>
          </w:p>
        </w:tc>
        <w:tc>
          <w:tcPr>
            <w:tcW w:w="12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310,915</w:t>
            </w:r>
          </w:p>
        </w:tc>
        <w:tc>
          <w:tcPr>
            <w:tcW w:w="174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54,950</w:t>
            </w:r>
          </w:p>
        </w:tc>
        <w:tc>
          <w:tcPr>
            <w:tcW w:w="17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36,691</w:t>
            </w:r>
          </w:p>
        </w:tc>
      </w:tr>
      <w:tr>
        <w:trPr>
          <w:trHeight w:val="163"/>
        </w:trPr>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Executive Vice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3"/>
        </w:trPr>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President,</w:t>
            </w:r>
          </w:p>
        </w:tc>
        <w:tc>
          <w:tcPr>
            <w:tcW w:w="480" w:type="dxa"/>
            <w:vAlign w:val="bottom"/>
          </w:tcPr>
          <w:p>
            <w:pPr>
              <w:spacing w:after="0"/>
              <w:rPr>
                <w:sz w:val="14"/>
                <w:szCs w:val="1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499,154</w:t>
            </w:r>
          </w:p>
        </w:tc>
        <w:tc>
          <w:tcPr>
            <w:tcW w:w="12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152,284</w:t>
            </w:r>
          </w:p>
        </w:tc>
        <w:tc>
          <w:tcPr>
            <w:tcW w:w="174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43,960</w:t>
            </w:r>
          </w:p>
        </w:tc>
        <w:tc>
          <w:tcPr>
            <w:tcW w:w="17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63,198</w:t>
            </w:r>
          </w:p>
        </w:tc>
      </w:tr>
      <w:tr>
        <w:trPr>
          <w:trHeight w:val="163"/>
        </w:trPr>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Oilfield Services</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3"/>
        </w:trPr>
        <w:tc>
          <w:tcPr>
            <w:tcW w:w="2080" w:type="dxa"/>
            <w:vAlign w:val="bottom"/>
          </w:tcPr>
          <w:p>
            <w:pPr>
              <w:jc w:val="center"/>
              <w:spacing w:after="0"/>
              <w:rPr>
                <w:sz w:val="20"/>
                <w:szCs w:val="20"/>
                <w:color w:val="auto"/>
              </w:rPr>
            </w:pPr>
            <w:r>
              <w:rPr>
                <w:rFonts w:ascii="Courier New" w:cs="Courier New" w:eastAsia="Courier New" w:hAnsi="Courier New"/>
                <w:sz w:val="14"/>
                <w:szCs w:val="14"/>
                <w:color w:val="auto"/>
              </w:rPr>
              <w:t>I. Pfister..............</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500,000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290,000(3)</w:t>
            </w:r>
          </w:p>
        </w:tc>
        <w:tc>
          <w:tcPr>
            <w:tcW w:w="174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54,949</w:t>
            </w:r>
          </w:p>
        </w:tc>
        <w:tc>
          <w:tcPr>
            <w:tcW w:w="17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39,719</w:t>
            </w:r>
          </w:p>
        </w:tc>
      </w:tr>
      <w:tr>
        <w:trPr>
          <w:trHeight w:val="163"/>
        </w:trPr>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Executive Vice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3"/>
        </w:trPr>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President,</w:t>
            </w:r>
          </w:p>
        </w:tc>
        <w:tc>
          <w:tcPr>
            <w:tcW w:w="480" w:type="dxa"/>
            <w:vAlign w:val="bottom"/>
          </w:tcPr>
          <w:p>
            <w:pPr>
              <w:spacing w:after="0"/>
              <w:rPr>
                <w:sz w:val="14"/>
                <w:szCs w:val="1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500,000</w:t>
            </w:r>
          </w:p>
        </w:tc>
        <w:tc>
          <w:tcPr>
            <w:tcW w:w="12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150,000</w:t>
            </w:r>
          </w:p>
        </w:tc>
        <w:tc>
          <w:tcPr>
            <w:tcW w:w="174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0</w:t>
            </w:r>
          </w:p>
        </w:tc>
        <w:tc>
          <w:tcPr>
            <w:tcW w:w="17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72,000</w:t>
            </w:r>
          </w:p>
        </w:tc>
      </w:tr>
      <w:tr>
        <w:trPr>
          <w:trHeight w:val="163"/>
        </w:trPr>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Test &amp; Transactions</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420,411</w:t>
            </w:r>
          </w:p>
        </w:tc>
        <w:tc>
          <w:tcPr>
            <w:tcW w:w="12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300,000</w:t>
            </w:r>
          </w:p>
        </w:tc>
        <w:tc>
          <w:tcPr>
            <w:tcW w:w="174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137,375</w:t>
            </w:r>
          </w:p>
        </w:tc>
        <w:tc>
          <w:tcPr>
            <w:tcW w:w="17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55,112</w:t>
            </w:r>
          </w:p>
        </w:tc>
      </w:tr>
      <w:tr>
        <w:trPr>
          <w:trHeight w:val="163"/>
        </w:trPr>
        <w:tc>
          <w:tcPr>
            <w:tcW w:w="2080" w:type="dxa"/>
            <w:vAlign w:val="bottom"/>
          </w:tcPr>
          <w:p>
            <w:pPr>
              <w:jc w:val="center"/>
              <w:spacing w:after="0"/>
              <w:rPr>
                <w:sz w:val="20"/>
                <w:szCs w:val="20"/>
                <w:color w:val="auto"/>
              </w:rPr>
            </w:pPr>
            <w:r>
              <w:rPr>
                <w:rFonts w:ascii="Courier New" w:cs="Courier New" w:eastAsia="Courier New" w:hAnsi="Courier New"/>
                <w:sz w:val="14"/>
                <w:szCs w:val="14"/>
                <w:color w:val="auto"/>
              </w:rPr>
              <w:t>J. Liu..................</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400,000</w:t>
            </w:r>
          </w:p>
        </w:tc>
        <w:tc>
          <w:tcPr>
            <w:tcW w:w="12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165,000</w:t>
            </w:r>
          </w:p>
        </w:tc>
        <w:tc>
          <w:tcPr>
            <w:tcW w:w="174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54,949</w:t>
            </w:r>
          </w:p>
        </w:tc>
        <w:tc>
          <w:tcPr>
            <w:tcW w:w="17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22,250</w:t>
            </w:r>
          </w:p>
        </w:tc>
      </w:tr>
      <w:tr>
        <w:trPr>
          <w:trHeight w:val="163"/>
        </w:trPr>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Executive Vice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3"/>
        </w:trPr>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President,</w:t>
            </w:r>
          </w:p>
        </w:tc>
        <w:tc>
          <w:tcPr>
            <w:tcW w:w="480" w:type="dxa"/>
            <w:vAlign w:val="bottom"/>
          </w:tcPr>
          <w:p>
            <w:pPr>
              <w:spacing w:after="0"/>
              <w:rPr>
                <w:sz w:val="14"/>
                <w:szCs w:val="1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265,000</w:t>
            </w:r>
          </w:p>
        </w:tc>
        <w:tc>
          <w:tcPr>
            <w:tcW w:w="12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45,000</w:t>
            </w:r>
          </w:p>
        </w:tc>
        <w:tc>
          <w:tcPr>
            <w:tcW w:w="174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54,949</w:t>
            </w:r>
          </w:p>
        </w:tc>
        <w:tc>
          <w:tcPr>
            <w:tcW w:w="17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24,900</w:t>
            </w:r>
          </w:p>
        </w:tc>
      </w:tr>
      <w:tr>
        <w:trPr>
          <w:trHeight w:val="163"/>
        </w:trPr>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Finance</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0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left="340" w:right="3539" w:hanging="333"/>
        <w:spacing w:after="0" w:line="246" w:lineRule="auto"/>
        <w:tabs>
          <w:tab w:leader="none" w:pos="3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Salary and bonus amounts include cash compensation earned and received and any amounts deferred under the Schlumberger Restoration Savings Plan.</w:t>
      </w:r>
    </w:p>
    <w:p>
      <w:pPr>
        <w:spacing w:after="0" w:line="1" w:lineRule="exact"/>
        <w:rPr>
          <w:rFonts w:ascii="Courier New" w:cs="Courier New" w:eastAsia="Courier New" w:hAnsi="Courier New"/>
          <w:sz w:val="14"/>
          <w:szCs w:val="14"/>
          <w:color w:val="auto"/>
        </w:rPr>
      </w:pPr>
    </w:p>
    <w:p>
      <w:pPr>
        <w:ind w:left="340" w:hanging="333"/>
        <w:spacing w:after="0"/>
        <w:tabs>
          <w:tab w:leader="none" w:pos="3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Gould is paid in French francs.</w:t>
      </w:r>
    </w:p>
    <w:p>
      <w:pPr>
        <w:spacing w:after="0" w:line="4" w:lineRule="exact"/>
        <w:rPr>
          <w:rFonts w:ascii="Courier New" w:cs="Courier New" w:eastAsia="Courier New" w:hAnsi="Courier New"/>
          <w:sz w:val="14"/>
          <w:szCs w:val="14"/>
          <w:color w:val="auto"/>
        </w:rPr>
      </w:pPr>
    </w:p>
    <w:p>
      <w:pPr>
        <w:ind w:left="340" w:right="3799" w:hanging="333"/>
        <w:spacing w:after="0" w:line="246" w:lineRule="auto"/>
        <w:tabs>
          <w:tab w:leader="none" w:pos="3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award of $150,000 in connection with the sale of the Retail Petroleum Systems business.</w:t>
      </w:r>
    </w:p>
    <w:p>
      <w:pPr>
        <w:spacing w:after="0" w:line="1" w:lineRule="exact"/>
        <w:rPr>
          <w:rFonts w:ascii="Courier New" w:cs="Courier New" w:eastAsia="Courier New" w:hAnsi="Courier New"/>
          <w:sz w:val="14"/>
          <w:szCs w:val="14"/>
          <w:color w:val="auto"/>
        </w:rPr>
      </w:pPr>
    </w:p>
    <w:p>
      <w:pPr>
        <w:ind w:left="340" w:right="3959" w:hanging="333"/>
        <w:spacing w:after="0" w:line="246" w:lineRule="auto"/>
        <w:tabs>
          <w:tab w:leader="none" w:pos="3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were increased by a factor of 1.099 to reflect the spin-off of Sedco Forex.</w:t>
      </w:r>
    </w:p>
    <w:p>
      <w:pPr>
        <w:spacing w:after="0" w:line="1" w:lineRule="exact"/>
        <w:rPr>
          <w:rFonts w:ascii="Courier New" w:cs="Courier New" w:eastAsia="Courier New" w:hAnsi="Courier New"/>
          <w:sz w:val="14"/>
          <w:szCs w:val="14"/>
          <w:color w:val="auto"/>
        </w:rPr>
      </w:pPr>
    </w:p>
    <w:p>
      <w:pPr>
        <w:ind w:left="340" w:hanging="333"/>
        <w:spacing w:after="0"/>
        <w:tabs>
          <w:tab w:leader="none" w:pos="3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granted no stock appreciation rights or restricted stock.</w:t>
      </w:r>
    </w:p>
    <w:p>
      <w:pPr>
        <w:spacing w:after="0" w:line="4" w:lineRule="exact"/>
        <w:rPr>
          <w:rFonts w:ascii="Courier New" w:cs="Courier New" w:eastAsia="Courier New" w:hAnsi="Courier New"/>
          <w:sz w:val="14"/>
          <w:szCs w:val="14"/>
          <w:color w:val="auto"/>
        </w:rPr>
      </w:pPr>
    </w:p>
    <w:p>
      <w:pPr>
        <w:ind w:left="340" w:hanging="333"/>
        <w:spacing w:after="0"/>
        <w:tabs>
          <w:tab w:leader="none" w:pos="3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1999 amounts disclosed in this column include:</w:t>
      </w:r>
    </w:p>
    <w:p>
      <w:pPr>
        <w:spacing w:after="0" w:line="4" w:lineRule="exact"/>
        <w:rPr>
          <w:rFonts w:ascii="Courier New" w:cs="Courier New" w:eastAsia="Courier New" w:hAnsi="Courier New"/>
          <w:sz w:val="14"/>
          <w:szCs w:val="14"/>
          <w:color w:val="auto"/>
        </w:rPr>
      </w:pPr>
    </w:p>
    <w:p>
      <w:pPr>
        <w:ind w:left="520" w:hanging="343"/>
        <w:spacing w:after="0"/>
        <w:tabs>
          <w:tab w:leader="none" w:pos="52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contributions to Schlumberger Profit Sharing Plans</w:t>
      </w:r>
    </w:p>
    <w:p>
      <w:pPr>
        <w:spacing w:after="0" w:line="4" w:lineRule="exact"/>
        <w:rPr>
          <w:rFonts w:ascii="Courier New" w:cs="Courier New" w:eastAsia="Courier New" w:hAnsi="Courier New"/>
          <w:sz w:val="14"/>
          <w:szCs w:val="14"/>
          <w:color w:val="auto"/>
        </w:rPr>
      </w:pPr>
    </w:p>
    <w:p>
      <w:pPr>
        <w:ind w:left="520" w:hanging="343"/>
        <w:spacing w:after="0"/>
        <w:tabs>
          <w:tab w:leader="none" w:pos="52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unfunded credits to the Schlumberger Supplementary Benefit Plan</w:t>
      </w:r>
    </w:p>
    <w:p>
      <w:pPr>
        <w:spacing w:after="0" w:line="4" w:lineRule="exact"/>
        <w:rPr>
          <w:rFonts w:ascii="Courier New" w:cs="Courier New" w:eastAsia="Courier New" w:hAnsi="Courier New"/>
          <w:sz w:val="14"/>
          <w:szCs w:val="14"/>
          <w:color w:val="auto"/>
        </w:rPr>
      </w:pPr>
    </w:p>
    <w:p>
      <w:pPr>
        <w:ind w:left="520" w:right="4139" w:hanging="343"/>
        <w:spacing w:after="0" w:line="248" w:lineRule="auto"/>
        <w:tabs>
          <w:tab w:leader="none" w:pos="52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unfunded matching credits to the Schlumberger Restoration Savings Plan</w:t>
      </w:r>
    </w:p>
    <w:p>
      <w:pPr>
        <w:spacing w:after="0" w:line="200" w:lineRule="exact"/>
        <w:rPr>
          <w:sz w:val="20"/>
          <w:szCs w:val="20"/>
          <w:color w:val="auto"/>
        </w:rPr>
      </w:pPr>
    </w:p>
    <w:p>
      <w:pPr>
        <w:spacing w:after="0" w:line="288"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(a)($) (b)($) (c)($)</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 ------ ------</w:t>
      </w:r>
    </w:p>
    <w:p>
      <w:pPr>
        <w:spacing w:after="0" w:line="168" w:lineRule="exact"/>
        <w:rPr>
          <w:sz w:val="20"/>
          <w:szCs w:val="20"/>
          <w:color w:val="auto"/>
        </w:rPr>
      </w:pPr>
    </w:p>
    <w:tbl>
      <w:tblPr>
        <w:tblLayout w:type="fixed"/>
        <w:tblInd w:w="260" w:type="dxa"/>
        <w:tblCellMar>
          <w:top w:w="0" w:type="dxa"/>
          <w:left w:w="0" w:type="dxa"/>
          <w:bottom w:w="0" w:type="dxa"/>
          <w:right w:w="0" w:type="dxa"/>
        </w:tblCellMar>
      </w:tblPr>
      <w:tr>
        <w:trPr>
          <w:trHeight w:val="160"/>
        </w:trPr>
        <w:tc>
          <w:tcPr>
            <w:tcW w:w="4800" w:type="dxa"/>
            <w:vAlign w:val="bottom"/>
          </w:tcPr>
          <w:p>
            <w:pPr>
              <w:spacing w:after="0"/>
              <w:rPr>
                <w:sz w:val="20"/>
                <w:szCs w:val="20"/>
                <w:color w:val="auto"/>
              </w:rPr>
            </w:pPr>
            <w:r>
              <w:rPr>
                <w:rFonts w:ascii="Courier New" w:cs="Courier New" w:eastAsia="Courier New" w:hAnsi="Courier New"/>
                <w:sz w:val="14"/>
                <w:szCs w:val="14"/>
                <w:color w:val="auto"/>
              </w:rPr>
              <w:t>Mr. Baird...............................................</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8,000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38,800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58,200</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Mr. Grijalva............................................</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8,000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17,600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26,400</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Mr. Gould...............................................</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36,691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Mr. Pfister.............................................</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8,000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12,688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19,031</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Mr. Liu.................................................</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8,000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5,700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8,550</w:t>
            </w:r>
          </w:p>
        </w:tc>
      </w:tr>
    </w:tbl>
    <w:p>
      <w:pPr>
        <w:spacing w:after="0" w:line="329" w:lineRule="exact"/>
        <w:rPr>
          <w:sz w:val="20"/>
          <w:szCs w:val="20"/>
          <w:color w:val="auto"/>
        </w:rPr>
      </w:pPr>
    </w:p>
    <w:p>
      <w:pPr>
        <w:ind w:left="180" w:right="3539"/>
        <w:spacing w:after="0" w:line="247" w:lineRule="auto"/>
        <w:rPr>
          <w:sz w:val="20"/>
          <w:szCs w:val="20"/>
          <w:color w:val="auto"/>
        </w:rPr>
      </w:pPr>
      <w:r>
        <w:rPr>
          <w:rFonts w:ascii="Courier New" w:cs="Courier New" w:eastAsia="Courier New" w:hAnsi="Courier New"/>
          <w:sz w:val="14"/>
          <w:szCs w:val="14"/>
          <w:color w:val="auto"/>
        </w:rPr>
        <w:t>The Company's matching credits under the Schlumberger Restoration Savings Plan are vested one-third at three years of service, two-thirds at four years, fully at five years or upon reaching the earliest of age 60, death, or change of control. The amounts credited under the Schlumberger Restoration Savings Plan will be paid upon termination or retirement, death, disability, or change in control.</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609"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Stock Option Grants Table</w:t>
      </w:r>
    </w:p>
    <w:p>
      <w:pPr>
        <w:spacing w:after="0" w:line="168"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The following table sets forth certain information concerning options granted during 1999 to the Chief Executive Officer and the next four most highly compensated executive officers. Shown are hypothetical gains that could be realized for the respective options, based on assumed rates of annual compound stock price appreciation of 5% and 10% from the date the options were granted over the ten-year term of the options. Any amount realized upon exercise of the options will depend upon the market price of Schlumberger common stock at the time the option is exercised relative to the exercise price of the option. There is no assurance that the amounts reflected in this table will be realized.</w:t>
      </w:r>
    </w:p>
    <w:p>
      <w:pPr>
        <w:spacing w:after="0" w:line="168"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Option Grants in Last Fiscal Year</w:t>
      </w:r>
    </w:p>
    <w:p>
      <w:pPr>
        <w:sectPr>
          <w:pgSz w:w="11900" w:h="16838" w:orient="portrait"/>
          <w:cols w:equalWidth="0" w:num="1">
            <w:col w:w="10159"/>
          </w:cols>
          <w:pgMar w:left="300" w:top="6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Potential Realizable</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Value at Assumed</w:t>
      </w:r>
    </w:p>
    <w:p>
      <w:pPr>
        <w:spacing w:after="0" w:line="4"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Annual Rates of</w:t>
      </w:r>
    </w:p>
    <w:p>
      <w:pPr>
        <w:spacing w:after="0" w:line="4"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Stock Price</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Appreciation for</w:t>
      </w:r>
    </w:p>
    <w:p>
      <w:pPr>
        <w:spacing w:after="0" w:line="4" w:lineRule="exact"/>
        <w:rPr>
          <w:sz w:val="20"/>
          <w:szCs w:val="20"/>
          <w:color w:val="auto"/>
        </w:rPr>
      </w:pPr>
    </w:p>
    <w:p>
      <w:pPr>
        <w:ind w:left="1540"/>
        <w:spacing w:after="0"/>
        <w:tabs>
          <w:tab w:leader="none" w:pos="5320" w:val="left"/>
        </w:tabs>
        <w:rPr>
          <w:sz w:val="20"/>
          <w:szCs w:val="20"/>
          <w:color w:val="auto"/>
        </w:rPr>
      </w:pPr>
      <w:r>
        <w:rPr>
          <w:rFonts w:ascii="Courier New" w:cs="Courier New" w:eastAsia="Courier New" w:hAnsi="Courier New"/>
          <w:sz w:val="14"/>
          <w:szCs w:val="14"/>
          <w:color w:val="auto"/>
        </w:rPr>
        <w:t>Individual Grants (1)</w:t>
      </w:r>
      <w:r>
        <w:rPr>
          <w:sz w:val="20"/>
          <w:szCs w:val="20"/>
          <w:color w:val="auto"/>
        </w:rPr>
        <w:tab/>
      </w:r>
      <w:r>
        <w:rPr>
          <w:rFonts w:ascii="Courier New" w:cs="Courier New" w:eastAsia="Courier New" w:hAnsi="Courier New"/>
          <w:sz w:val="14"/>
          <w:szCs w:val="14"/>
          <w:color w:val="auto"/>
        </w:rPr>
        <w:t>Option Term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Number of</w:t>
      </w:r>
    </w:p>
    <w:p>
      <w:pPr>
        <w:spacing w:after="0" w:line="4" w:lineRule="exact"/>
        <w:rPr>
          <w:sz w:val="20"/>
          <w:szCs w:val="20"/>
          <w:color w:val="auto"/>
        </w:rPr>
      </w:pPr>
    </w:p>
    <w:p>
      <w:pPr>
        <w:ind w:left="180"/>
        <w:spacing w:after="0"/>
        <w:tabs>
          <w:tab w:leader="none" w:pos="1520" w:val="left"/>
        </w:tabs>
        <w:rPr>
          <w:sz w:val="20"/>
          <w:szCs w:val="20"/>
          <w:color w:val="auto"/>
        </w:rPr>
      </w:pP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 of Total</w:t>
      </w:r>
    </w:p>
    <w:p>
      <w:pPr>
        <w:spacing w:after="0" w:line="4" w:lineRule="exact"/>
        <w:rPr>
          <w:sz w:val="20"/>
          <w:szCs w:val="20"/>
          <w:color w:val="auto"/>
        </w:rPr>
      </w:pPr>
    </w:p>
    <w:p>
      <w:pPr>
        <w:ind w:left="180"/>
        <w:spacing w:after="0"/>
        <w:tabs>
          <w:tab w:leader="none" w:pos="1340" w:val="left"/>
        </w:tabs>
        <w:rPr>
          <w:sz w:val="20"/>
          <w:szCs w:val="20"/>
          <w:color w:val="auto"/>
        </w:rPr>
      </w:pPr>
      <w:r>
        <w:rPr>
          <w:rFonts w:ascii="Courier New" w:cs="Courier New" w:eastAsia="Courier New" w:hAnsi="Courier New"/>
          <w:sz w:val="14"/>
          <w:szCs w:val="14"/>
          <w:color w:val="auto"/>
        </w:rPr>
        <w:t>Underlying</w:t>
      </w:r>
      <w:r>
        <w:rPr>
          <w:sz w:val="20"/>
          <w:szCs w:val="20"/>
          <w:color w:val="auto"/>
        </w:rPr>
        <w:tab/>
      </w:r>
      <w:r>
        <w:rPr>
          <w:rFonts w:ascii="Courier New" w:cs="Courier New" w:eastAsia="Courier New" w:hAnsi="Courier New"/>
          <w:sz w:val="14"/>
          <w:szCs w:val="14"/>
          <w:color w:val="auto"/>
        </w:rPr>
        <w:t>Options Granted</w:t>
      </w:r>
    </w:p>
    <w:p>
      <w:pPr>
        <w:spacing w:after="0" w:line="4" w:lineRule="exact"/>
        <w:rPr>
          <w:sz w:val="20"/>
          <w:szCs w:val="20"/>
          <w:color w:val="auto"/>
        </w:rPr>
      </w:pPr>
    </w:p>
    <w:p>
      <w:pPr>
        <w:ind w:left="340"/>
        <w:spacing w:after="0"/>
        <w:tabs>
          <w:tab w:leader="none" w:pos="1340" w:val="left"/>
        </w:tabs>
        <w:rPr>
          <w:sz w:val="20"/>
          <w:szCs w:val="20"/>
          <w:color w:val="auto"/>
        </w:rPr>
      </w:pP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to Employees in Exercise Price Expiration</w:t>
      </w:r>
    </w:p>
    <w:p>
      <w:pPr>
        <w:spacing w:after="0" w:line="4" w:lineRule="exact"/>
        <w:rPr>
          <w:sz w:val="20"/>
          <w:szCs w:val="20"/>
          <w:color w:val="auto"/>
        </w:rPr>
      </w:pPr>
    </w:p>
    <w:p>
      <w:pPr>
        <w:spacing w:after="0"/>
        <w:tabs>
          <w:tab w:leader="none" w:pos="1520" w:val="left"/>
          <w:tab w:leader="none" w:pos="2880" w:val="left"/>
          <w:tab w:leader="none" w:pos="4220" w:val="left"/>
          <w:tab w:leader="none" w:pos="5080" w:val="left"/>
          <w:tab w:leader="none" w:pos="6000" w:val="left"/>
        </w:tabs>
        <w:rPr>
          <w:sz w:val="20"/>
          <w:szCs w:val="20"/>
          <w:color w:val="auto"/>
        </w:rPr>
      </w:pPr>
      <w:r>
        <w:rPr>
          <w:rFonts w:ascii="Courier New" w:cs="Courier New" w:eastAsia="Courier New" w:hAnsi="Courier New"/>
          <w:sz w:val="14"/>
          <w:szCs w:val="14"/>
          <w:color w:val="auto"/>
        </w:rPr>
        <w:t>Granted (#) (2)</w:t>
      </w:r>
      <w:r>
        <w:rPr>
          <w:sz w:val="20"/>
          <w:szCs w:val="20"/>
          <w:color w:val="auto"/>
        </w:rPr>
        <w:tab/>
      </w:r>
      <w:r>
        <w:rPr>
          <w:rFonts w:ascii="Courier New" w:cs="Courier New" w:eastAsia="Courier New" w:hAnsi="Courier New"/>
          <w:sz w:val="14"/>
          <w:szCs w:val="14"/>
          <w:color w:val="auto"/>
        </w:rPr>
        <w:t>Fiscal Year</w:t>
      </w:r>
      <w:r>
        <w:rPr>
          <w:sz w:val="20"/>
          <w:szCs w:val="20"/>
          <w:color w:val="auto"/>
        </w:rPr>
        <w:tab/>
      </w:r>
      <w:r>
        <w:rPr>
          <w:rFonts w:ascii="Courier New" w:cs="Courier New" w:eastAsia="Courier New" w:hAnsi="Courier New"/>
          <w:sz w:val="14"/>
          <w:szCs w:val="14"/>
          <w:color w:val="auto"/>
        </w:rPr>
        <w:t>($/SH) (3)</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10%($)</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 -------------- ---------- ---------- ----------</w:t>
      </w:r>
    </w:p>
    <w:p>
      <w:pPr>
        <w:spacing w:after="0" w:line="168" w:lineRule="exact"/>
        <w:rPr>
          <w:sz w:val="20"/>
          <w:szCs w:val="20"/>
          <w:color w:val="auto"/>
        </w:rPr>
      </w:pPr>
    </w:p>
    <w:p>
      <w:pPr>
        <w:sectPr>
          <w:pgSz w:w="11900" w:h="16838" w:orient="portrait"/>
          <w:cols w:equalWidth="0" w:num="2">
            <w:col w:w="1400" w:space="720"/>
            <w:col w:w="8039"/>
          </w:cols>
          <w:pgMar w:left="300" w:top="60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 E. Baird.............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5" w:lineRule="exact"/>
        <w:rPr>
          <w:sz w:val="20"/>
          <w:szCs w:val="20"/>
          <w:color w:val="auto"/>
        </w:rPr>
      </w:pPr>
    </w:p>
    <w:p>
      <w:pPr>
        <w:sectPr>
          <w:pgSz w:w="11900" w:h="16838" w:orient="portrait"/>
          <w:cols w:equalWidth="0" w:num="7">
            <w:col w:w="2180" w:space="720"/>
            <w:col w:w="380" w:space="720"/>
            <w:col w:w="720" w:space="720"/>
            <w:col w:w="380" w:space="720"/>
            <w:col w:w="380" w:space="720"/>
            <w:col w:w="220" w:space="720"/>
            <w:col w:w="1579"/>
          </w:cols>
          <w:pgMar w:left="300" w:top="60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V. E. Grijalva..........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5" w:lineRule="exact"/>
        <w:rPr>
          <w:sz w:val="20"/>
          <w:szCs w:val="20"/>
          <w:color w:val="auto"/>
        </w:rPr>
      </w:pPr>
    </w:p>
    <w:p>
      <w:pPr>
        <w:sectPr>
          <w:pgSz w:w="11900" w:h="16838" w:orient="portrait"/>
          <w:cols w:equalWidth="0" w:num="6">
            <w:col w:w="2180" w:space="720"/>
            <w:col w:w="380" w:space="720"/>
            <w:col w:w="720" w:space="720"/>
            <w:col w:w="380" w:space="720"/>
            <w:col w:w="380" w:space="720"/>
            <w:col w:w="2519"/>
          </w:cols>
          <w:pgMar w:left="300" w:top="60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 Gould................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Pfister..............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Liu..................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54,950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54,949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54,949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0.91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0.91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44.843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44.843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44.843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1/19/09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1/19/09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1/19/09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1,549,674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1,549,645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1,549,645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3,927,177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3,927,105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3,927,105</w:t>
      </w:r>
    </w:p>
    <w:p>
      <w:pPr>
        <w:spacing w:after="0" w:line="168" w:lineRule="exact"/>
        <w:rPr>
          <w:sz w:val="20"/>
          <w:szCs w:val="20"/>
          <w:color w:val="auto"/>
        </w:rPr>
      </w:pPr>
    </w:p>
    <w:p>
      <w:pPr>
        <w:sectPr>
          <w:pgSz w:w="11900" w:h="16838" w:orient="portrait"/>
          <w:cols w:equalWidth="0" w:num="7">
            <w:col w:w="2040" w:space="420"/>
            <w:col w:w="720" w:space="720"/>
            <w:col w:w="560" w:space="720"/>
            <w:col w:w="500" w:space="520"/>
            <w:col w:w="600" w:space="340"/>
            <w:col w:w="760" w:space="160"/>
            <w:col w:w="2099"/>
          </w:cols>
          <w:pgMar w:left="300" w:top="60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left="340" w:right="3879" w:hanging="333"/>
        <w:spacing w:after="0" w:line="246" w:lineRule="auto"/>
        <w:tabs>
          <w:tab w:leader="none" w:pos="3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granted was increased and the exercise price was decreased by a factor of 1.099 to reflect the spin-off of Sedco Forex.</w:t>
      </w:r>
    </w:p>
    <w:p>
      <w:pPr>
        <w:spacing w:after="0" w:line="1" w:lineRule="exact"/>
        <w:rPr>
          <w:rFonts w:ascii="Courier New" w:cs="Courier New" w:eastAsia="Courier New" w:hAnsi="Courier New"/>
          <w:sz w:val="14"/>
          <w:szCs w:val="14"/>
          <w:color w:val="auto"/>
        </w:rPr>
      </w:pPr>
    </w:p>
    <w:p>
      <w:pPr>
        <w:ind w:left="340" w:right="3619" w:hanging="333"/>
        <w:spacing w:after="0" w:line="246" w:lineRule="auto"/>
        <w:tabs>
          <w:tab w:leader="none" w:pos="3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not granted any stock appreciation rights. Options become exercisable in installments of 20% each year following the date of grant. All outstanding stock options become fully exercisable prior to liquidation or dissolution of the Company or prior to any reorganization, merger or consolidation of the Company where the Company is not the surviving corporation unless such merger, reorganization or consolidation provides for the assumption of such stock options.</w:t>
      </w:r>
    </w:p>
    <w:p>
      <w:pPr>
        <w:spacing w:after="0" w:line="3" w:lineRule="exact"/>
        <w:rPr>
          <w:rFonts w:ascii="Courier New" w:cs="Courier New" w:eastAsia="Courier New" w:hAnsi="Courier New"/>
          <w:sz w:val="14"/>
          <w:szCs w:val="14"/>
          <w:color w:val="auto"/>
        </w:rPr>
      </w:pPr>
    </w:p>
    <w:p>
      <w:pPr>
        <w:ind w:left="340" w:right="3619" w:hanging="333"/>
        <w:spacing w:after="0" w:line="247" w:lineRule="auto"/>
        <w:tabs>
          <w:tab w:leader="none" w:pos="3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the options is equal to the average of the high and the low per share prices of the common stock on the options' dates of grant and may be paid in cash or by tendering shares of common stock. Applicable tax obligations may be paid in cash or by the withholding of shares of common stock.</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609" w:right="1440" w:bottom="1440"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Stock Option Exercises and December 31, 1999 Stock Option Value Table</w:t>
      </w:r>
    </w:p>
    <w:p>
      <w:pPr>
        <w:spacing w:after="0" w:line="168" w:lineRule="exact"/>
        <w:rPr>
          <w:sz w:val="20"/>
          <w:szCs w:val="20"/>
          <w:color w:val="auto"/>
        </w:rPr>
      </w:pPr>
    </w:p>
    <w:p>
      <w:pPr>
        <w:ind w:right="3539" w:firstLine="170"/>
        <w:spacing w:after="0" w:line="246" w:lineRule="auto"/>
        <w:rPr>
          <w:sz w:val="20"/>
          <w:szCs w:val="20"/>
          <w:color w:val="auto"/>
        </w:rPr>
      </w:pPr>
      <w:r>
        <w:rPr>
          <w:rFonts w:ascii="Courier New" w:cs="Courier New" w:eastAsia="Courier New" w:hAnsi="Courier New"/>
          <w:sz w:val="14"/>
          <w:szCs w:val="14"/>
          <w:color w:val="auto"/>
        </w:rPr>
        <w:t>The following table shows certain information concerning options exercised during 1999 by the Chief Executive Officer and by the next four most highly compensated executive officers and the number and value of unexercised options at December 31, 1999. Schlumberger has not granted stock appreciation rights. The values of unexercised in-the-money stock options at December 31, 1999 as shown below are presented pursuant to Securities and Exchange Commission rules. Any amount realized upon exercise of stock options will depend upon the market price of Schlumberger common stock at the time the stock option is exercised. There is no assurance that the values of unexercised in-the-money options reflected in this table will be realized.</w:t>
      </w:r>
    </w:p>
    <w:p>
      <w:pPr>
        <w:spacing w:after="0" w:line="16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Aggregated Option Exercises in Last Fiscal Year and Fiscal Year-End Option</w:t>
      </w:r>
    </w:p>
    <w:p>
      <w:pPr>
        <w:spacing w:after="0" w:line="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Values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5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1700" w:type="dxa"/>
            <w:vAlign w:val="bottom"/>
          </w:tcPr>
          <w:p>
            <w:pPr>
              <w:spacing w:after="0"/>
              <w:rPr>
                <w:sz w:val="13"/>
                <w:szCs w:val="13"/>
                <w:color w:val="auto"/>
              </w:rPr>
            </w:pPr>
          </w:p>
        </w:tc>
      </w:tr>
      <w:tr>
        <w:trPr>
          <w:trHeight w:val="163"/>
        </w:trPr>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center"/>
              <w:ind w:right="9"/>
              <w:spacing w:after="0"/>
              <w:rPr>
                <w:sz w:val="20"/>
                <w:szCs w:val="20"/>
                <w:color w:val="auto"/>
              </w:rPr>
            </w:pPr>
            <w:r>
              <w:rPr>
                <w:rFonts w:ascii="Courier New" w:cs="Courier New" w:eastAsia="Courier New" w:hAnsi="Courier New"/>
                <w:sz w:val="14"/>
                <w:szCs w:val="14"/>
                <w:color w:val="auto"/>
                <w:w w:val="99"/>
              </w:rPr>
              <w:t>Securities</w:t>
            </w:r>
          </w:p>
        </w:tc>
        <w:tc>
          <w:tcPr>
            <w:tcW w:w="17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Value of</w:t>
            </w:r>
          </w:p>
        </w:tc>
      </w:tr>
      <w:tr>
        <w:trPr>
          <w:trHeight w:val="163"/>
        </w:trPr>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center"/>
              <w:ind w:right="9"/>
              <w:spacing w:after="0"/>
              <w:rPr>
                <w:sz w:val="20"/>
                <w:szCs w:val="20"/>
                <w:color w:val="auto"/>
              </w:rPr>
            </w:pPr>
            <w:r>
              <w:rPr>
                <w:rFonts w:ascii="Courier New" w:cs="Courier New" w:eastAsia="Courier New" w:hAnsi="Courier New"/>
                <w:sz w:val="14"/>
                <w:szCs w:val="14"/>
                <w:color w:val="auto"/>
                <w:w w:val="99"/>
              </w:rPr>
              <w:t>Underlying</w:t>
            </w:r>
          </w:p>
        </w:tc>
        <w:tc>
          <w:tcPr>
            <w:tcW w:w="1700" w:type="dxa"/>
            <w:vAlign w:val="bottom"/>
          </w:tcPr>
          <w:p>
            <w:pPr>
              <w:ind w:left="260"/>
              <w:spacing w:after="0"/>
              <w:rPr>
                <w:sz w:val="20"/>
                <w:szCs w:val="20"/>
                <w:color w:val="auto"/>
              </w:rPr>
            </w:pPr>
            <w:r>
              <w:rPr>
                <w:rFonts w:ascii="Courier New" w:cs="Courier New" w:eastAsia="Courier New" w:hAnsi="Courier New"/>
                <w:sz w:val="14"/>
                <w:szCs w:val="14"/>
                <w:color w:val="auto"/>
              </w:rPr>
              <w:t>Unexercised</w:t>
            </w:r>
          </w:p>
        </w:tc>
      </w:tr>
      <w:tr>
        <w:trPr>
          <w:trHeight w:val="163"/>
        </w:trPr>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Unexercised</w:t>
            </w:r>
          </w:p>
        </w:tc>
        <w:tc>
          <w:tcPr>
            <w:tcW w:w="1700" w:type="dxa"/>
            <w:vAlign w:val="bottom"/>
          </w:tcPr>
          <w:p>
            <w:pPr>
              <w:ind w:left="260"/>
              <w:spacing w:after="0"/>
              <w:rPr>
                <w:sz w:val="20"/>
                <w:szCs w:val="20"/>
                <w:color w:val="auto"/>
              </w:rPr>
            </w:pPr>
            <w:r>
              <w:rPr>
                <w:rFonts w:ascii="Courier New" w:cs="Courier New" w:eastAsia="Courier New" w:hAnsi="Courier New"/>
                <w:sz w:val="14"/>
                <w:szCs w:val="14"/>
                <w:color w:val="auto"/>
              </w:rPr>
              <w:t>In-The-Money</w:t>
            </w:r>
          </w:p>
        </w:tc>
      </w:tr>
      <w:tr>
        <w:trPr>
          <w:trHeight w:val="163"/>
        </w:trPr>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center"/>
              <w:ind w:right="9"/>
              <w:spacing w:after="0"/>
              <w:rPr>
                <w:sz w:val="20"/>
                <w:szCs w:val="20"/>
                <w:color w:val="auto"/>
              </w:rPr>
            </w:pPr>
            <w:r>
              <w:rPr>
                <w:rFonts w:ascii="Courier New" w:cs="Courier New" w:eastAsia="Courier New" w:hAnsi="Courier New"/>
                <w:sz w:val="14"/>
                <w:szCs w:val="14"/>
                <w:color w:val="auto"/>
                <w:w w:val="99"/>
              </w:rPr>
              <w:t>Options at</w:t>
            </w:r>
          </w:p>
        </w:tc>
        <w:tc>
          <w:tcPr>
            <w:tcW w:w="1700" w:type="dxa"/>
            <w:vAlign w:val="bottom"/>
          </w:tcPr>
          <w:p>
            <w:pPr>
              <w:ind w:left="340"/>
              <w:spacing w:after="0"/>
              <w:rPr>
                <w:sz w:val="20"/>
                <w:szCs w:val="20"/>
                <w:color w:val="auto"/>
              </w:rPr>
            </w:pPr>
            <w:r>
              <w:rPr>
                <w:rFonts w:ascii="Courier New" w:cs="Courier New" w:eastAsia="Courier New" w:hAnsi="Courier New"/>
                <w:sz w:val="14"/>
                <w:szCs w:val="14"/>
                <w:color w:val="auto"/>
              </w:rPr>
              <w:t>Options at</w:t>
            </w:r>
          </w:p>
        </w:tc>
      </w:tr>
      <w:tr>
        <w:trPr>
          <w:trHeight w:val="163"/>
        </w:trPr>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Value</w:t>
            </w:r>
          </w:p>
        </w:tc>
        <w:tc>
          <w:tcPr>
            <w:tcW w:w="1280" w:type="dxa"/>
            <w:vAlign w:val="bottom"/>
          </w:tcPr>
          <w:p>
            <w:pPr>
              <w:jc w:val="center"/>
              <w:ind w:right="9"/>
              <w:spacing w:after="0"/>
              <w:rPr>
                <w:sz w:val="20"/>
                <w:szCs w:val="20"/>
                <w:color w:val="auto"/>
              </w:rPr>
            </w:pPr>
            <w:r>
              <w:rPr>
                <w:rFonts w:ascii="Courier New" w:cs="Courier New" w:eastAsia="Courier New" w:hAnsi="Courier New"/>
                <w:sz w:val="14"/>
                <w:szCs w:val="14"/>
                <w:color w:val="auto"/>
              </w:rPr>
              <w:t>FY-End (#) (2)</w:t>
            </w:r>
          </w:p>
        </w:tc>
        <w:tc>
          <w:tcPr>
            <w:tcW w:w="1700" w:type="dxa"/>
            <w:vAlign w:val="bottom"/>
          </w:tcPr>
          <w:p>
            <w:pPr>
              <w:jc w:val="right"/>
              <w:ind w:right="9"/>
              <w:spacing w:after="0"/>
              <w:rPr>
                <w:sz w:val="20"/>
                <w:szCs w:val="20"/>
                <w:color w:val="auto"/>
              </w:rPr>
            </w:pPr>
            <w:r>
              <w:rPr>
                <w:rFonts w:ascii="Courier New" w:cs="Courier New" w:eastAsia="Courier New" w:hAnsi="Courier New"/>
                <w:sz w:val="14"/>
                <w:szCs w:val="14"/>
                <w:color w:val="auto"/>
              </w:rPr>
              <w:t>FY-End ($) (2) (3)</w:t>
            </w:r>
          </w:p>
        </w:tc>
      </w:tr>
      <w:tr>
        <w:trPr>
          <w:trHeight w:val="163"/>
        </w:trPr>
        <w:tc>
          <w:tcPr>
            <w:tcW w:w="1580" w:type="dxa"/>
            <w:vAlign w:val="bottom"/>
          </w:tcPr>
          <w:p>
            <w:pPr>
              <w:spacing w:after="0"/>
              <w:rPr>
                <w:sz w:val="14"/>
                <w:szCs w:val="14"/>
                <w:color w:val="auto"/>
              </w:rPr>
            </w:pPr>
          </w:p>
        </w:tc>
        <w:tc>
          <w:tcPr>
            <w:tcW w:w="1440" w:type="dxa"/>
            <w:vAlign w:val="bottom"/>
          </w:tcPr>
          <w:p>
            <w:pPr>
              <w:ind w:left="40"/>
              <w:spacing w:after="0"/>
              <w:rPr>
                <w:sz w:val="20"/>
                <w:szCs w:val="20"/>
                <w:color w:val="auto"/>
              </w:rPr>
            </w:pPr>
            <w:r>
              <w:rPr>
                <w:rFonts w:ascii="Courier New" w:cs="Courier New" w:eastAsia="Courier New" w:hAnsi="Courier New"/>
                <w:sz w:val="14"/>
                <w:szCs w:val="14"/>
                <w:color w:val="auto"/>
              </w:rPr>
              <w:t>Shares Acquired</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Realized</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Exercisable/</w:t>
            </w:r>
          </w:p>
        </w:tc>
        <w:tc>
          <w:tcPr>
            <w:tcW w:w="1700" w:type="dxa"/>
            <w:vAlign w:val="bottom"/>
          </w:tcPr>
          <w:p>
            <w:pPr>
              <w:ind w:left="340"/>
              <w:spacing w:after="0"/>
              <w:rPr>
                <w:sz w:val="20"/>
                <w:szCs w:val="20"/>
                <w:color w:val="auto"/>
              </w:rPr>
            </w:pPr>
            <w:r>
              <w:rPr>
                <w:rFonts w:ascii="Courier New" w:cs="Courier New" w:eastAsia="Courier New" w:hAnsi="Courier New"/>
                <w:sz w:val="14"/>
                <w:szCs w:val="14"/>
                <w:color w:val="auto"/>
              </w:rPr>
              <w:t>Exercisable/</w:t>
            </w:r>
          </w:p>
        </w:tc>
      </w:tr>
      <w:tr>
        <w:trPr>
          <w:trHeight w:val="163"/>
        </w:trPr>
        <w:tc>
          <w:tcPr>
            <w:tcW w:w="158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440" w:type="dxa"/>
            <w:vAlign w:val="bottom"/>
          </w:tcPr>
          <w:p>
            <w:pPr>
              <w:ind w:left="40"/>
              <w:spacing w:after="0"/>
              <w:rPr>
                <w:sz w:val="20"/>
                <w:szCs w:val="20"/>
                <w:color w:val="auto"/>
              </w:rPr>
            </w:pPr>
            <w:r>
              <w:rPr>
                <w:rFonts w:ascii="Courier New" w:cs="Courier New" w:eastAsia="Courier New" w:hAnsi="Courier New"/>
                <w:sz w:val="14"/>
                <w:szCs w:val="14"/>
                <w:color w:val="auto"/>
              </w:rPr>
              <w:t>on Exercises (#)</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(1)</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Unexercisable</w:t>
            </w:r>
          </w:p>
        </w:tc>
        <w:tc>
          <w:tcPr>
            <w:tcW w:w="1700" w:type="dxa"/>
            <w:vAlign w:val="bottom"/>
          </w:tcPr>
          <w:p>
            <w:pPr>
              <w:ind w:left="260"/>
              <w:spacing w:after="0"/>
              <w:rPr>
                <w:sz w:val="20"/>
                <w:szCs w:val="20"/>
                <w:color w:val="auto"/>
              </w:rPr>
            </w:pPr>
            <w:r>
              <w:rPr>
                <w:rFonts w:ascii="Courier New" w:cs="Courier New" w:eastAsia="Courier New" w:hAnsi="Courier New"/>
                <w:sz w:val="14"/>
                <w:szCs w:val="14"/>
                <w:color w:val="auto"/>
              </w:rPr>
              <w:t>Unexercisable</w:t>
            </w:r>
          </w:p>
        </w:tc>
      </w:tr>
      <w:tr>
        <w:trPr>
          <w:trHeight w:val="163"/>
        </w:trPr>
        <w:tc>
          <w:tcPr>
            <w:tcW w:w="15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3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 ------------- ------------------</w:t>
            </w:r>
          </w:p>
        </w:tc>
      </w:tr>
      <w:tr>
        <w:trPr>
          <w:trHeight w:val="326"/>
        </w:trPr>
        <w:tc>
          <w:tcPr>
            <w:tcW w:w="1580" w:type="dxa"/>
            <w:vAlign w:val="bottom"/>
          </w:tcPr>
          <w:p>
            <w:pPr>
              <w:spacing w:after="0"/>
              <w:rPr>
                <w:sz w:val="20"/>
                <w:szCs w:val="20"/>
                <w:color w:val="auto"/>
              </w:rPr>
            </w:pPr>
            <w:r>
              <w:rPr>
                <w:rFonts w:ascii="Courier New" w:cs="Courier New" w:eastAsia="Courier New" w:hAnsi="Courier New"/>
                <w:sz w:val="14"/>
                <w:szCs w:val="14"/>
                <w:color w:val="auto"/>
              </w:rPr>
              <w:t>D. E. Baird.......</w:t>
            </w: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350,000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11,283,771</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1,329,790/</w:t>
            </w:r>
          </w:p>
        </w:tc>
        <w:tc>
          <w:tcPr>
            <w:tcW w:w="17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31,909,893/</w:t>
            </w:r>
          </w:p>
        </w:tc>
      </w:tr>
      <w:tr>
        <w:trPr>
          <w:trHeight w:val="163"/>
        </w:trPr>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483,559</w:t>
            </w:r>
          </w:p>
        </w:tc>
        <w:tc>
          <w:tcPr>
            <w:tcW w:w="17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4,054,684</w:t>
            </w:r>
          </w:p>
        </w:tc>
      </w:tr>
      <w:tr>
        <w:trPr>
          <w:trHeight w:val="163"/>
        </w:trPr>
        <w:tc>
          <w:tcPr>
            <w:tcW w:w="1580" w:type="dxa"/>
            <w:vAlign w:val="bottom"/>
          </w:tcPr>
          <w:p>
            <w:pPr>
              <w:spacing w:after="0"/>
              <w:rPr>
                <w:sz w:val="20"/>
                <w:szCs w:val="20"/>
                <w:color w:val="auto"/>
              </w:rPr>
            </w:pPr>
            <w:r>
              <w:rPr>
                <w:rFonts w:ascii="Courier New" w:cs="Courier New" w:eastAsia="Courier New" w:hAnsi="Courier New"/>
                <w:sz w:val="14"/>
                <w:szCs w:val="14"/>
                <w:color w:val="auto"/>
              </w:rPr>
              <w:t>V. E. Grijalva....</w:t>
            </w: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0</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615,439/</w:t>
            </w:r>
          </w:p>
        </w:tc>
        <w:tc>
          <w:tcPr>
            <w:tcW w:w="17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14,588,692/</w:t>
            </w:r>
          </w:p>
        </w:tc>
      </w:tr>
      <w:tr>
        <w:trPr>
          <w:trHeight w:val="163"/>
        </w:trPr>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230,790</w:t>
            </w:r>
          </w:p>
        </w:tc>
        <w:tc>
          <w:tcPr>
            <w:tcW w:w="17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2,585,979</w:t>
            </w:r>
          </w:p>
        </w:tc>
      </w:tr>
      <w:tr>
        <w:trPr>
          <w:trHeight w:val="163"/>
        </w:trPr>
        <w:tc>
          <w:tcPr>
            <w:tcW w:w="1580" w:type="dxa"/>
            <w:vAlign w:val="bottom"/>
          </w:tcPr>
          <w:p>
            <w:pPr>
              <w:spacing w:after="0"/>
              <w:rPr>
                <w:sz w:val="20"/>
                <w:szCs w:val="20"/>
                <w:color w:val="auto"/>
              </w:rPr>
            </w:pPr>
            <w:r>
              <w:rPr>
                <w:rFonts w:ascii="Courier New" w:cs="Courier New" w:eastAsia="Courier New" w:hAnsi="Courier New"/>
                <w:sz w:val="14"/>
                <w:szCs w:val="14"/>
                <w:color w:val="auto"/>
              </w:rPr>
              <w:t>A. Gould..........</w:t>
            </w: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0</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206,612/</w:t>
            </w:r>
          </w:p>
        </w:tc>
        <w:tc>
          <w:tcPr>
            <w:tcW w:w="17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4,745,350/</w:t>
            </w:r>
          </w:p>
        </w:tc>
      </w:tr>
      <w:tr>
        <w:trPr>
          <w:trHeight w:val="163"/>
        </w:trPr>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156,058</w:t>
            </w:r>
          </w:p>
        </w:tc>
        <w:tc>
          <w:tcPr>
            <w:tcW w:w="17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1,290,291</w:t>
            </w:r>
          </w:p>
        </w:tc>
      </w:tr>
      <w:tr>
        <w:trPr>
          <w:trHeight w:val="163"/>
        </w:trPr>
        <w:tc>
          <w:tcPr>
            <w:tcW w:w="1580" w:type="dxa"/>
            <w:vAlign w:val="bottom"/>
          </w:tcPr>
          <w:p>
            <w:pPr>
              <w:spacing w:after="0"/>
              <w:rPr>
                <w:sz w:val="20"/>
                <w:szCs w:val="20"/>
                <w:color w:val="auto"/>
              </w:rPr>
            </w:pPr>
            <w:r>
              <w:rPr>
                <w:rFonts w:ascii="Courier New" w:cs="Courier New" w:eastAsia="Courier New" w:hAnsi="Courier New"/>
                <w:sz w:val="14"/>
                <w:szCs w:val="14"/>
                <w:color w:val="auto"/>
              </w:rPr>
              <w:t>I. Pfister........</w:t>
            </w: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0</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209,908/</w:t>
            </w:r>
          </w:p>
        </w:tc>
        <w:tc>
          <w:tcPr>
            <w:tcW w:w="17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4,213,500/</w:t>
            </w:r>
          </w:p>
        </w:tc>
      </w:tr>
      <w:tr>
        <w:trPr>
          <w:trHeight w:val="163"/>
        </w:trPr>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181,332</w:t>
            </w:r>
          </w:p>
        </w:tc>
        <w:tc>
          <w:tcPr>
            <w:tcW w:w="17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1,737,127</w:t>
            </w:r>
          </w:p>
        </w:tc>
      </w:tr>
      <w:tr>
        <w:trPr>
          <w:trHeight w:val="163"/>
        </w:trPr>
        <w:tc>
          <w:tcPr>
            <w:tcW w:w="1580" w:type="dxa"/>
            <w:vAlign w:val="bottom"/>
          </w:tcPr>
          <w:p>
            <w:pPr>
              <w:spacing w:after="0"/>
              <w:rPr>
                <w:sz w:val="20"/>
                <w:szCs w:val="20"/>
                <w:color w:val="auto"/>
              </w:rPr>
            </w:pPr>
            <w:r>
              <w:rPr>
                <w:rFonts w:ascii="Courier New" w:cs="Courier New" w:eastAsia="Courier New" w:hAnsi="Courier New"/>
                <w:sz w:val="14"/>
                <w:szCs w:val="14"/>
                <w:color w:val="auto"/>
              </w:rPr>
              <w:t>J. Liu............</w:t>
            </w: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0</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100,010/</w:t>
            </w:r>
          </w:p>
        </w:tc>
        <w:tc>
          <w:tcPr>
            <w:tcW w:w="17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2,147,114/</w:t>
            </w:r>
          </w:p>
        </w:tc>
      </w:tr>
      <w:tr>
        <w:trPr>
          <w:trHeight w:val="163"/>
        </w:trPr>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147,262</w:t>
            </w:r>
          </w:p>
        </w:tc>
        <w:tc>
          <w:tcPr>
            <w:tcW w:w="17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1,513,678</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left="340" w:hanging="333"/>
        <w:spacing w:after="0"/>
        <w:tabs>
          <w:tab w:leader="none" w:pos="3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value of stock on date of exercise less exercise price.</w:t>
      </w:r>
    </w:p>
    <w:p>
      <w:pPr>
        <w:spacing w:after="0" w:line="4" w:lineRule="exact"/>
        <w:rPr>
          <w:rFonts w:ascii="Courier New" w:cs="Courier New" w:eastAsia="Courier New" w:hAnsi="Courier New"/>
          <w:sz w:val="14"/>
          <w:szCs w:val="14"/>
          <w:color w:val="auto"/>
        </w:rPr>
      </w:pPr>
    </w:p>
    <w:p>
      <w:pPr>
        <w:ind w:left="340" w:right="3959" w:hanging="333"/>
        <w:spacing w:after="0" w:line="246" w:lineRule="auto"/>
        <w:tabs>
          <w:tab w:leader="none" w:pos="3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increased and exercise price decreased by a factor of 1.099 to reflect the spin-off of Sedco Forex.</w:t>
      </w:r>
    </w:p>
    <w:p>
      <w:pPr>
        <w:spacing w:after="0" w:line="1" w:lineRule="exact"/>
        <w:rPr>
          <w:rFonts w:ascii="Courier New" w:cs="Courier New" w:eastAsia="Courier New" w:hAnsi="Courier New"/>
          <w:sz w:val="14"/>
          <w:szCs w:val="14"/>
          <w:color w:val="auto"/>
        </w:rPr>
      </w:pPr>
    </w:p>
    <w:p>
      <w:pPr>
        <w:ind w:left="340" w:hanging="333"/>
        <w:spacing w:after="0"/>
        <w:tabs>
          <w:tab w:leader="none" w:pos="3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Closing price of stock on December 31, 1999 ($56.125) less exercise price.</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609"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Pension Plans</w:t>
      </w:r>
    </w:p>
    <w:p>
      <w:pPr>
        <w:spacing w:after="0" w:line="168" w:lineRule="exact"/>
        <w:rPr>
          <w:sz w:val="20"/>
          <w:szCs w:val="20"/>
          <w:color w:val="auto"/>
        </w:rPr>
      </w:pPr>
    </w:p>
    <w:p>
      <w:pPr>
        <w:ind w:right="3539" w:firstLine="170"/>
        <w:spacing w:after="0" w:line="246" w:lineRule="auto"/>
        <w:rPr>
          <w:sz w:val="20"/>
          <w:szCs w:val="20"/>
          <w:color w:val="auto"/>
        </w:rPr>
      </w:pPr>
      <w:r>
        <w:rPr>
          <w:rFonts w:ascii="Courier New" w:cs="Courier New" w:eastAsia="Courier New" w:hAnsi="Courier New"/>
          <w:sz w:val="14"/>
          <w:szCs w:val="14"/>
          <w:color w:val="auto"/>
        </w:rPr>
        <w:t>Schlumberger and certain of its subsidiaries maintain pension plans for employees, including executive officers, providing for lifetime pensions upon retirement after a specified number of years of service. Employees may participate in one or more pension plans in the course of their careers with the Company or its subsidiaries, in which case they become entitled to a pension from each plan based upon the benefits accrued during the years of service related to each plan. These plans are funded on an actuarial basis through cash contributions made by the Company or its subsidiaries. Certain of the plans also permit or require contributions by employees.</w:t>
      </w:r>
    </w:p>
    <w:p>
      <w:pPr>
        <w:spacing w:after="0" w:line="168" w:lineRule="exact"/>
        <w:rPr>
          <w:sz w:val="20"/>
          <w:szCs w:val="20"/>
          <w:color w:val="auto"/>
        </w:rPr>
      </w:pPr>
    </w:p>
    <w:p>
      <w:pPr>
        <w:ind w:right="3539" w:firstLine="170"/>
        <w:spacing w:after="0" w:line="246" w:lineRule="auto"/>
        <w:rPr>
          <w:sz w:val="20"/>
          <w:szCs w:val="20"/>
          <w:color w:val="auto"/>
        </w:rPr>
      </w:pPr>
      <w:r>
        <w:rPr>
          <w:rFonts w:ascii="Courier New" w:cs="Courier New" w:eastAsia="Courier New" w:hAnsi="Courier New"/>
          <w:sz w:val="14"/>
          <w:szCs w:val="14"/>
          <w:color w:val="auto"/>
        </w:rPr>
        <w:t>Benefits under the international staff pension plans of the Company and certain of its subsidiaries are based on a participant's pensionable salary (generally, base salary plus incentive) for each year in which the employee participates in the plans and the employee's length of service with the Company or the subsidiary. Since January 1, 1993, the benefit earned has been 3.2% of pensionable salary for each year of service. Benefits are payable upon normal retirement age, at or after age 55, or upon early retirement. Estimated annual benefits from these plans payable upon retirement are: $33,714 for Mr. Baird; $57,139 for Mr. Grijalva; $276,635 for Mr. Gould, assuming pensionable salary continues at the December 31, 1999 level for Mr. Gould, and $47,875 for Mr. Liu.</w:t>
      </w:r>
    </w:p>
    <w:p>
      <w:pPr>
        <w:spacing w:after="0" w:line="169" w:lineRule="exact"/>
        <w:rPr>
          <w:sz w:val="20"/>
          <w:szCs w:val="20"/>
          <w:color w:val="auto"/>
        </w:rPr>
      </w:pPr>
    </w:p>
    <w:p>
      <w:pPr>
        <w:ind w:right="3539" w:firstLine="170"/>
        <w:spacing w:after="0" w:line="246" w:lineRule="auto"/>
        <w:rPr>
          <w:sz w:val="20"/>
          <w:szCs w:val="20"/>
          <w:color w:val="auto"/>
        </w:rPr>
      </w:pPr>
      <w:r>
        <w:rPr>
          <w:rFonts w:ascii="Courier New" w:cs="Courier New" w:eastAsia="Courier New" w:hAnsi="Courier New"/>
          <w:sz w:val="14"/>
          <w:szCs w:val="14"/>
          <w:color w:val="auto"/>
        </w:rPr>
        <w:t>Benefits under the U.S. tax qualified pension plans of the Company and certain of its subsidiaries are based on an employee's admissible compensation (generally, base salary plus incentive) for each year in which an employee participates in the U.S. plans and the employee's length of service with the Company or the subsidiary. From January 1, 1989, the benefit earned has been</w:t>
      </w:r>
    </w:p>
    <w:p>
      <w:pPr>
        <w:spacing w:after="0" w:line="3" w:lineRule="exact"/>
        <w:rPr>
          <w:sz w:val="20"/>
          <w:szCs w:val="20"/>
          <w:color w:val="auto"/>
        </w:rPr>
      </w:pPr>
    </w:p>
    <w:p>
      <w:pPr>
        <w:ind w:right="3539"/>
        <w:spacing w:after="0" w:line="246" w:lineRule="auto"/>
        <w:rPr>
          <w:sz w:val="20"/>
          <w:szCs w:val="20"/>
          <w:color w:val="auto"/>
        </w:rPr>
      </w:pPr>
      <w:r>
        <w:rPr>
          <w:rFonts w:ascii="Courier New" w:cs="Courier New" w:eastAsia="Courier New" w:hAnsi="Courier New"/>
          <w:sz w:val="14"/>
          <w:szCs w:val="14"/>
          <w:color w:val="auto"/>
        </w:rPr>
        <w:t>1.5% of admissible compensation for service prior to the employee's completion of 15 years of active service and 2% of admissible compensation for service after completion of 15 years of active service. The Company has adopted a supplementary benefit plan for eligible employees, including executive officers. Amounts under the supplementary plan are accrued under an unfunded arrangement to pay each individual the additional amount which would have been payable under the plans if the amount had not been subject to limitations imposed by law on maximum annual benefit payments and on annual compensation recognized to compute plan benefits. Estimated annual benefits from the plans payable upon retirement are: $16,066 for Mr. Gould, and, assuming admissible compensation continues at the December 31, 1999 levels, estimated annual benefits payable from the U.S. plans and the supplementary benefit plan are: $633,069 for Mr. Baird; $291,336 for Mr. Grijalva; $236,521 for Mr. Pfister, and $159,529 for Mr. Liu.</w:t>
      </w:r>
    </w:p>
    <w:p>
      <w:pPr>
        <w:spacing w:after="0" w:line="17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609" w:right="1440" w:bottom="1440" w:gutter="0" w:footer="0" w:header="0"/>
        </w:sectPr>
      </w:pPr>
    </w:p>
    <w:bookmarkStart w:id="13" w:name="page14"/>
    <w:bookmarkEnd w:id="13"/>
    <w:p>
      <w:pPr>
        <w:jc w:val="center"/>
        <w:ind w:right="3439"/>
        <w:spacing w:after="0"/>
        <w:rPr>
          <w:sz w:val="20"/>
          <w:szCs w:val="20"/>
          <w:color w:val="auto"/>
        </w:rPr>
      </w:pPr>
      <w:r>
        <w:rPr>
          <w:rFonts w:ascii="Courier New" w:cs="Courier New" w:eastAsia="Courier New" w:hAnsi="Courier New"/>
          <w:sz w:val="14"/>
          <w:szCs w:val="14"/>
          <w:color w:val="auto"/>
        </w:rPr>
        <w:t>Corporate Performance Graph</w:t>
      </w:r>
    </w:p>
    <w:p>
      <w:pPr>
        <w:spacing w:after="0" w:line="168" w:lineRule="exact"/>
        <w:rPr>
          <w:sz w:val="20"/>
          <w:szCs w:val="20"/>
          <w:color w:val="auto"/>
        </w:rPr>
      </w:pPr>
    </w:p>
    <w:p>
      <w:pPr>
        <w:ind w:right="3539" w:firstLine="170"/>
        <w:spacing w:after="0" w:line="246" w:lineRule="auto"/>
        <w:rPr>
          <w:sz w:val="20"/>
          <w:szCs w:val="20"/>
          <w:color w:val="auto"/>
        </w:rPr>
      </w:pPr>
      <w:r>
        <w:rPr>
          <w:rFonts w:ascii="Courier New" w:cs="Courier New" w:eastAsia="Courier New" w:hAnsi="Courier New"/>
          <w:sz w:val="14"/>
          <w:szCs w:val="14"/>
          <w:color w:val="auto"/>
        </w:rPr>
        <w:t>The following graph compares the yearly percentage change in the cumulative total stockholder return on Schlumberger common stock, assuming reinvestment of dividends on the last day of the month of payment into common stock of Schlumberger, with the cumulative total return on the published Standard &amp; Poor's 500 Stock Index and the cumulative total return on Value Line's Oilfield Services Industry Group over the preceding five-year period. The following graph is presented pursuant to Securities and Exchange Commission rules. Schlumberger believes that while total stockholder return is an important corporate performance indicator, it is subject to the vagaries of the market. In addition to the creation of stockholder value, the Schlumberger executive compensation program is based on financial and strategic results and the other factors set forth and discussed in the Compensation Committee Report beginning on page 12.</w:t>
      </w:r>
    </w:p>
    <w:p>
      <w:pPr>
        <w:spacing w:after="0" w:line="7" w:lineRule="exact"/>
        <w:rPr>
          <w:sz w:val="20"/>
          <w:szCs w:val="20"/>
          <w:color w:val="auto"/>
        </w:rPr>
      </w:pPr>
    </w:p>
    <w:p>
      <w:pPr>
        <w:ind w:left="1440"/>
        <w:spacing w:after="0"/>
        <w:tabs>
          <w:tab w:leader="none" w:pos="2440" w:val="left"/>
          <w:tab w:leader="none" w:pos="3640" w:val="left"/>
        </w:tabs>
        <w:rPr>
          <w:sz w:val="20"/>
          <w:szCs w:val="20"/>
          <w:color w:val="auto"/>
        </w:rPr>
      </w:pPr>
      <w:r>
        <w:rPr>
          <w:rFonts w:ascii="Courier New" w:cs="Courier New" w:eastAsia="Courier New" w:hAnsi="Courier New"/>
          <w:sz w:val="14"/>
          <w:szCs w:val="14"/>
          <w:color w:val="auto"/>
        </w:rPr>
        <w:t>SLB</w:t>
      </w:r>
      <w:r>
        <w:rPr>
          <w:sz w:val="20"/>
          <w:szCs w:val="20"/>
          <w:color w:val="auto"/>
        </w:rPr>
        <w:tab/>
      </w:r>
      <w:r>
        <w:rPr>
          <w:rFonts w:ascii="Courier New" w:cs="Courier New" w:eastAsia="Courier New" w:hAnsi="Courier New"/>
          <w:sz w:val="14"/>
          <w:szCs w:val="14"/>
          <w:color w:val="auto"/>
        </w:rPr>
        <w:t>S&amp;P 500</w:t>
      </w:r>
      <w:r>
        <w:rPr>
          <w:sz w:val="20"/>
          <w:szCs w:val="20"/>
          <w:color w:val="auto"/>
        </w:rPr>
        <w:tab/>
      </w:r>
      <w:r>
        <w:rPr>
          <w:rFonts w:ascii="Courier New" w:cs="Courier New" w:eastAsia="Courier New" w:hAnsi="Courier New"/>
          <w:sz w:val="14"/>
          <w:szCs w:val="14"/>
          <w:color w:val="auto"/>
        </w:rPr>
        <w:t>Industry Peer Index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8"/>
              </w:rPr>
              <w:t>12/31/94</w:t>
            </w:r>
          </w:p>
        </w:tc>
        <w:tc>
          <w:tcPr>
            <w:tcW w:w="10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100</w:t>
            </w:r>
          </w:p>
        </w:tc>
        <w:tc>
          <w:tcPr>
            <w:tcW w:w="11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3"/>
        </w:trPr>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8"/>
              </w:rPr>
              <w:t>12/31/95</w:t>
            </w:r>
          </w:p>
        </w:tc>
        <w:tc>
          <w:tcPr>
            <w:tcW w:w="10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141</w:t>
            </w:r>
          </w:p>
        </w:tc>
        <w:tc>
          <w:tcPr>
            <w:tcW w:w="11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138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155</w:t>
            </w:r>
          </w:p>
        </w:tc>
      </w:tr>
      <w:tr>
        <w:trPr>
          <w:trHeight w:val="163"/>
        </w:trPr>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8"/>
              </w:rPr>
              <w:t>12/31/96</w:t>
            </w:r>
          </w:p>
        </w:tc>
        <w:tc>
          <w:tcPr>
            <w:tcW w:w="10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206</w:t>
            </w:r>
          </w:p>
        </w:tc>
        <w:tc>
          <w:tcPr>
            <w:tcW w:w="11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169</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240</w:t>
            </w:r>
          </w:p>
        </w:tc>
      </w:tr>
      <w:tr>
        <w:trPr>
          <w:trHeight w:val="163"/>
        </w:trPr>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8"/>
              </w:rPr>
              <w:t>12/31/97</w:t>
            </w:r>
          </w:p>
        </w:tc>
        <w:tc>
          <w:tcPr>
            <w:tcW w:w="10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337</w:t>
            </w:r>
          </w:p>
        </w:tc>
        <w:tc>
          <w:tcPr>
            <w:tcW w:w="11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226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371</w:t>
            </w:r>
          </w:p>
        </w:tc>
      </w:tr>
      <w:tr>
        <w:trPr>
          <w:trHeight w:val="163"/>
        </w:trPr>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8"/>
              </w:rPr>
              <w:t>12/31/98</w:t>
            </w:r>
          </w:p>
        </w:tc>
        <w:tc>
          <w:tcPr>
            <w:tcW w:w="10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196</w:t>
            </w:r>
          </w:p>
        </w:tc>
        <w:tc>
          <w:tcPr>
            <w:tcW w:w="11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290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179</w:t>
            </w:r>
          </w:p>
        </w:tc>
      </w:tr>
      <w:tr>
        <w:trPr>
          <w:trHeight w:val="163"/>
        </w:trPr>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8"/>
              </w:rPr>
              <w:t>12/31/99</w:t>
            </w:r>
          </w:p>
        </w:tc>
        <w:tc>
          <w:tcPr>
            <w:tcW w:w="10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268</w:t>
            </w:r>
          </w:p>
        </w:tc>
        <w:tc>
          <w:tcPr>
            <w:tcW w:w="11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351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265</w:t>
            </w:r>
          </w:p>
        </w:tc>
      </w:tr>
    </w:tbl>
    <w:p>
      <w:pPr>
        <w:spacing w:after="0" w:line="166" w:lineRule="exact"/>
        <w:rPr>
          <w:sz w:val="20"/>
          <w:szCs w:val="20"/>
          <w:color w:val="auto"/>
        </w:rPr>
      </w:pPr>
    </w:p>
    <w:p>
      <w:pPr>
        <w:ind w:right="3539" w:firstLine="170"/>
        <w:spacing w:after="0" w:line="247" w:lineRule="auto"/>
        <w:rPr>
          <w:sz w:val="20"/>
          <w:szCs w:val="20"/>
          <w:color w:val="auto"/>
        </w:rPr>
      </w:pPr>
      <w:r>
        <w:rPr>
          <w:rFonts w:ascii="Courier New" w:cs="Courier New" w:eastAsia="Courier New" w:hAnsi="Courier New"/>
          <w:sz w:val="14"/>
          <w:szCs w:val="14"/>
          <w:color w:val="auto"/>
        </w:rPr>
        <w:t>Assumes $100 invested on December 31, 1994 in Schlumberger Limited stock, in the S&amp;P 500 Index and in Value Line's 1999 Oilfield Services Industry Index. Reflects reinvestment of dividends on the last day of the month of payment, and reinvestment of the 1999 year-end distribution in connection with the spin-off of Sedco Forex, and annual reweighting of the Industry Peer Index portfolio.</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609"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Compensation Committee Report on Executive Compensation</w:t>
      </w:r>
    </w:p>
    <w:p>
      <w:pPr>
        <w:spacing w:after="0" w:line="168" w:lineRule="exact"/>
        <w:rPr>
          <w:sz w:val="20"/>
          <w:szCs w:val="20"/>
          <w:color w:val="auto"/>
        </w:rPr>
      </w:pPr>
    </w:p>
    <w:p>
      <w:pPr>
        <w:jc w:val="both"/>
        <w:ind w:right="3619" w:firstLine="170"/>
        <w:spacing w:after="0" w:line="247" w:lineRule="auto"/>
        <w:rPr>
          <w:sz w:val="20"/>
          <w:szCs w:val="20"/>
          <w:color w:val="auto"/>
        </w:rPr>
      </w:pPr>
      <w:r>
        <w:rPr>
          <w:rFonts w:ascii="Courier New" w:cs="Courier New" w:eastAsia="Courier New" w:hAnsi="Courier New"/>
          <w:sz w:val="14"/>
          <w:szCs w:val="14"/>
          <w:color w:val="auto"/>
        </w:rPr>
        <w:t>The Compensation Committee of the Board of Directors is comprised entirely of outside directors who review and approve compensation programs applicable to executive officers. Specific awards for these officers are approved by the committee.</w:t>
      </w:r>
    </w:p>
    <w:p>
      <w:pPr>
        <w:spacing w:after="0" w:line="162" w:lineRule="exact"/>
        <w:rPr>
          <w:sz w:val="20"/>
          <w:szCs w:val="20"/>
          <w:color w:val="auto"/>
        </w:rPr>
      </w:pPr>
    </w:p>
    <w:p>
      <w:pPr>
        <w:ind w:right="4139" w:firstLine="170"/>
        <w:spacing w:after="0" w:line="248" w:lineRule="auto"/>
        <w:rPr>
          <w:sz w:val="20"/>
          <w:szCs w:val="20"/>
          <w:color w:val="auto"/>
        </w:rPr>
      </w:pPr>
      <w:r>
        <w:rPr>
          <w:rFonts w:ascii="Courier New" w:cs="Courier New" w:eastAsia="Courier New" w:hAnsi="Courier New"/>
          <w:sz w:val="14"/>
          <w:szCs w:val="14"/>
          <w:color w:val="auto"/>
        </w:rPr>
        <w:t>Three programs continue to provide the core compensation vehicles for executive officers:</w:t>
      </w:r>
    </w:p>
    <w:p>
      <w:pPr>
        <w:spacing w:after="0" w:line="16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--Base Salaries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--Annual Cash Incentive Awards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--Stock Option Grants</w:t>
      </w:r>
    </w:p>
    <w:p>
      <w:pPr>
        <w:spacing w:after="0" w:line="168" w:lineRule="exact"/>
        <w:rPr>
          <w:sz w:val="20"/>
          <w:szCs w:val="20"/>
          <w:color w:val="auto"/>
        </w:rPr>
      </w:pPr>
    </w:p>
    <w:p>
      <w:pPr>
        <w:ind w:right="3539" w:firstLine="170"/>
        <w:spacing w:after="0" w:line="247" w:lineRule="auto"/>
        <w:rPr>
          <w:sz w:val="20"/>
          <w:szCs w:val="20"/>
          <w:color w:val="auto"/>
        </w:rPr>
      </w:pPr>
      <w:r>
        <w:rPr>
          <w:rFonts w:ascii="Courier New" w:cs="Courier New" w:eastAsia="Courier New" w:hAnsi="Courier New"/>
          <w:sz w:val="14"/>
          <w:szCs w:val="14"/>
          <w:color w:val="auto"/>
        </w:rPr>
        <w:t>For many years, Schlumberger has emphasized career opportunities by recruiting from colleges and universities in countries where Schlumberger works (more than 70 countries throughout the world), supporting mobility and maintaining competitive compensation programs which are based on an employee's contribution and potential rather than country of origin.</w:t>
      </w:r>
    </w:p>
    <w:p>
      <w:pPr>
        <w:spacing w:after="0" w:line="162" w:lineRule="exact"/>
        <w:rPr>
          <w:sz w:val="20"/>
          <w:szCs w:val="20"/>
          <w:color w:val="auto"/>
        </w:rPr>
      </w:pPr>
    </w:p>
    <w:p>
      <w:pPr>
        <w:ind w:right="3539" w:firstLine="170"/>
        <w:spacing w:after="0" w:line="247" w:lineRule="auto"/>
        <w:rPr>
          <w:sz w:val="20"/>
          <w:szCs w:val="20"/>
          <w:color w:val="auto"/>
        </w:rPr>
      </w:pPr>
      <w:r>
        <w:rPr>
          <w:rFonts w:ascii="Courier New" w:cs="Courier New" w:eastAsia="Courier New" w:hAnsi="Courier New"/>
          <w:sz w:val="14"/>
          <w:szCs w:val="14"/>
          <w:color w:val="auto"/>
        </w:rPr>
        <w:t>Thus, the three programs noted above are applicable not only to executive officers, but to thousands of managerial, professional and technical employees of Schlumberger. At all levels, employees enjoy competitive base salaries. Participation in an annual cash incentive program is added to the compensation package as employees advance, with the size of incentive opportunity increasing as one progresses in the organization.</w:t>
      </w:r>
    </w:p>
    <w:p>
      <w:pPr>
        <w:spacing w:after="0" w:line="162" w:lineRule="exact"/>
        <w:rPr>
          <w:sz w:val="20"/>
          <w:szCs w:val="20"/>
          <w:color w:val="auto"/>
        </w:rPr>
      </w:pPr>
    </w:p>
    <w:p>
      <w:pPr>
        <w:jc w:val="both"/>
        <w:ind w:right="3699" w:firstLine="170"/>
        <w:spacing w:after="0" w:line="247" w:lineRule="auto"/>
        <w:rPr>
          <w:sz w:val="20"/>
          <w:szCs w:val="20"/>
          <w:color w:val="auto"/>
        </w:rPr>
      </w:pPr>
      <w:r>
        <w:rPr>
          <w:rFonts w:ascii="Courier New" w:cs="Courier New" w:eastAsia="Courier New" w:hAnsi="Courier New"/>
          <w:sz w:val="14"/>
          <w:szCs w:val="14"/>
          <w:color w:val="auto"/>
        </w:rPr>
        <w:t>Within the first few years of employment, those with strong performance as well as outstanding potential may be awarded stock option grants, which are discretionary in nature.</w:t>
      </w:r>
    </w:p>
    <w:p>
      <w:pPr>
        <w:spacing w:after="0" w:line="163" w:lineRule="exact"/>
        <w:rPr>
          <w:sz w:val="20"/>
          <w:szCs w:val="20"/>
          <w:color w:val="auto"/>
        </w:rPr>
      </w:pPr>
    </w:p>
    <w:p>
      <w:pPr>
        <w:ind w:right="3799" w:firstLine="170"/>
        <w:spacing w:after="0" w:line="247" w:lineRule="auto"/>
        <w:rPr>
          <w:sz w:val="20"/>
          <w:szCs w:val="20"/>
          <w:color w:val="auto"/>
        </w:rPr>
      </w:pPr>
      <w:r>
        <w:rPr>
          <w:rFonts w:ascii="Courier New" w:cs="Courier New" w:eastAsia="Courier New" w:hAnsi="Courier New"/>
          <w:sz w:val="14"/>
          <w:szCs w:val="14"/>
          <w:color w:val="auto"/>
        </w:rPr>
        <w:t>In this way, an increasing portion of the successful employee's total compensation becomes leveraged against yearly results and Company long-term appreciation due to the expanding role played by cash incentives and stock options in the total compensation package.</w:t>
      </w:r>
    </w:p>
    <w:p>
      <w:pPr>
        <w:spacing w:after="0" w:line="162" w:lineRule="exact"/>
        <w:rPr>
          <w:sz w:val="20"/>
          <w:szCs w:val="20"/>
          <w:color w:val="auto"/>
        </w:rPr>
      </w:pPr>
    </w:p>
    <w:p>
      <w:pPr>
        <w:ind w:right="3539" w:firstLine="170"/>
        <w:spacing w:after="0" w:line="247" w:lineRule="auto"/>
        <w:rPr>
          <w:sz w:val="20"/>
          <w:szCs w:val="20"/>
          <w:color w:val="auto"/>
        </w:rPr>
      </w:pPr>
      <w:r>
        <w:rPr>
          <w:rFonts w:ascii="Courier New" w:cs="Courier New" w:eastAsia="Courier New" w:hAnsi="Courier New"/>
          <w:sz w:val="14"/>
          <w:szCs w:val="14"/>
          <w:color w:val="auto"/>
        </w:rPr>
        <w:t>The Company's subsidiaries also have profit sharing plans that provide annual deferred awards based on the results of the fiscal year for the subsidiary sponsoring the plan. These awards also tend to increase the portion of total compensation which is leveraged against business results.</w:t>
      </w:r>
    </w:p>
    <w:p>
      <w:pPr>
        <w:spacing w:after="0" w:line="162" w:lineRule="exact"/>
        <w:rPr>
          <w:sz w:val="20"/>
          <w:szCs w:val="20"/>
          <w:color w:val="auto"/>
        </w:rPr>
      </w:pPr>
    </w:p>
    <w:p>
      <w:pPr>
        <w:ind w:right="3619" w:firstLine="170"/>
        <w:spacing w:after="0" w:line="246" w:lineRule="auto"/>
        <w:rPr>
          <w:sz w:val="20"/>
          <w:szCs w:val="20"/>
          <w:color w:val="auto"/>
        </w:rPr>
      </w:pPr>
      <w:r>
        <w:rPr>
          <w:rFonts w:ascii="Courier New" w:cs="Courier New" w:eastAsia="Courier New" w:hAnsi="Courier New"/>
          <w:sz w:val="14"/>
          <w:szCs w:val="14"/>
          <w:color w:val="auto"/>
        </w:rPr>
        <w:t>Base salaries are reviewed annually for competitiveness against a database of comparator company information provided by outside compensation consultants. The companies in the database reflect those broad industry segments in which Schlumberger competes -- oil-related, high technology and high volume manufacturing. The companies in the database may change slightly from year to year due to mergers and acquisitions as well as the normal movement of companies into and out of the database at their own volition. The same companies used for executive officer base salary ranges are used for professional and managerial employees of Schlumberger throughout the world.</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609" w:right="1440" w:bottom="1440" w:gutter="0" w:footer="0" w:header="0"/>
        </w:sectPr>
      </w:pPr>
    </w:p>
    <w:bookmarkStart w:id="15" w:name="page16"/>
    <w:bookmarkEnd w:id="15"/>
    <w:p>
      <w:pPr>
        <w:ind w:right="3699" w:firstLine="170"/>
        <w:spacing w:after="0" w:line="247" w:lineRule="auto"/>
        <w:rPr>
          <w:sz w:val="20"/>
          <w:szCs w:val="20"/>
          <w:color w:val="auto"/>
        </w:rPr>
      </w:pPr>
      <w:r>
        <w:rPr>
          <w:rFonts w:ascii="Courier New" w:cs="Courier New" w:eastAsia="Courier New" w:hAnsi="Courier New"/>
          <w:sz w:val="14"/>
          <w:szCs w:val="14"/>
          <w:color w:val="auto"/>
        </w:rPr>
        <w:t>The comparator companies used for compensation purposes are different from those in the Corporate Performance Graph (the Value Line Oilfield Services Industry Group). The Value Line companies do not constitute a source of recruits nor do they reflect all the industry segments in which Schlumberger operates.</w:t>
      </w:r>
    </w:p>
    <w:p>
      <w:pPr>
        <w:spacing w:after="0" w:line="162" w:lineRule="exact"/>
        <w:rPr>
          <w:sz w:val="20"/>
          <w:szCs w:val="20"/>
          <w:color w:val="auto"/>
        </w:rPr>
      </w:pPr>
    </w:p>
    <w:p>
      <w:pPr>
        <w:ind w:right="3539" w:firstLine="170"/>
        <w:spacing w:after="0" w:line="247" w:lineRule="auto"/>
        <w:rPr>
          <w:sz w:val="20"/>
          <w:szCs w:val="20"/>
          <w:color w:val="auto"/>
        </w:rPr>
      </w:pPr>
      <w:r>
        <w:rPr>
          <w:rFonts w:ascii="Courier New" w:cs="Courier New" w:eastAsia="Courier New" w:hAnsi="Courier New"/>
          <w:sz w:val="14"/>
          <w:szCs w:val="14"/>
          <w:color w:val="auto"/>
        </w:rPr>
        <w:t>While executive officer base salary levels are studied annually, they are adjusted less frequently. Except for significant changes in responsibility, an executive officer's base salary may be increased only every three to five years and then by a significant amount. This has allowed the Company to focus primarily on variable compensation during periods of low inflation.</w:t>
      </w:r>
    </w:p>
    <w:p>
      <w:pPr>
        <w:spacing w:after="0" w:line="162" w:lineRule="exact"/>
        <w:rPr>
          <w:sz w:val="20"/>
          <w:szCs w:val="20"/>
          <w:color w:val="auto"/>
        </w:rPr>
      </w:pPr>
    </w:p>
    <w:p>
      <w:pPr>
        <w:ind w:right="3699" w:firstLine="170"/>
        <w:spacing w:after="0" w:line="247" w:lineRule="auto"/>
        <w:rPr>
          <w:sz w:val="20"/>
          <w:szCs w:val="20"/>
          <w:color w:val="auto"/>
        </w:rPr>
      </w:pPr>
      <w:r>
        <w:rPr>
          <w:rFonts w:ascii="Courier New" w:cs="Courier New" w:eastAsia="Courier New" w:hAnsi="Courier New"/>
          <w:sz w:val="14"/>
          <w:szCs w:val="14"/>
          <w:color w:val="auto"/>
        </w:rPr>
        <w:t>Consistent with this policy, Andrew Gould's salary was increased on his promotion to Executive Vice President with responsibility for the entire Oilfield Services group. One named executive officer was appointed in 1999, Jack Liu, to succeed Arthur Lindenauer as Executive Vice President, Finance.</w:t>
      </w:r>
    </w:p>
    <w:p>
      <w:pPr>
        <w:spacing w:after="0" w:line="162" w:lineRule="exact"/>
        <w:rPr>
          <w:sz w:val="20"/>
          <w:szCs w:val="20"/>
          <w:color w:val="auto"/>
        </w:rPr>
      </w:pPr>
    </w:p>
    <w:p>
      <w:pPr>
        <w:ind w:right="3539" w:firstLine="170"/>
        <w:spacing w:after="0" w:line="247" w:lineRule="auto"/>
        <w:rPr>
          <w:sz w:val="20"/>
          <w:szCs w:val="20"/>
          <w:color w:val="auto"/>
        </w:rPr>
      </w:pPr>
      <w:r>
        <w:rPr>
          <w:rFonts w:ascii="Courier New" w:cs="Courier New" w:eastAsia="Courier New" w:hAnsi="Courier New"/>
          <w:sz w:val="14"/>
          <w:szCs w:val="14"/>
          <w:color w:val="auto"/>
        </w:rPr>
        <w:t>Annual cash incentive awards for each executive officer are payable early in the calendar (fiscal) year and reflect performance against targets or objectives established early in the preceding year.</w:t>
      </w:r>
    </w:p>
    <w:p>
      <w:pPr>
        <w:spacing w:after="0" w:line="163" w:lineRule="exact"/>
        <w:rPr>
          <w:sz w:val="20"/>
          <w:szCs w:val="20"/>
          <w:color w:val="auto"/>
        </w:rPr>
      </w:pPr>
    </w:p>
    <w:p>
      <w:pPr>
        <w:ind w:right="3539" w:firstLine="170"/>
        <w:spacing w:after="0" w:line="247" w:lineRule="auto"/>
        <w:rPr>
          <w:sz w:val="20"/>
          <w:szCs w:val="20"/>
          <w:color w:val="auto"/>
        </w:rPr>
      </w:pPr>
      <w:r>
        <w:rPr>
          <w:rFonts w:ascii="Courier New" w:cs="Courier New" w:eastAsia="Courier New" w:hAnsi="Courier New"/>
          <w:sz w:val="14"/>
          <w:szCs w:val="14"/>
          <w:color w:val="auto"/>
        </w:rPr>
        <w:t>For all executive officers, incentive awards are calculated as a percent of the base salary paid for the completed calendar year. The percent varies among executive officer positions to reflect the differing levels of potential impact on Company results. For 1999, the incentive award ranges were:</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--0 to 100% for Mr. Baird</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--0 to 75% for Messrs. Grijalva, Gould and Pfister</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--0 to 60% for Mr. Liu</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With exceptional results, the incentive ranges can be exceeded.</w:t>
      </w:r>
    </w:p>
    <w:p>
      <w:pPr>
        <w:spacing w:after="0" w:line="168" w:lineRule="exact"/>
        <w:rPr>
          <w:sz w:val="20"/>
          <w:szCs w:val="20"/>
          <w:color w:val="auto"/>
        </w:rPr>
      </w:pPr>
    </w:p>
    <w:p>
      <w:pPr>
        <w:ind w:right="3539" w:firstLine="170"/>
        <w:spacing w:after="0" w:line="247" w:lineRule="auto"/>
        <w:rPr>
          <w:sz w:val="20"/>
          <w:szCs w:val="20"/>
          <w:color w:val="auto"/>
        </w:rPr>
      </w:pPr>
      <w:r>
        <w:rPr>
          <w:rFonts w:ascii="Courier New" w:cs="Courier New" w:eastAsia="Courier New" w:hAnsi="Courier New"/>
          <w:sz w:val="14"/>
          <w:szCs w:val="14"/>
          <w:color w:val="auto"/>
        </w:rPr>
        <w:t>One-half of the incentive potential for each executive officer is a function of performance against financial targets for the Company or the business sector for which the executive officer is responsible. In 1999, the Company objectives were divided between specific numerical targets and earnings; the business sector target is net income for that sector.</w:t>
      </w:r>
    </w:p>
    <w:p>
      <w:pPr>
        <w:spacing w:after="0" w:line="162" w:lineRule="exact"/>
        <w:rPr>
          <w:sz w:val="20"/>
          <w:szCs w:val="20"/>
          <w:color w:val="auto"/>
        </w:rPr>
      </w:pPr>
    </w:p>
    <w:p>
      <w:pPr>
        <w:ind w:right="3539" w:firstLine="170"/>
        <w:spacing w:after="0" w:line="247" w:lineRule="auto"/>
        <w:rPr>
          <w:sz w:val="20"/>
          <w:szCs w:val="20"/>
          <w:color w:val="auto"/>
        </w:rPr>
      </w:pPr>
      <w:r>
        <w:rPr>
          <w:rFonts w:ascii="Courier New" w:cs="Courier New" w:eastAsia="Courier New" w:hAnsi="Courier New"/>
          <w:sz w:val="14"/>
          <w:szCs w:val="14"/>
          <w:color w:val="auto"/>
        </w:rPr>
        <w:t>The second half of the incentive potential is a reflection of performance against various objectives of each executive officer. Objectives may be strategic or personal and may relate solely to the completed fiscal year or be interim measures against longer-term objectives. Achievement against objectives is determined subjectively.</w:t>
      </w:r>
    </w:p>
    <w:p>
      <w:pPr>
        <w:spacing w:after="0" w:line="162" w:lineRule="exact"/>
        <w:rPr>
          <w:sz w:val="20"/>
          <w:szCs w:val="20"/>
          <w:color w:val="auto"/>
        </w:rPr>
      </w:pPr>
    </w:p>
    <w:p>
      <w:pPr>
        <w:ind w:right="3539" w:firstLine="170"/>
        <w:spacing w:after="0" w:line="247" w:lineRule="auto"/>
        <w:rPr>
          <w:sz w:val="20"/>
          <w:szCs w:val="20"/>
          <w:color w:val="auto"/>
        </w:rPr>
      </w:pPr>
      <w:r>
        <w:rPr>
          <w:rFonts w:ascii="Courier New" w:cs="Courier New" w:eastAsia="Courier New" w:hAnsi="Courier New"/>
          <w:sz w:val="14"/>
          <w:szCs w:val="14"/>
          <w:color w:val="auto"/>
        </w:rPr>
        <w:t>The continued downturn in the oil business in 1999 affected the financial results and the incentive awards of three named executive officers (Messrs. Grijalva, Gould and Liu). Their total cash compensation for 1999 is at or below the median of available comparator market data. Mr. Pfister's incentive is based on financial results of Automated Test Equipment, Smart Cards and Terminals, and the sale of Retail Petroleum Systems, the results of which were finalized in 1999. Based on results, Mr. Pfister's total cash compensation is at the median of comparator market data.</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609" w:right="1440" w:bottom="1440" w:gutter="0" w:footer="0" w:header="0"/>
        </w:sectPr>
      </w:pPr>
    </w:p>
    <w:bookmarkStart w:id="16" w:name="page17"/>
    <w:bookmarkEnd w:id="16"/>
    <w:p>
      <w:pPr>
        <w:ind w:right="3619" w:firstLine="170"/>
        <w:spacing w:after="0" w:line="246" w:lineRule="auto"/>
        <w:rPr>
          <w:sz w:val="20"/>
          <w:szCs w:val="20"/>
          <w:color w:val="auto"/>
        </w:rPr>
      </w:pPr>
      <w:r>
        <w:rPr>
          <w:rFonts w:ascii="Courier New" w:cs="Courier New" w:eastAsia="Courier New" w:hAnsi="Courier New"/>
          <w:sz w:val="14"/>
          <w:szCs w:val="14"/>
          <w:color w:val="auto"/>
        </w:rPr>
        <w:t>Stock option grants were awarded in 1999 on a general basis throughout Schlumberger to professional, managerial and technical employees deemed eligible for consideration. Such reviews are conducted every 18 months to two years. Grants are awarded on an entirely discretionary basis to individuals demonstrating exceptional performance in their current positions as well as the likelihood of continuing high quality performance in the future. In addition, grants typically are awarded between general reviews to recognize promotions, substantial changes in responsibility, and significant individual or team achievements. The 1999 grants emphasized high potential employees early in their careers with Schlumberger.</w:t>
      </w:r>
    </w:p>
    <w:p>
      <w:pPr>
        <w:spacing w:after="0" w:line="168" w:lineRule="exact"/>
        <w:rPr>
          <w:sz w:val="20"/>
          <w:szCs w:val="20"/>
          <w:color w:val="auto"/>
        </w:rPr>
      </w:pPr>
    </w:p>
    <w:p>
      <w:pPr>
        <w:ind w:right="3539" w:firstLine="170"/>
        <w:spacing w:after="0" w:line="248" w:lineRule="auto"/>
        <w:rPr>
          <w:sz w:val="20"/>
          <w:szCs w:val="20"/>
          <w:color w:val="auto"/>
        </w:rPr>
      </w:pPr>
      <w:r>
        <w:rPr>
          <w:rFonts w:ascii="Courier New" w:cs="Courier New" w:eastAsia="Courier New" w:hAnsi="Courier New"/>
          <w:sz w:val="14"/>
          <w:szCs w:val="14"/>
          <w:color w:val="auto"/>
        </w:rPr>
        <w:t>Of the named executive officers, Messrs. Gould, Pfister and Liu were awarded stock option grants in 1999.</w:t>
      </w:r>
    </w:p>
    <w:p>
      <w:pPr>
        <w:spacing w:after="0" w:line="161" w:lineRule="exact"/>
        <w:rPr>
          <w:sz w:val="20"/>
          <w:szCs w:val="20"/>
          <w:color w:val="auto"/>
        </w:rPr>
      </w:pPr>
    </w:p>
    <w:p>
      <w:pPr>
        <w:ind w:right="3539" w:firstLine="170"/>
        <w:spacing w:after="0" w:line="247" w:lineRule="auto"/>
        <w:rPr>
          <w:sz w:val="20"/>
          <w:szCs w:val="20"/>
          <w:color w:val="auto"/>
        </w:rPr>
      </w:pPr>
      <w:r>
        <w:rPr>
          <w:rFonts w:ascii="Courier New" w:cs="Courier New" w:eastAsia="Courier New" w:hAnsi="Courier New"/>
          <w:sz w:val="14"/>
          <w:szCs w:val="14"/>
          <w:color w:val="auto"/>
        </w:rPr>
        <w:t>The stock option grants awarded by the Company are uniform in their terms for executive officers as well as all other optionees -- 10-year term, vesting in 20% steps at the first through fifth anniversary of grant date, and option price equal to fair market value on date of grant.</w:t>
      </w:r>
    </w:p>
    <w:p>
      <w:pPr>
        <w:spacing w:after="0" w:line="162" w:lineRule="exact"/>
        <w:rPr>
          <w:sz w:val="20"/>
          <w:szCs w:val="20"/>
          <w:color w:val="auto"/>
        </w:rPr>
      </w:pPr>
    </w:p>
    <w:p>
      <w:pPr>
        <w:ind w:right="3539" w:firstLine="170"/>
        <w:spacing w:after="0" w:line="246" w:lineRule="auto"/>
        <w:rPr>
          <w:sz w:val="20"/>
          <w:szCs w:val="20"/>
          <w:color w:val="auto"/>
        </w:rPr>
      </w:pPr>
      <w:r>
        <w:rPr>
          <w:rFonts w:ascii="Courier New" w:cs="Courier New" w:eastAsia="Courier New" w:hAnsi="Courier New"/>
          <w:sz w:val="14"/>
          <w:szCs w:val="14"/>
          <w:color w:val="auto"/>
        </w:rPr>
        <w:t>The Company does not utilize below-market options, stock appreciation rights, phantom stock, restricted stock, performance units or reload options. Section 162(m) of the Internal Revenue Code limits the deductibility of certain compensation expenses in excess of $1,000,000 per individual. The committee does not believe that the cash compensation payable in excess of this amount for fiscal year 1999 will result in any material loss of tax deduction. Therefore, the committee has elected not to follow the provisions of Section 162(m) with regard to cash compensation. The Company's stock option plans are believed to be in compliance with the provisions of Section 162(m).</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Bases for the Compensation of the Chief Executive Officer</w:t>
      </w:r>
    </w:p>
    <w:p>
      <w:pPr>
        <w:spacing w:after="0" w:line="168" w:lineRule="exact"/>
        <w:rPr>
          <w:sz w:val="20"/>
          <w:szCs w:val="20"/>
          <w:color w:val="auto"/>
        </w:rPr>
      </w:pPr>
    </w:p>
    <w:p>
      <w:pPr>
        <w:ind w:right="3619" w:firstLine="170"/>
        <w:spacing w:after="0" w:line="247" w:lineRule="auto"/>
        <w:rPr>
          <w:sz w:val="20"/>
          <w:szCs w:val="20"/>
          <w:color w:val="auto"/>
        </w:rPr>
      </w:pPr>
      <w:r>
        <w:rPr>
          <w:rFonts w:ascii="Courier New" w:cs="Courier New" w:eastAsia="Courier New" w:hAnsi="Courier New"/>
          <w:sz w:val="14"/>
          <w:szCs w:val="14"/>
          <w:color w:val="auto"/>
        </w:rPr>
        <w:t>The same database of companies used for comparison purposes to review base salaries of other executive officers (and managerial employees throughout the Schlumberger universe) is studied to consider the base salary of the Chief Executive Officer. The database reflects the industry segments in which the Company operates -- oil-related, high technology and high volume manufacturing.</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Chief Executive Officer's salary remained at $1,500,000 during 1999.</w:t>
      </w:r>
    </w:p>
    <w:p>
      <w:pPr>
        <w:spacing w:after="0" w:line="168" w:lineRule="exact"/>
        <w:rPr>
          <w:sz w:val="20"/>
          <w:szCs w:val="20"/>
          <w:color w:val="auto"/>
        </w:rPr>
      </w:pPr>
    </w:p>
    <w:p>
      <w:pPr>
        <w:ind w:right="3699" w:firstLine="170"/>
        <w:spacing w:after="0" w:line="247" w:lineRule="auto"/>
        <w:rPr>
          <w:sz w:val="20"/>
          <w:szCs w:val="20"/>
          <w:color w:val="auto"/>
        </w:rPr>
      </w:pPr>
      <w:r>
        <w:rPr>
          <w:rFonts w:ascii="Courier New" w:cs="Courier New" w:eastAsia="Courier New" w:hAnsi="Courier New"/>
          <w:sz w:val="14"/>
          <w:szCs w:val="14"/>
          <w:color w:val="auto"/>
        </w:rPr>
        <w:t>The potential cash incentive award for Mr. Baird for 1999 was 100% of base salary. As with other executive officers with corporate responsibility, one-half of this award potential was a measure of performance against specific financial targets for the Company. These financial targets were not fully achieved in 1999 so payment on this half of the incentive award is in proportion to the results.</w:t>
      </w:r>
    </w:p>
    <w:p>
      <w:pPr>
        <w:spacing w:after="0" w:line="162" w:lineRule="exact"/>
        <w:rPr>
          <w:sz w:val="20"/>
          <w:szCs w:val="20"/>
          <w:color w:val="auto"/>
        </w:rPr>
      </w:pPr>
    </w:p>
    <w:p>
      <w:pPr>
        <w:ind w:right="3699" w:firstLine="170"/>
        <w:spacing w:after="0" w:line="247" w:lineRule="auto"/>
        <w:rPr>
          <w:sz w:val="20"/>
          <w:szCs w:val="20"/>
          <w:color w:val="auto"/>
        </w:rPr>
      </w:pPr>
      <w:r>
        <w:rPr>
          <w:rFonts w:ascii="Courier New" w:cs="Courier New" w:eastAsia="Courier New" w:hAnsi="Courier New"/>
          <w:sz w:val="14"/>
          <w:szCs w:val="14"/>
          <w:color w:val="auto"/>
        </w:rPr>
        <w:t>The second half of the award potential reflects the committee's evaluation of Mr. Baird's performance against strategic objectives established early in 1999 for the calendar year. These objectives were a combination of market growth, acquisition, and organizational changes. Disclosure of specific measures applied to evaluate achievement of Mr. Baird's objectives could adversely affect the Company's competitive position.</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609" w:right="1440" w:bottom="1440" w:gutter="0" w:footer="0" w:header="0"/>
        </w:sectPr>
      </w:pPr>
    </w:p>
    <w:bookmarkStart w:id="17" w:name="page18"/>
    <w:bookmarkEnd w:id="17"/>
    <w:p>
      <w:pPr>
        <w:ind w:right="3619" w:firstLine="170"/>
        <w:spacing w:after="0" w:line="247" w:lineRule="auto"/>
        <w:rPr>
          <w:sz w:val="20"/>
          <w:szCs w:val="20"/>
          <w:color w:val="auto"/>
        </w:rPr>
      </w:pPr>
      <w:r>
        <w:rPr>
          <w:rFonts w:ascii="Courier New" w:cs="Courier New" w:eastAsia="Courier New" w:hAnsi="Courier New"/>
          <w:sz w:val="14"/>
          <w:szCs w:val="14"/>
          <w:color w:val="auto"/>
        </w:rPr>
        <w:t>The total cash incentive awarded Mr. Baird for 1999 performance was $1,000,000. In combination with base salary, this places him at the median of available comparator market data.</w:t>
      </w:r>
    </w:p>
    <w:p>
      <w:pPr>
        <w:spacing w:after="0" w:line="163"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4"/>
          <w:szCs w:val="14"/>
          <w:color w:val="auto"/>
        </w:rPr>
        <w:t>Mr. Baird has no employment agreement with the Company.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SUBMITTED BY THE COMPENSATION COMMITTEE OF THE SCHLUMBERGER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ectPr>
          <w:pgSz w:w="11900" w:h="16838" w:orient="portrait"/>
          <w:cols w:equalWidth="0" w:num="1">
            <w:col w:w="10159"/>
          </w:cols>
          <w:pgMar w:left="300" w:top="609" w:right="1440" w:bottom="1440" w:gutter="0" w:footer="0" w:header="0"/>
        </w:sectPr>
      </w:pPr>
    </w:p>
    <w:p>
      <w:pPr>
        <w:spacing w:after="0" w:line="168" w:lineRule="exact"/>
        <w:rPr>
          <w:sz w:val="20"/>
          <w:szCs w:val="20"/>
          <w:color w:val="auto"/>
        </w:rPr>
      </w:pPr>
    </w:p>
    <w:p>
      <w:pPr>
        <w:ind w:left="520" w:right="720"/>
        <w:spacing w:after="0" w:line="248" w:lineRule="auto"/>
        <w:rPr>
          <w:sz w:val="20"/>
          <w:szCs w:val="20"/>
          <w:color w:val="auto"/>
        </w:rPr>
      </w:pPr>
      <w:r>
        <w:rPr>
          <w:rFonts w:ascii="Courier New" w:cs="Courier New" w:eastAsia="Courier New" w:hAnsi="Courier New"/>
          <w:sz w:val="14"/>
          <w:szCs w:val="14"/>
          <w:color w:val="auto"/>
        </w:rPr>
        <w:t>Don E. Ackerman, Chairman Denys Henderson</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T. McCormick,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Nicolas Seydoux</w:t>
      </w:r>
    </w:p>
    <w:p>
      <w:pPr>
        <w:spacing w:after="0" w:line="167" w:lineRule="exact"/>
        <w:rPr>
          <w:sz w:val="20"/>
          <w:szCs w:val="20"/>
          <w:color w:val="auto"/>
        </w:rPr>
      </w:pPr>
    </w:p>
    <w:p>
      <w:pPr>
        <w:sectPr>
          <w:pgSz w:w="11900" w:h="16838" w:orient="portrait"/>
          <w:cols w:equalWidth="0" w:num="2">
            <w:col w:w="3360" w:space="720"/>
            <w:col w:w="6079"/>
          </w:cols>
          <w:pgMar w:left="300" w:top="609" w:right="1440" w:bottom="1440" w:gutter="0" w:footer="0" w:header="0"/>
          <w:type w:val="continuous"/>
        </w:sectPr>
      </w:pPr>
    </w:p>
    <w:p>
      <w:pPr>
        <w:ind w:left="3320"/>
        <w:spacing w:after="0"/>
        <w:rPr>
          <w:sz w:val="20"/>
          <w:szCs w:val="20"/>
          <w:color w:val="auto"/>
        </w:rPr>
      </w:pPr>
      <w:r>
        <w:rPr>
          <w:rFonts w:ascii="Courier New" w:cs="Courier New" w:eastAsia="Courier New" w:hAnsi="Courier New"/>
          <w:sz w:val="13"/>
          <w:szCs w:val="13"/>
          <w:color w:val="auto"/>
        </w:rPr>
        <w:t>15</w:t>
      </w:r>
    </w:p>
    <w:p>
      <w:pPr>
        <w:sectPr>
          <w:pgSz w:w="11900" w:h="16838" w:orient="portrait"/>
          <w:cols w:equalWidth="0" w:num="1">
            <w:col w:w="10159"/>
          </w:cols>
          <w:pgMar w:left="300" w:top="609" w:right="1440" w:bottom="1440" w:gutter="0" w:footer="0" w:header="0"/>
          <w:type w:val="continuous"/>
        </w:sectPr>
      </w:pPr>
    </w:p>
    <w:bookmarkStart w:id="18" w:name="page19"/>
    <w:bookmarkEnd w:id="18"/>
    <w:p>
      <w:pPr>
        <w:ind w:left="2380"/>
        <w:spacing w:after="0"/>
        <w:rPr>
          <w:sz w:val="20"/>
          <w:szCs w:val="20"/>
          <w:color w:val="auto"/>
        </w:rPr>
      </w:pPr>
      <w:r>
        <w:rPr>
          <w:rFonts w:ascii="Courier New" w:cs="Courier New" w:eastAsia="Courier New" w:hAnsi="Courier New"/>
          <w:sz w:val="14"/>
          <w:szCs w:val="14"/>
          <w:color w:val="auto"/>
        </w:rPr>
        <w:t>2. Financial Statements</w:t>
      </w:r>
    </w:p>
    <w:p>
      <w:pPr>
        <w:spacing w:after="0" w:line="168" w:lineRule="exact"/>
        <w:rPr>
          <w:sz w:val="20"/>
          <w:szCs w:val="20"/>
          <w:color w:val="auto"/>
        </w:rPr>
      </w:pPr>
    </w:p>
    <w:p>
      <w:pPr>
        <w:ind w:right="3539" w:firstLine="170"/>
        <w:spacing w:after="0" w:line="247" w:lineRule="auto"/>
        <w:rPr>
          <w:sz w:val="20"/>
          <w:szCs w:val="20"/>
          <w:color w:val="auto"/>
        </w:rPr>
      </w:pPr>
      <w:r>
        <w:rPr>
          <w:rFonts w:ascii="Courier New" w:cs="Courier New" w:eastAsia="Courier New" w:hAnsi="Courier New"/>
          <w:sz w:val="14"/>
          <w:szCs w:val="14"/>
          <w:color w:val="auto"/>
        </w:rPr>
        <w:t>The Company's Consolidated Balance Sheet as at December 31, 1999, its Consolidated Statement of Income for the year ended December 31, 1999, as audited by PricewaterhouseCoopers LLP, and the amount of dividends declared by the Board of Directors during 1999 are submitted to the stockholders pursuant to the Schlumberger Deed of Incorporation.</w:t>
      </w:r>
    </w:p>
    <w:p>
      <w:pPr>
        <w:spacing w:after="0" w:line="162" w:lineRule="exact"/>
        <w:rPr>
          <w:sz w:val="20"/>
          <w:szCs w:val="20"/>
          <w:color w:val="auto"/>
        </w:rPr>
      </w:pPr>
    </w:p>
    <w:p>
      <w:pPr>
        <w:ind w:right="3799" w:firstLine="170"/>
        <w:spacing w:after="0" w:line="247" w:lineRule="auto"/>
        <w:rPr>
          <w:sz w:val="20"/>
          <w:szCs w:val="20"/>
          <w:color w:val="auto"/>
        </w:rPr>
      </w:pPr>
      <w:r>
        <w:rPr>
          <w:rFonts w:ascii="Courier New" w:cs="Courier New" w:eastAsia="Courier New" w:hAnsi="Courier New"/>
          <w:sz w:val="14"/>
          <w:szCs w:val="14"/>
          <w:color w:val="auto"/>
        </w:rPr>
        <w:t>A majority of the votes cast is required for the adoption and approval of the financial results as set forth in the financial statements and of the declaration of dividends by the Board of Directors as reflected in the 1999 Annual Report to Stockholders.</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Board of Directors Recommends a Vote FOR Item 2.</w:t>
      </w:r>
    </w:p>
    <w:p>
      <w:pPr>
        <w:spacing w:after="0" w:line="16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3. Appointment of Auditors</w:t>
      </w:r>
    </w:p>
    <w:p>
      <w:pPr>
        <w:spacing w:after="0" w:line="168" w:lineRule="exact"/>
        <w:rPr>
          <w:sz w:val="20"/>
          <w:szCs w:val="20"/>
          <w:color w:val="auto"/>
        </w:rPr>
      </w:pPr>
    </w:p>
    <w:p>
      <w:pPr>
        <w:ind w:right="3619" w:firstLine="170"/>
        <w:spacing w:after="0" w:line="247" w:lineRule="auto"/>
        <w:rPr>
          <w:sz w:val="20"/>
          <w:szCs w:val="20"/>
          <w:color w:val="auto"/>
        </w:rPr>
      </w:pPr>
      <w:r>
        <w:rPr>
          <w:rFonts w:ascii="Courier New" w:cs="Courier New" w:eastAsia="Courier New" w:hAnsi="Courier New"/>
          <w:sz w:val="14"/>
          <w:szCs w:val="14"/>
          <w:color w:val="auto"/>
        </w:rPr>
        <w:t>PricewaterhouseCoopers LLP have been selected by the Board of Directors as independent public accountants to audit the accounts of the Company for the year 2000. The Schlumberger by-laws provide that the selection of auditors is subject to approval by the stockholders, and a majority of the votes cast is required for such approval. A representative of PricewaterhouseCoopers LLP will attend the 2000 Annual General Meeting and will have the opportunity to make a statement and respond to questions.</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Board of Directors Recommends a Vote FOR Item 3.</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609"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4"/>
          <w:szCs w:val="14"/>
          <w:color w:val="auto"/>
        </w:rPr>
        <w:t>Stockholder Proposals for 2001 Annual General Meeting</w:t>
      </w:r>
    </w:p>
    <w:p>
      <w:pPr>
        <w:spacing w:after="0" w:line="168" w:lineRule="exact"/>
        <w:rPr>
          <w:sz w:val="20"/>
          <w:szCs w:val="20"/>
          <w:color w:val="auto"/>
        </w:rPr>
      </w:pPr>
    </w:p>
    <w:p>
      <w:pPr>
        <w:ind w:right="3539" w:firstLine="170"/>
        <w:spacing w:after="0" w:line="247" w:lineRule="auto"/>
        <w:rPr>
          <w:sz w:val="20"/>
          <w:szCs w:val="20"/>
          <w:color w:val="auto"/>
        </w:rPr>
      </w:pPr>
      <w:r>
        <w:rPr>
          <w:rFonts w:ascii="Courier New" w:cs="Courier New" w:eastAsia="Courier New" w:hAnsi="Courier New"/>
          <w:sz w:val="14"/>
          <w:szCs w:val="14"/>
          <w:color w:val="auto"/>
        </w:rPr>
        <w:t>In order for a stockholder proposal to be considered for inclusion in the proxy statement for the 2001 Annual General Meeting of Stockholders, written proposals must be received by the Secretary of the Company, 277 Park Avenue, New York, New York 10172-0266, no later than November 8, 2000. Pursuant to the rules under the Securities Exchange Act of 1934, the Company may use discretionary authority to vote with respect to stockholder proposals presented in person at the 2001 Annual General Meeting if the stockholder making the proposal has not given notice to the Company by January 22, 2001.</w:t>
      </w:r>
    </w:p>
    <w:p>
      <w:pPr>
        <w:spacing w:after="0" w:line="162"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Other Matters</w:t>
      </w:r>
    </w:p>
    <w:p>
      <w:pPr>
        <w:spacing w:after="0" w:line="168" w:lineRule="exact"/>
        <w:rPr>
          <w:sz w:val="20"/>
          <w:szCs w:val="20"/>
          <w:color w:val="auto"/>
        </w:rPr>
      </w:pPr>
    </w:p>
    <w:p>
      <w:pPr>
        <w:ind w:right="3619" w:firstLine="170"/>
        <w:spacing w:after="0" w:line="247" w:lineRule="auto"/>
        <w:rPr>
          <w:sz w:val="20"/>
          <w:szCs w:val="20"/>
          <w:color w:val="auto"/>
        </w:rPr>
      </w:pPr>
      <w:r>
        <w:rPr>
          <w:rFonts w:ascii="Courier New" w:cs="Courier New" w:eastAsia="Courier New" w:hAnsi="Courier New"/>
          <w:sz w:val="14"/>
          <w:szCs w:val="14"/>
          <w:color w:val="auto"/>
        </w:rPr>
        <w:t>Stockholders may obtain a copy of Form 10-K filed with the United States Securities and Exchange Commission without charge by writing to the Secretary of the Company at 277 Park Avenue, New York, New York 10172-0266.</w:t>
      </w:r>
    </w:p>
    <w:p>
      <w:pPr>
        <w:spacing w:after="0" w:line="163" w:lineRule="exact"/>
        <w:rPr>
          <w:sz w:val="20"/>
          <w:szCs w:val="20"/>
          <w:color w:val="auto"/>
        </w:rPr>
      </w:pPr>
    </w:p>
    <w:p>
      <w:pPr>
        <w:ind w:right="3539" w:firstLine="170"/>
        <w:spacing w:after="0" w:line="247" w:lineRule="auto"/>
        <w:rPr>
          <w:sz w:val="20"/>
          <w:szCs w:val="20"/>
          <w:color w:val="auto"/>
        </w:rPr>
      </w:pPr>
      <w:r>
        <w:rPr>
          <w:rFonts w:ascii="Courier New" w:cs="Courier New" w:eastAsia="Courier New" w:hAnsi="Courier New"/>
          <w:sz w:val="14"/>
          <w:szCs w:val="14"/>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162" w:lineRule="exact"/>
        <w:rPr>
          <w:sz w:val="20"/>
          <w:szCs w:val="20"/>
          <w:color w:val="auto"/>
        </w:rPr>
      </w:pPr>
    </w:p>
    <w:p>
      <w:pPr>
        <w:ind w:right="4219" w:firstLine="170"/>
        <w:spacing w:after="0" w:line="248" w:lineRule="auto"/>
        <w:rPr>
          <w:sz w:val="20"/>
          <w:szCs w:val="20"/>
          <w:color w:val="auto"/>
        </w:rPr>
      </w:pPr>
      <w:r>
        <w:rPr>
          <w:rFonts w:ascii="Courier New" w:cs="Courier New" w:eastAsia="Courier New" w:hAnsi="Courier New"/>
          <w:sz w:val="14"/>
          <w:szCs w:val="14"/>
          <w:color w:val="auto"/>
        </w:rPr>
        <w:t>Please sign, date, and return the accompanying proxy in the enclosed envelope at your earliest convenience.</w:t>
      </w:r>
    </w:p>
    <w:p>
      <w:pPr>
        <w:spacing w:after="0" w:line="16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6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James L. Gunderson</w:t>
      </w:r>
    </w:p>
    <w:p>
      <w:pPr>
        <w:spacing w:after="0" w:line="4" w:lineRule="exact"/>
        <w:rPr>
          <w:sz w:val="20"/>
          <w:szCs w:val="20"/>
          <w:color w:val="auto"/>
        </w:rPr>
      </w:pPr>
    </w:p>
    <w:p>
      <w:pPr>
        <w:ind w:left="4760"/>
        <w:spacing w:after="0"/>
        <w:rPr>
          <w:sz w:val="20"/>
          <w:szCs w:val="20"/>
          <w:color w:val="auto"/>
        </w:rPr>
      </w:pPr>
      <w:r>
        <w:rPr>
          <w:rFonts w:ascii="Courier New" w:cs="Courier New" w:eastAsia="Courier New" w:hAnsi="Courier New"/>
          <w:sz w:val="14"/>
          <w:szCs w:val="14"/>
          <w:color w:val="auto"/>
        </w:rPr>
        <w:t>Secretary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8, 2000</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609"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[LOGO OF SCHLUMBERGER]</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GENERAL MEETING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STOCKHOLDERS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 STATEMENT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12, 2000</w:t>
      </w:r>
    </w:p>
    <w:p>
      <w:pPr>
        <w:spacing w:after="0" w:line="200" w:lineRule="exact"/>
        <w:rPr>
          <w:sz w:val="20"/>
          <w:szCs w:val="20"/>
          <w:color w:val="auto"/>
        </w:rPr>
      </w:pPr>
    </w:p>
    <w:p>
      <w:pPr>
        <w:spacing w:after="0" w:line="29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Please sign your proxy card and</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return it in the enclosed</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envelope so that you may be</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represented at the Meeting.</w:t>
      </w:r>
    </w:p>
    <w:p>
      <w:pPr>
        <w:spacing w:after="0" w:line="168"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09" w:right="1440" w:bottom="1440" w:gutter="0" w:footer="0" w:header="0"/>
        </w:sectPr>
      </w:pPr>
    </w:p>
    <w:bookmarkStart w:id="21" w:name="page22"/>
    <w:bookmarkEnd w:id="21"/>
    <w:p>
      <w:pPr>
        <w:ind w:left="1620"/>
        <w:spacing w:after="0"/>
        <w:rPr>
          <w:sz w:val="20"/>
          <w:szCs w:val="20"/>
          <w:color w:val="auto"/>
        </w:rPr>
      </w:pPr>
      <w:r>
        <w:rPr>
          <w:rFonts w:ascii="Courier New" w:cs="Courier New" w:eastAsia="Courier New" w:hAnsi="Courier New"/>
          <w:sz w:val="14"/>
          <w:szCs w:val="14"/>
          <w:color w:val="auto"/>
        </w:rPr>
        <w:t>Schlumberger Limited (Schlumberger N.V.)</w:t>
      </w:r>
    </w:p>
    <w:p>
      <w:pPr>
        <w:spacing w:after="0" w:line="331"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Proxy Solicitation on Behalf of the Board of Directors</w:t>
      </w:r>
    </w:p>
    <w:p>
      <w:pPr>
        <w:spacing w:after="0" w:line="168"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Annual General Meeting of Stockholders</w:t>
      </w:r>
    </w:p>
    <w:p>
      <w:pPr>
        <w:spacing w:after="0" w:line="331" w:lineRule="exact"/>
        <w:rPr>
          <w:sz w:val="20"/>
          <w:szCs w:val="20"/>
          <w:color w:val="auto"/>
        </w:rPr>
      </w:pPr>
    </w:p>
    <w:p>
      <w:pPr>
        <w:ind w:left="860" w:hanging="853"/>
        <w:spacing w:after="0"/>
        <w:tabs>
          <w:tab w:leader="none" w:pos="8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having received the Notice and Proxy Statement for</w:t>
      </w:r>
    </w:p>
    <w:p>
      <w:pPr>
        <w:spacing w:after="0" w:line="4" w:lineRule="exact"/>
        <w:rPr>
          <w:sz w:val="20"/>
          <w:szCs w:val="20"/>
          <w:color w:val="auto"/>
        </w:rPr>
      </w:pPr>
    </w:p>
    <w:p>
      <w:pPr>
        <w:ind w:left="440" w:right="3359"/>
        <w:spacing w:after="0" w:line="246" w:lineRule="auto"/>
        <w:rPr>
          <w:sz w:val="20"/>
          <w:szCs w:val="20"/>
          <w:color w:val="auto"/>
        </w:rPr>
      </w:pPr>
      <w:r>
        <w:rPr>
          <w:rFonts w:ascii="Courier New" w:cs="Courier New" w:eastAsia="Courier New" w:hAnsi="Courier New"/>
          <w:sz w:val="14"/>
          <w:szCs w:val="14"/>
          <w:color w:val="auto"/>
        </w:rPr>
        <w:t>the Annual General Meeting of Stockholders and the 1999 Annual Report to Stockholders, hereby appoints A.L.A. Bosnie, Aede Gerbranda, Jan A. Koning, and M.P. Weber-Dommisse and each of them, proxies, with power of</w:t>
      </w:r>
    </w:p>
    <w:p>
      <w:pPr>
        <w:spacing w:after="0" w:line="2" w:lineRule="exact"/>
        <w:rPr>
          <w:sz w:val="20"/>
          <w:szCs w:val="20"/>
          <w:color w:val="auto"/>
        </w:rPr>
      </w:pPr>
    </w:p>
    <w:p>
      <w:pPr>
        <w:ind w:left="440" w:right="3459" w:hanging="433"/>
        <w:spacing w:after="0" w:line="246"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substitution, to vote in the manner indicated on the reverse side hereof, and with discretionary authority as to any other matters that may properly</w:t>
      </w:r>
    </w:p>
    <w:p>
      <w:pPr>
        <w:spacing w:after="0" w:line="1" w:lineRule="exact"/>
        <w:rPr>
          <w:sz w:val="20"/>
          <w:szCs w:val="20"/>
          <w:color w:val="auto"/>
        </w:rPr>
      </w:pPr>
    </w:p>
    <w:p>
      <w:pPr>
        <w:ind w:left="440" w:right="3539"/>
        <w:spacing w:after="0" w:line="246" w:lineRule="auto"/>
        <w:rPr>
          <w:sz w:val="20"/>
          <w:szCs w:val="20"/>
          <w:color w:val="auto"/>
        </w:rPr>
      </w:pPr>
      <w:r>
        <w:rPr>
          <w:rFonts w:ascii="Courier New" w:cs="Courier New" w:eastAsia="Courier New" w:hAnsi="Courier New"/>
          <w:sz w:val="14"/>
          <w:szCs w:val="14"/>
          <w:color w:val="auto"/>
        </w:rPr>
        <w:t>come before the meeting, all my (our) shares of record of Schlumberger Limited (Schlumberger N.V.) at the Annual General Meeting of Stockholders</w:t>
      </w:r>
    </w:p>
    <w:p>
      <w:pPr>
        <w:spacing w:after="0" w:line="1" w:lineRule="exact"/>
        <w:rPr>
          <w:sz w:val="20"/>
          <w:szCs w:val="20"/>
          <w:color w:val="auto"/>
        </w:rPr>
      </w:pPr>
    </w:p>
    <w:p>
      <w:pPr>
        <w:ind w:left="440" w:hanging="433"/>
        <w:spacing w:after="0"/>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be held at the Avila Beach Hotel, Penstraat 130, Willemstad, Curacao,</w:t>
      </w:r>
    </w:p>
    <w:p>
      <w:pPr>
        <w:spacing w:after="0" w:line="4" w:lineRule="exact"/>
        <w:rPr>
          <w:sz w:val="20"/>
          <w:szCs w:val="20"/>
          <w:color w:val="auto"/>
        </w:rPr>
      </w:pPr>
    </w:p>
    <w:p>
      <w:pPr>
        <w:ind w:left="440" w:right="4219"/>
        <w:spacing w:after="0" w:line="246" w:lineRule="auto"/>
        <w:rPr>
          <w:sz w:val="20"/>
          <w:szCs w:val="20"/>
          <w:color w:val="auto"/>
        </w:rPr>
      </w:pPr>
      <w:r>
        <w:rPr>
          <w:rFonts w:ascii="Courier New" w:cs="Courier New" w:eastAsia="Courier New" w:hAnsi="Courier New"/>
          <w:sz w:val="14"/>
          <w:szCs w:val="14"/>
          <w:color w:val="auto"/>
        </w:rPr>
        <w:t>Netherlands Antilles on April 12, 2000, and at any adjournment or adjournments thereof.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no other indication is made, the proxies will vote FOR the election of</w:t>
      </w:r>
    </w:p>
    <w:p>
      <w:pPr>
        <w:spacing w:after="0" w:line="4" w:lineRule="exact"/>
        <w:rPr>
          <w:sz w:val="20"/>
          <w:szCs w:val="20"/>
          <w:color w:val="auto"/>
        </w:rPr>
      </w:pPr>
    </w:p>
    <w:p>
      <w:pPr>
        <w:ind w:left="440" w:hanging="433"/>
        <w:spacing w:after="0"/>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director nominees and FOR Proposals 2 and 3.</w:t>
      </w:r>
    </w:p>
    <w:p>
      <w:pPr>
        <w:sectPr>
          <w:pgSz w:w="11900" w:h="16838" w:orient="portrait"/>
          <w:cols w:equalWidth="0" w:num="1">
            <w:col w:w="10159"/>
          </w:cols>
          <w:pgMar w:left="300" w:top="609" w:right="1440" w:bottom="1440" w:gutter="0" w:footer="0" w:header="0"/>
        </w:sect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SEE REVERSE</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SIDE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Continued and to be signed on reverse side</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REVERSE</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SIDE</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3">
            <w:col w:w="1280" w:space="160"/>
            <w:col w:w="3580" w:space="420"/>
            <w:col w:w="4719"/>
          </w:cols>
          <w:pgMar w:left="300" w:top="609" w:right="1440" w:bottom="1440" w:gutter="0" w:footer="0" w:header="0"/>
          <w:type w:val="continuous"/>
        </w:sectPr>
      </w:pPr>
    </w:p>
    <w:bookmarkStart w:id="22" w:name="page23"/>
    <w:bookmarkEnd w:id="22"/>
    <w:p>
      <w:pPr>
        <w:ind w:left="340" w:right="9160" w:hanging="333"/>
        <w:spacing w:after="0" w:line="247" w:lineRule="auto"/>
        <w:tabs>
          <w:tab w:leader="none" w:pos="3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Please mark votes as in this example.</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Unless you indicate otherwise, this proxy will be voted in accordance with the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Board of Directors' recommendations.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Directors recommend a vote FOR items 1, 2 and 3.</w:t>
      </w:r>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 Election of 12 Directors</w:t>
      </w:r>
    </w:p>
    <w:p>
      <w:pPr>
        <w:sectPr>
          <w:pgSz w:w="11900" w:h="16838" w:orient="portrait"/>
          <w:cols w:equalWidth="0" w:num="1">
            <w:col w:w="10600"/>
          </w:cols>
          <w:pgMar w:left="300" w:top="609" w:right="999" w:bottom="1440" w:gutter="0" w:footer="0" w:header="0"/>
        </w:sectPr>
      </w:pP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Nominees: D.E. Ackerman, D.E. Baird,</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 Deutch, V.E. Grijalva, D. Henderson,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FOR</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 Adoption and approval of Financials [_]</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AGAINST</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jc w:val="center"/>
        <w:ind w:right="580"/>
        <w:spacing w:after="0"/>
        <w:rPr>
          <w:sz w:val="20"/>
          <w:szCs w:val="20"/>
          <w:color w:val="auto"/>
        </w:rPr>
      </w:pPr>
      <w:r>
        <w:rPr>
          <w:rFonts w:ascii="Courier New" w:cs="Courier New" w:eastAsia="Courier New" w:hAnsi="Courier New"/>
          <w:sz w:val="14"/>
          <w:szCs w:val="14"/>
          <w:color w:val="auto"/>
        </w:rPr>
        <w:t>ABSTAIN</w:t>
      </w:r>
    </w:p>
    <w:p>
      <w:pPr>
        <w:spacing w:after="0" w:line="4" w:lineRule="exact"/>
        <w:rPr>
          <w:sz w:val="20"/>
          <w:szCs w:val="20"/>
          <w:color w:val="auto"/>
        </w:rPr>
      </w:pPr>
    </w:p>
    <w:p>
      <w:pPr>
        <w:jc w:val="center"/>
        <w:ind w:right="580"/>
        <w:spacing w:after="0"/>
        <w:rPr>
          <w:sz w:val="20"/>
          <w:szCs w:val="20"/>
          <w:color w:val="auto"/>
        </w:rPr>
      </w:pPr>
      <w:r>
        <w:rPr>
          <w:rFonts w:ascii="Courier New" w:cs="Courier New" w:eastAsia="Courier New" w:hAnsi="Courier New"/>
          <w:sz w:val="14"/>
          <w:szCs w:val="14"/>
          <w:color w:val="auto"/>
        </w:rPr>
        <w:t>[_]</w:t>
      </w:r>
    </w:p>
    <w:p>
      <w:pPr>
        <w:spacing w:after="0" w:line="4" w:lineRule="exact"/>
        <w:rPr>
          <w:sz w:val="20"/>
          <w:szCs w:val="20"/>
          <w:color w:val="auto"/>
        </w:rPr>
      </w:pPr>
    </w:p>
    <w:p>
      <w:pPr>
        <w:sectPr>
          <w:pgSz w:w="11900" w:h="16838" w:orient="portrait"/>
          <w:cols w:equalWidth="0" w:num="4">
            <w:col w:w="4120" w:space="720"/>
            <w:col w:w="3560" w:space="260"/>
            <w:col w:w="600" w:space="160"/>
            <w:col w:w="1180"/>
          </w:cols>
          <w:pgMar w:left="300" w:top="609" w:right="999"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A. Levy-Lang, W.T. McCormick,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and Dividends</w:t>
      </w:r>
    </w:p>
    <w:p>
      <w:pPr>
        <w:spacing w:after="0" w:line="4" w:lineRule="exact"/>
        <w:rPr>
          <w:sz w:val="20"/>
          <w:szCs w:val="20"/>
          <w:color w:val="auto"/>
        </w:rPr>
      </w:pPr>
    </w:p>
    <w:p>
      <w:pPr>
        <w:sectPr>
          <w:pgSz w:w="11900" w:h="16838" w:orient="portrait"/>
          <w:cols w:equalWidth="0" w:num="2">
            <w:col w:w="4380" w:space="720"/>
            <w:col w:w="5500"/>
          </w:cols>
          <w:pgMar w:left="300" w:top="609" w:right="999"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D. Primat, N. Seydoux, L.G. Stuntz,</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 Ullring, Y. Wakumoto</w:t>
      </w:r>
    </w:p>
    <w:p>
      <w:pPr>
        <w:sectPr>
          <w:pgSz w:w="11900" w:h="16838" w:orient="portrait"/>
          <w:cols w:equalWidth="0" w:num="1">
            <w:col w:w="10600"/>
          </w:cols>
          <w:pgMar w:left="300" w:top="609" w:right="999" w:bottom="1440" w:gutter="0" w:footer="0" w:header="0"/>
          <w:type w:val="continuous"/>
        </w:sectPr>
      </w:pPr>
    </w:p>
    <w:p>
      <w:pPr>
        <w:spacing w:after="0" w:line="168" w:lineRule="exact"/>
        <w:rPr>
          <w:sz w:val="20"/>
          <w:szCs w:val="20"/>
          <w:color w:val="auto"/>
        </w:rPr>
      </w:pPr>
    </w:p>
    <w:p>
      <w:pPr>
        <w:ind w:left="600" w:right="640" w:firstLine="254"/>
        <w:spacing w:after="0" w:line="247" w:lineRule="auto"/>
        <w:rPr>
          <w:sz w:val="20"/>
          <w:szCs w:val="20"/>
          <w:color w:val="auto"/>
        </w:rPr>
      </w:pPr>
      <w:r>
        <w:rPr>
          <w:rFonts w:ascii="Courier New" w:cs="Courier New" w:eastAsia="Courier New" w:hAnsi="Courier New"/>
          <w:sz w:val="14"/>
          <w:szCs w:val="14"/>
          <w:color w:val="auto"/>
        </w:rPr>
        <w:t>FOR WITHHELD ALL [_] [_] FROM ALL NOMINEES NOMINEES For, except vote withheld from the following nominees(s):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620"/>
        <w:spacing w:after="0"/>
        <w:rPr>
          <w:sz w:val="20"/>
          <w:szCs w:val="20"/>
          <w:color w:val="auto"/>
        </w:rPr>
      </w:pPr>
      <w:r>
        <w:rPr>
          <w:rFonts w:ascii="Courier New" w:cs="Courier New" w:eastAsia="Courier New" w:hAnsi="Courier New"/>
          <w:sz w:val="14"/>
          <w:szCs w:val="14"/>
          <w:color w:val="auto"/>
        </w:rPr>
        <w:t>3. Approval of Auditors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694" w:lineRule="exact"/>
        <w:rPr>
          <w:sz w:val="20"/>
          <w:szCs w:val="20"/>
          <w:color w:val="auto"/>
        </w:rPr>
      </w:pPr>
    </w:p>
    <w:p>
      <w:pPr>
        <w:sectPr>
          <w:pgSz w:w="11900" w:h="16838" w:orient="portrait"/>
          <w:cols w:equalWidth="0" w:num="5">
            <w:col w:w="4120" w:space="720"/>
            <w:col w:w="2580" w:space="720"/>
            <w:col w:w="260" w:space="420"/>
            <w:col w:w="260" w:space="500"/>
            <w:col w:w="1020"/>
          </w:cols>
          <w:pgMar w:left="300" w:top="609" w:right="999" w:bottom="1440" w:gutter="0" w:footer="0" w:header="0"/>
          <w:type w:val="continuous"/>
        </w:sectPr>
      </w:pPr>
    </w:p>
    <w:p>
      <w:pPr>
        <w:spacing w:after="0" w:line="12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[_] ___________________________________</w:t>
      </w:r>
    </w:p>
    <w:p>
      <w:pPr>
        <w:sectPr>
          <w:pgSz w:w="11900" w:h="16838" w:orient="portrait"/>
          <w:cols w:equalWidth="0" w:num="1">
            <w:col w:w="10600"/>
          </w:cols>
          <w:pgMar w:left="300" w:top="609" w:right="999"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MARK HERE FOR ADDRESS CHANGE AND NOTE AT LEFT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200" w:lineRule="exact"/>
        <w:rPr>
          <w:sz w:val="20"/>
          <w:szCs w:val="20"/>
          <w:color w:val="auto"/>
        </w:rPr>
      </w:pPr>
    </w:p>
    <w:p>
      <w:pPr>
        <w:sectPr>
          <w:pgSz w:w="11900" w:h="16838" w:orient="portrait"/>
          <w:cols w:equalWidth="0" w:num="2">
            <w:col w:w="8660" w:space="160"/>
            <w:col w:w="1780"/>
          </w:cols>
          <w:pgMar w:left="300" w:top="609" w:right="999" w:bottom="1440" w:gutter="0" w:footer="0" w:header="0"/>
          <w:type w:val="continuous"/>
        </w:sectPr>
      </w:pPr>
    </w:p>
    <w:p>
      <w:pPr>
        <w:spacing w:after="0" w:line="294" w:lineRule="exact"/>
        <w:rPr>
          <w:sz w:val="20"/>
          <w:szCs w:val="20"/>
          <w:color w:val="auto"/>
        </w:rPr>
      </w:pPr>
    </w:p>
    <w:p>
      <w:pPr>
        <w:jc w:val="both"/>
        <w:ind w:left="4840"/>
        <w:spacing w:after="0" w:line="247" w:lineRule="auto"/>
        <w:rPr>
          <w:sz w:val="20"/>
          <w:szCs w:val="20"/>
          <w:color w:val="auto"/>
        </w:rPr>
      </w:pPr>
      <w:r>
        <w:rPr>
          <w:rFonts w:ascii="Courier New" w:cs="Courier New" w:eastAsia="Courier New" w:hAnsi="Courier New"/>
          <w:sz w:val="14"/>
          <w:szCs w:val="14"/>
          <w:color w:val="auto"/>
        </w:rPr>
        <w:t>Please sign names exactly as printed hereon. If signing as attorney, administrator, executor, guardian or trustee, please give full title as such. Please sign, date and return in the enclosed envelope.</w:t>
      </w:r>
    </w:p>
    <w:p>
      <w:pPr>
        <w:spacing w:after="0" w:line="326" w:lineRule="exact"/>
        <w:rPr>
          <w:sz w:val="20"/>
          <w:szCs w:val="20"/>
          <w:color w:val="auto"/>
        </w:rPr>
      </w:pPr>
    </w:p>
    <w:p>
      <w:pPr>
        <w:spacing w:after="0"/>
        <w:tabs>
          <w:tab w:leader="none" w:pos="2700" w:val="left"/>
          <w:tab w:leader="none" w:pos="4400" w:val="left"/>
          <w:tab w:leader="none" w:pos="7440" w:val="left"/>
        </w:tabs>
        <w:rPr>
          <w:sz w:val="20"/>
          <w:szCs w:val="20"/>
          <w:color w:val="auto"/>
        </w:rPr>
      </w:pPr>
      <w:r>
        <w:rPr>
          <w:rFonts w:ascii="Courier New" w:cs="Courier New" w:eastAsia="Courier New" w:hAnsi="Courier New"/>
          <w:sz w:val="14"/>
          <w:szCs w:val="14"/>
          <w:color w:val="auto"/>
        </w:rPr>
        <w:t>Signature:____________________</w:t>
        <w:tab/>
        <w:t>Date:_________</w:t>
      </w:r>
      <w:r>
        <w:rPr>
          <w:sz w:val="20"/>
          <w:szCs w:val="20"/>
          <w:color w:val="auto"/>
        </w:rPr>
        <w:tab/>
      </w:r>
      <w:r>
        <w:rPr>
          <w:rFonts w:ascii="Courier New" w:cs="Courier New" w:eastAsia="Courier New" w:hAnsi="Courier New"/>
          <w:sz w:val="14"/>
          <w:szCs w:val="14"/>
          <w:color w:val="auto"/>
        </w:rPr>
        <w:t>Signature:________________________</w:t>
        <w:tab/>
        <w:t>Date:_____________</w:t>
      </w:r>
    </w:p>
    <w:p>
      <w:pPr>
        <w:sectPr>
          <w:pgSz w:w="11900" w:h="16838" w:orient="portrait"/>
          <w:cols w:equalWidth="0" w:num="1">
            <w:col w:w="10600"/>
          </w:cols>
          <w:pgMar w:left="300" w:top="609" w:right="999" w:bottom="1440" w:gutter="0" w:footer="0" w:header="0"/>
          <w:type w:val="continuous"/>
        </w:sectPr>
      </w:pPr>
    </w:p>
    <w:bookmarkStart w:id="23" w:name="page24"/>
    <w:bookmarkEnd w:id="23"/>
    <w:p>
      <w:pPr>
        <w:ind w:left="2040"/>
        <w:spacing w:after="0"/>
        <w:rPr>
          <w:sz w:val="20"/>
          <w:szCs w:val="20"/>
          <w:color w:val="auto"/>
        </w:rPr>
      </w:pPr>
      <w:r>
        <w:rPr>
          <w:rFonts w:ascii="Courier New" w:cs="Courier New" w:eastAsia="Courier New" w:hAnsi="Courier New"/>
          <w:sz w:val="14"/>
          <w:szCs w:val="14"/>
          <w:color w:val="auto"/>
        </w:rPr>
        <w:t>CONSOLIDATED STATEMENT OF INCOME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(Stated in thousands except per share amounts)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66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2500" w:type="dxa"/>
            <w:vAlign w:val="bottom"/>
          </w:tcPr>
          <w:p>
            <w:pPr>
              <w:spacing w:after="0"/>
              <w:rPr>
                <w:sz w:val="13"/>
                <w:szCs w:val="13"/>
                <w:color w:val="auto"/>
              </w:rPr>
            </w:pPr>
          </w:p>
        </w:tc>
        <w:tc>
          <w:tcPr>
            <w:tcW w:w="136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1999</w:t>
            </w:r>
          </w:p>
        </w:tc>
        <w:tc>
          <w:tcPr>
            <w:tcW w:w="720" w:type="dxa"/>
            <w:vAlign w:val="bottom"/>
          </w:tcPr>
          <w:p>
            <w:pPr>
              <w:spacing w:after="0"/>
              <w:rPr>
                <w:sz w:val="13"/>
                <w:szCs w:val="13"/>
                <w:color w:val="auto"/>
              </w:rPr>
            </w:pPr>
          </w:p>
        </w:tc>
        <w:tc>
          <w:tcPr>
            <w:tcW w:w="1340" w:type="dxa"/>
            <w:vAlign w:val="bottom"/>
          </w:tcPr>
          <w:p>
            <w:pPr>
              <w:jc w:val="right"/>
              <w:ind w:right="589"/>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spacing w:after="0"/>
              <w:rPr>
                <w:sz w:val="13"/>
                <w:szCs w:val="13"/>
                <w:color w:val="auto"/>
              </w:rPr>
            </w:pPr>
          </w:p>
        </w:tc>
        <w:tc>
          <w:tcPr>
            <w:tcW w:w="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1997</w:t>
            </w:r>
          </w:p>
        </w:tc>
      </w:tr>
      <w:tr>
        <w:trPr>
          <w:trHeight w:val="326"/>
        </w:trPr>
        <w:tc>
          <w:tcPr>
            <w:tcW w:w="3660" w:type="dxa"/>
            <w:vAlign w:val="bottom"/>
          </w:tcPr>
          <w:p>
            <w:pPr>
              <w:spacing w:after="0"/>
              <w:rPr>
                <w:sz w:val="24"/>
                <w:szCs w:val="24"/>
                <w:color w:val="auto"/>
              </w:rPr>
            </w:pPr>
          </w:p>
        </w:tc>
        <w:tc>
          <w:tcPr>
            <w:tcW w:w="386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2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3"/>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Operating</w:t>
            </w:r>
          </w:p>
        </w:tc>
        <w:tc>
          <w:tcPr>
            <w:tcW w:w="386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$ 8,394,947</w:t>
            </w:r>
          </w:p>
        </w:tc>
        <w:tc>
          <w:tcPr>
            <w:tcW w:w="206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$10,725,030</w:t>
            </w:r>
          </w:p>
        </w:tc>
        <w:tc>
          <w:tcPr>
            <w:tcW w:w="1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$10,652,097</w:t>
            </w:r>
          </w:p>
        </w:tc>
      </w:tr>
      <w:tr>
        <w:trPr>
          <w:trHeight w:val="163"/>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Interest and other income</w:t>
            </w:r>
          </w:p>
        </w:tc>
        <w:tc>
          <w:tcPr>
            <w:tcW w:w="2500" w:type="dxa"/>
            <w:vAlign w:val="bottom"/>
          </w:tcPr>
          <w:p>
            <w:pPr>
              <w:spacing w:after="0"/>
              <w:rPr>
                <w:sz w:val="14"/>
                <w:szCs w:val="14"/>
                <w:color w:val="auto"/>
              </w:rPr>
            </w:pP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356,758</w:t>
            </w:r>
          </w:p>
        </w:tc>
        <w:tc>
          <w:tcPr>
            <w:tcW w:w="720" w:type="dxa"/>
            <w:vAlign w:val="bottom"/>
          </w:tcPr>
          <w:p>
            <w:pPr>
              <w:spacing w:after="0"/>
              <w:rPr>
                <w:sz w:val="14"/>
                <w:szCs w:val="14"/>
                <w:color w:val="auto"/>
              </w:rPr>
            </w:pPr>
          </w:p>
        </w:tc>
        <w:tc>
          <w:tcPr>
            <w:tcW w:w="13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173,006</w:t>
            </w:r>
          </w:p>
        </w:tc>
        <w:tc>
          <w:tcPr>
            <w:tcW w:w="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103,092</w:t>
            </w:r>
          </w:p>
        </w:tc>
      </w:tr>
      <w:tr>
        <w:trPr>
          <w:trHeight w:val="163"/>
        </w:trPr>
        <w:tc>
          <w:tcPr>
            <w:tcW w:w="3660" w:type="dxa"/>
            <w:vAlign w:val="bottom"/>
          </w:tcPr>
          <w:p>
            <w:pPr>
              <w:spacing w:after="0"/>
              <w:rPr>
                <w:sz w:val="14"/>
                <w:szCs w:val="14"/>
                <w:color w:val="auto"/>
              </w:rPr>
            </w:pPr>
          </w:p>
        </w:tc>
        <w:tc>
          <w:tcPr>
            <w:tcW w:w="386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6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8,751,705</w:t>
            </w:r>
          </w:p>
        </w:tc>
        <w:tc>
          <w:tcPr>
            <w:tcW w:w="720" w:type="dxa"/>
            <w:vAlign w:val="bottom"/>
          </w:tcPr>
          <w:p>
            <w:pPr>
              <w:spacing w:after="0"/>
              <w:rPr>
                <w:sz w:val="14"/>
                <w:szCs w:val="14"/>
                <w:color w:val="auto"/>
              </w:rPr>
            </w:pPr>
          </w:p>
        </w:tc>
        <w:tc>
          <w:tcPr>
            <w:tcW w:w="1340" w:type="dxa"/>
            <w:vAlign w:val="bottom"/>
          </w:tcPr>
          <w:p>
            <w:pPr>
              <w:jc w:val="right"/>
              <w:ind w:right="429"/>
              <w:spacing w:after="0"/>
              <w:rPr>
                <w:sz w:val="20"/>
                <w:szCs w:val="20"/>
                <w:color w:val="auto"/>
              </w:rPr>
            </w:pPr>
            <w:r>
              <w:rPr>
                <w:rFonts w:ascii="Courier New" w:cs="Courier New" w:eastAsia="Courier New" w:hAnsi="Courier New"/>
                <w:sz w:val="14"/>
                <w:szCs w:val="14"/>
                <w:color w:val="auto"/>
                <w:w w:val="97"/>
              </w:rPr>
              <w:t>10,898,036</w:t>
            </w:r>
          </w:p>
        </w:tc>
        <w:tc>
          <w:tcPr>
            <w:tcW w:w="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w w:val="97"/>
              </w:rPr>
              <w:t>10,755,189</w:t>
            </w:r>
          </w:p>
        </w:tc>
      </w:tr>
      <w:tr>
        <w:trPr>
          <w:trHeight w:val="163"/>
        </w:trPr>
        <w:tc>
          <w:tcPr>
            <w:tcW w:w="3660" w:type="dxa"/>
            <w:vAlign w:val="bottom"/>
          </w:tcPr>
          <w:p>
            <w:pPr>
              <w:spacing w:after="0"/>
              <w:rPr>
                <w:sz w:val="14"/>
                <w:szCs w:val="14"/>
                <w:color w:val="auto"/>
              </w:rPr>
            </w:pPr>
          </w:p>
        </w:tc>
        <w:tc>
          <w:tcPr>
            <w:tcW w:w="386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66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2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Cost of goods sold</w:t>
            </w:r>
          </w:p>
        </w:tc>
        <w:tc>
          <w:tcPr>
            <w:tcW w:w="2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3660" w:type="dxa"/>
            <w:vAlign w:val="bottom"/>
          </w:tcPr>
          <w:p>
            <w:pPr>
              <w:ind w:left="440"/>
              <w:spacing w:after="0"/>
              <w:rPr>
                <w:sz w:val="20"/>
                <w:szCs w:val="20"/>
                <w:color w:val="auto"/>
              </w:rPr>
            </w:pPr>
            <w:r>
              <w:rPr>
                <w:rFonts w:ascii="Courier New" w:cs="Courier New" w:eastAsia="Courier New" w:hAnsi="Courier New"/>
                <w:sz w:val="14"/>
                <w:szCs w:val="14"/>
                <w:color w:val="auto"/>
              </w:rPr>
              <w:t>and services</w:t>
            </w:r>
          </w:p>
        </w:tc>
        <w:tc>
          <w:tcPr>
            <w:tcW w:w="2500" w:type="dxa"/>
            <w:vAlign w:val="bottom"/>
          </w:tcPr>
          <w:p>
            <w:pPr>
              <w:spacing w:after="0"/>
              <w:rPr>
                <w:sz w:val="14"/>
                <w:szCs w:val="14"/>
                <w:color w:val="auto"/>
              </w:rPr>
            </w:pP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6,748,839</w:t>
            </w:r>
          </w:p>
        </w:tc>
        <w:tc>
          <w:tcPr>
            <w:tcW w:w="720" w:type="dxa"/>
            <w:vAlign w:val="bottom"/>
          </w:tcPr>
          <w:p>
            <w:pPr>
              <w:spacing w:after="0"/>
              <w:rPr>
                <w:sz w:val="14"/>
                <w:szCs w:val="14"/>
                <w:color w:val="auto"/>
              </w:rPr>
            </w:pPr>
          </w:p>
        </w:tc>
        <w:tc>
          <w:tcPr>
            <w:tcW w:w="13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8,414,383</w:t>
            </w:r>
          </w:p>
        </w:tc>
        <w:tc>
          <w:tcPr>
            <w:tcW w:w="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7,847,796</w:t>
            </w:r>
          </w:p>
        </w:tc>
      </w:tr>
      <w:tr>
        <w:trPr>
          <w:trHeight w:val="163"/>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Research &amp; engineering</w:t>
            </w:r>
          </w:p>
        </w:tc>
        <w:tc>
          <w:tcPr>
            <w:tcW w:w="2500" w:type="dxa"/>
            <w:vAlign w:val="bottom"/>
          </w:tcPr>
          <w:p>
            <w:pPr>
              <w:spacing w:after="0"/>
              <w:rPr>
                <w:sz w:val="14"/>
                <w:szCs w:val="14"/>
                <w:color w:val="auto"/>
              </w:rPr>
            </w:pP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522,240</w:t>
            </w:r>
          </w:p>
        </w:tc>
        <w:tc>
          <w:tcPr>
            <w:tcW w:w="720" w:type="dxa"/>
            <w:vAlign w:val="bottom"/>
          </w:tcPr>
          <w:p>
            <w:pPr>
              <w:spacing w:after="0"/>
              <w:rPr>
                <w:sz w:val="14"/>
                <w:szCs w:val="14"/>
                <w:color w:val="auto"/>
              </w:rPr>
            </w:pPr>
          </w:p>
        </w:tc>
        <w:tc>
          <w:tcPr>
            <w:tcW w:w="13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556,882</w:t>
            </w:r>
          </w:p>
        </w:tc>
        <w:tc>
          <w:tcPr>
            <w:tcW w:w="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509,562</w:t>
            </w:r>
          </w:p>
        </w:tc>
      </w:tr>
      <w:tr>
        <w:trPr>
          <w:trHeight w:val="163"/>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Marketing</w:t>
            </w:r>
          </w:p>
        </w:tc>
        <w:tc>
          <w:tcPr>
            <w:tcW w:w="2500" w:type="dxa"/>
            <w:vAlign w:val="bottom"/>
          </w:tcPr>
          <w:p>
            <w:pPr>
              <w:spacing w:after="0"/>
              <w:rPr>
                <w:sz w:val="14"/>
                <w:szCs w:val="14"/>
                <w:color w:val="auto"/>
              </w:rPr>
            </w:pP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433,871</w:t>
            </w:r>
          </w:p>
        </w:tc>
        <w:tc>
          <w:tcPr>
            <w:tcW w:w="720" w:type="dxa"/>
            <w:vAlign w:val="bottom"/>
          </w:tcPr>
          <w:p>
            <w:pPr>
              <w:spacing w:after="0"/>
              <w:rPr>
                <w:sz w:val="14"/>
                <w:szCs w:val="14"/>
                <w:color w:val="auto"/>
              </w:rPr>
            </w:pPr>
          </w:p>
        </w:tc>
        <w:tc>
          <w:tcPr>
            <w:tcW w:w="13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467,592</w:t>
            </w:r>
          </w:p>
        </w:tc>
        <w:tc>
          <w:tcPr>
            <w:tcW w:w="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433,911</w:t>
            </w:r>
          </w:p>
        </w:tc>
      </w:tr>
      <w:tr>
        <w:trPr>
          <w:trHeight w:val="163"/>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General</w:t>
            </w:r>
          </w:p>
        </w:tc>
        <w:tc>
          <w:tcPr>
            <w:tcW w:w="2500" w:type="dxa"/>
            <w:vAlign w:val="bottom"/>
          </w:tcPr>
          <w:p>
            <w:pPr>
              <w:spacing w:after="0"/>
              <w:rPr>
                <w:sz w:val="14"/>
                <w:szCs w:val="14"/>
                <w:color w:val="auto"/>
              </w:rPr>
            </w:pP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383,695</w:t>
            </w:r>
          </w:p>
        </w:tc>
        <w:tc>
          <w:tcPr>
            <w:tcW w:w="720" w:type="dxa"/>
            <w:vAlign w:val="bottom"/>
          </w:tcPr>
          <w:p>
            <w:pPr>
              <w:spacing w:after="0"/>
              <w:rPr>
                <w:sz w:val="14"/>
                <w:szCs w:val="14"/>
                <w:color w:val="auto"/>
              </w:rPr>
            </w:pPr>
          </w:p>
        </w:tc>
        <w:tc>
          <w:tcPr>
            <w:tcW w:w="13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427,775</w:t>
            </w:r>
          </w:p>
        </w:tc>
        <w:tc>
          <w:tcPr>
            <w:tcW w:w="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412,614</w:t>
            </w:r>
          </w:p>
        </w:tc>
      </w:tr>
      <w:tr>
        <w:trPr>
          <w:trHeight w:val="163"/>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2500" w:type="dxa"/>
            <w:vAlign w:val="bottom"/>
          </w:tcPr>
          <w:p>
            <w:pPr>
              <w:spacing w:after="0"/>
              <w:rPr>
                <w:sz w:val="14"/>
                <w:szCs w:val="14"/>
                <w:color w:val="auto"/>
              </w:rPr>
            </w:pP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192,954</w:t>
            </w:r>
          </w:p>
        </w:tc>
        <w:tc>
          <w:tcPr>
            <w:tcW w:w="720" w:type="dxa"/>
            <w:vAlign w:val="bottom"/>
          </w:tcPr>
          <w:p>
            <w:pPr>
              <w:spacing w:after="0"/>
              <w:rPr>
                <w:sz w:val="14"/>
                <w:szCs w:val="14"/>
                <w:color w:val="auto"/>
              </w:rPr>
            </w:pPr>
          </w:p>
        </w:tc>
        <w:tc>
          <w:tcPr>
            <w:tcW w:w="13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137,211</w:t>
            </w:r>
          </w:p>
        </w:tc>
        <w:tc>
          <w:tcPr>
            <w:tcW w:w="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75,677</w:t>
            </w:r>
          </w:p>
        </w:tc>
      </w:tr>
      <w:tr>
        <w:trPr>
          <w:trHeight w:val="163"/>
        </w:trPr>
        <w:tc>
          <w:tcPr>
            <w:tcW w:w="3660" w:type="dxa"/>
            <w:vAlign w:val="bottom"/>
          </w:tcPr>
          <w:p>
            <w:pPr>
              <w:spacing w:after="0"/>
              <w:rPr>
                <w:sz w:val="14"/>
                <w:szCs w:val="14"/>
                <w:color w:val="auto"/>
              </w:rPr>
            </w:pPr>
          </w:p>
        </w:tc>
        <w:tc>
          <w:tcPr>
            <w:tcW w:w="386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6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8,281,599</w:t>
            </w:r>
          </w:p>
        </w:tc>
        <w:tc>
          <w:tcPr>
            <w:tcW w:w="720" w:type="dxa"/>
            <w:vAlign w:val="bottom"/>
          </w:tcPr>
          <w:p>
            <w:pPr>
              <w:spacing w:after="0"/>
              <w:rPr>
                <w:sz w:val="14"/>
                <w:szCs w:val="14"/>
                <w:color w:val="auto"/>
              </w:rPr>
            </w:pPr>
          </w:p>
        </w:tc>
        <w:tc>
          <w:tcPr>
            <w:tcW w:w="1340" w:type="dxa"/>
            <w:vAlign w:val="bottom"/>
          </w:tcPr>
          <w:p>
            <w:pPr>
              <w:jc w:val="right"/>
              <w:ind w:right="429"/>
              <w:spacing w:after="0"/>
              <w:rPr>
                <w:sz w:val="20"/>
                <w:szCs w:val="20"/>
                <w:color w:val="auto"/>
              </w:rPr>
            </w:pPr>
            <w:r>
              <w:rPr>
                <w:rFonts w:ascii="Courier New" w:cs="Courier New" w:eastAsia="Courier New" w:hAnsi="Courier New"/>
                <w:sz w:val="14"/>
                <w:szCs w:val="14"/>
                <w:color w:val="auto"/>
                <w:w w:val="97"/>
              </w:rPr>
              <w:t>10,003,843</w:t>
            </w:r>
          </w:p>
        </w:tc>
        <w:tc>
          <w:tcPr>
            <w:tcW w:w="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9,279,560</w:t>
            </w:r>
          </w:p>
        </w:tc>
      </w:tr>
      <w:tr>
        <w:trPr>
          <w:trHeight w:val="163"/>
        </w:trPr>
        <w:tc>
          <w:tcPr>
            <w:tcW w:w="3660" w:type="dxa"/>
            <w:vAlign w:val="bottom"/>
          </w:tcPr>
          <w:p>
            <w:pPr>
              <w:spacing w:after="0"/>
              <w:rPr>
                <w:sz w:val="14"/>
                <w:szCs w:val="14"/>
                <w:color w:val="auto"/>
              </w:rPr>
            </w:pPr>
          </w:p>
        </w:tc>
        <w:tc>
          <w:tcPr>
            <w:tcW w:w="386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Income before taxes</w:t>
            </w:r>
          </w:p>
        </w:tc>
        <w:tc>
          <w:tcPr>
            <w:tcW w:w="2500" w:type="dxa"/>
            <w:vAlign w:val="bottom"/>
          </w:tcPr>
          <w:p>
            <w:pPr>
              <w:spacing w:after="0"/>
              <w:rPr>
                <w:sz w:val="14"/>
                <w:szCs w:val="14"/>
                <w:color w:val="auto"/>
              </w:rPr>
            </w:pP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470,106</w:t>
            </w:r>
          </w:p>
        </w:tc>
        <w:tc>
          <w:tcPr>
            <w:tcW w:w="720" w:type="dxa"/>
            <w:vAlign w:val="bottom"/>
          </w:tcPr>
          <w:p>
            <w:pPr>
              <w:spacing w:after="0"/>
              <w:rPr>
                <w:sz w:val="14"/>
                <w:szCs w:val="14"/>
                <w:color w:val="auto"/>
              </w:rPr>
            </w:pPr>
          </w:p>
        </w:tc>
        <w:tc>
          <w:tcPr>
            <w:tcW w:w="13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894,193</w:t>
            </w:r>
          </w:p>
        </w:tc>
        <w:tc>
          <w:tcPr>
            <w:tcW w:w="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1,475,629</w:t>
            </w:r>
          </w:p>
        </w:tc>
      </w:tr>
      <w:tr>
        <w:trPr>
          <w:trHeight w:val="32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Taxes on income</w:t>
            </w:r>
          </w:p>
        </w:tc>
        <w:tc>
          <w:tcPr>
            <w:tcW w:w="2500" w:type="dxa"/>
            <w:vAlign w:val="bottom"/>
          </w:tcPr>
          <w:p>
            <w:pPr>
              <w:spacing w:after="0"/>
              <w:rPr>
                <w:sz w:val="24"/>
                <w:szCs w:val="24"/>
                <w:color w:val="auto"/>
              </w:rPr>
            </w:pP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140,772</w:t>
            </w:r>
          </w:p>
        </w:tc>
        <w:tc>
          <w:tcPr>
            <w:tcW w:w="720" w:type="dxa"/>
            <w:vAlign w:val="bottom"/>
          </w:tcPr>
          <w:p>
            <w:pPr>
              <w:spacing w:after="0"/>
              <w:rPr>
                <w:sz w:val="24"/>
                <w:szCs w:val="24"/>
                <w:color w:val="auto"/>
              </w:rPr>
            </w:pPr>
          </w:p>
        </w:tc>
        <w:tc>
          <w:tcPr>
            <w:tcW w:w="13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276,231</w:t>
            </w:r>
          </w:p>
        </w:tc>
        <w:tc>
          <w:tcPr>
            <w:tcW w:w="7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388,401</w:t>
            </w:r>
          </w:p>
        </w:tc>
      </w:tr>
      <w:tr>
        <w:trPr>
          <w:trHeight w:val="163"/>
        </w:trPr>
        <w:tc>
          <w:tcPr>
            <w:tcW w:w="3660" w:type="dxa"/>
            <w:vAlign w:val="bottom"/>
          </w:tcPr>
          <w:p>
            <w:pPr>
              <w:spacing w:after="0"/>
              <w:rPr>
                <w:sz w:val="14"/>
                <w:szCs w:val="14"/>
                <w:color w:val="auto"/>
              </w:rPr>
            </w:pPr>
          </w:p>
        </w:tc>
        <w:tc>
          <w:tcPr>
            <w:tcW w:w="386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Income from</w:t>
            </w:r>
          </w:p>
        </w:tc>
        <w:tc>
          <w:tcPr>
            <w:tcW w:w="2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continuing operations</w:t>
            </w:r>
          </w:p>
        </w:tc>
        <w:tc>
          <w:tcPr>
            <w:tcW w:w="2500" w:type="dxa"/>
            <w:vAlign w:val="bottom"/>
          </w:tcPr>
          <w:p>
            <w:pPr>
              <w:spacing w:after="0"/>
              <w:rPr>
                <w:sz w:val="14"/>
                <w:szCs w:val="14"/>
                <w:color w:val="auto"/>
              </w:rPr>
            </w:pP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329,334</w:t>
            </w:r>
          </w:p>
        </w:tc>
        <w:tc>
          <w:tcPr>
            <w:tcW w:w="720" w:type="dxa"/>
            <w:vAlign w:val="bottom"/>
          </w:tcPr>
          <w:p>
            <w:pPr>
              <w:spacing w:after="0"/>
              <w:rPr>
                <w:sz w:val="14"/>
                <w:szCs w:val="14"/>
                <w:color w:val="auto"/>
              </w:rPr>
            </w:pPr>
          </w:p>
        </w:tc>
        <w:tc>
          <w:tcPr>
            <w:tcW w:w="13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617,962</w:t>
            </w:r>
          </w:p>
        </w:tc>
        <w:tc>
          <w:tcPr>
            <w:tcW w:w="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1,087,228</w:t>
            </w:r>
          </w:p>
        </w:tc>
      </w:tr>
      <w:tr>
        <w:trPr>
          <w:trHeight w:val="326"/>
        </w:trPr>
        <w:tc>
          <w:tcPr>
            <w:tcW w:w="366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2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3"/>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net of tax</w:t>
            </w:r>
          </w:p>
        </w:tc>
        <w:tc>
          <w:tcPr>
            <w:tcW w:w="2500" w:type="dxa"/>
            <w:vAlign w:val="bottom"/>
          </w:tcPr>
          <w:p>
            <w:pPr>
              <w:spacing w:after="0"/>
              <w:rPr>
                <w:sz w:val="14"/>
                <w:szCs w:val="14"/>
                <w:color w:val="auto"/>
              </w:rPr>
            </w:pP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37,360</w:t>
            </w:r>
          </w:p>
        </w:tc>
        <w:tc>
          <w:tcPr>
            <w:tcW w:w="720" w:type="dxa"/>
            <w:vAlign w:val="bottom"/>
          </w:tcPr>
          <w:p>
            <w:pPr>
              <w:spacing w:after="0"/>
              <w:rPr>
                <w:sz w:val="14"/>
                <w:szCs w:val="14"/>
                <w:color w:val="auto"/>
              </w:rPr>
            </w:pPr>
          </w:p>
        </w:tc>
        <w:tc>
          <w:tcPr>
            <w:tcW w:w="13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396,237</w:t>
            </w:r>
          </w:p>
        </w:tc>
        <w:tc>
          <w:tcPr>
            <w:tcW w:w="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297,321</w:t>
            </w:r>
          </w:p>
        </w:tc>
      </w:tr>
      <w:tr>
        <w:trPr>
          <w:trHeight w:val="163"/>
        </w:trPr>
        <w:tc>
          <w:tcPr>
            <w:tcW w:w="3660" w:type="dxa"/>
            <w:vAlign w:val="bottom"/>
          </w:tcPr>
          <w:p>
            <w:pPr>
              <w:spacing w:after="0"/>
              <w:rPr>
                <w:sz w:val="14"/>
                <w:szCs w:val="14"/>
                <w:color w:val="auto"/>
              </w:rPr>
            </w:pPr>
          </w:p>
        </w:tc>
        <w:tc>
          <w:tcPr>
            <w:tcW w:w="386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6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366,694</w:t>
            </w:r>
          </w:p>
        </w:tc>
        <w:tc>
          <w:tcPr>
            <w:tcW w:w="206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$ 1,014,199</w:t>
            </w:r>
          </w:p>
        </w:tc>
        <w:tc>
          <w:tcPr>
            <w:tcW w:w="1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$ 1,384,549</w:t>
            </w:r>
          </w:p>
        </w:tc>
      </w:tr>
      <w:tr>
        <w:trPr>
          <w:trHeight w:val="163"/>
        </w:trPr>
        <w:tc>
          <w:tcPr>
            <w:tcW w:w="3660" w:type="dxa"/>
            <w:vAlign w:val="bottom"/>
          </w:tcPr>
          <w:p>
            <w:pPr>
              <w:spacing w:after="0"/>
              <w:rPr>
                <w:sz w:val="14"/>
                <w:szCs w:val="14"/>
                <w:color w:val="auto"/>
              </w:rPr>
            </w:pPr>
          </w:p>
        </w:tc>
        <w:tc>
          <w:tcPr>
            <w:tcW w:w="386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66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2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3"/>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Continuing operations</w:t>
            </w: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0.60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1.14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2.02</w:t>
            </w:r>
          </w:p>
        </w:tc>
      </w:tr>
      <w:tr>
        <w:trPr>
          <w:trHeight w:val="163"/>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2500" w:type="dxa"/>
            <w:vAlign w:val="bottom"/>
          </w:tcPr>
          <w:p>
            <w:pPr>
              <w:spacing w:after="0"/>
              <w:rPr>
                <w:sz w:val="14"/>
                <w:szCs w:val="14"/>
                <w:color w:val="auto"/>
              </w:rPr>
            </w:pP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0.07</w:t>
            </w:r>
          </w:p>
        </w:tc>
        <w:tc>
          <w:tcPr>
            <w:tcW w:w="720" w:type="dxa"/>
            <w:vAlign w:val="bottom"/>
          </w:tcPr>
          <w:p>
            <w:pPr>
              <w:spacing w:after="0"/>
              <w:rPr>
                <w:sz w:val="14"/>
                <w:szCs w:val="14"/>
                <w:color w:val="auto"/>
              </w:rPr>
            </w:pPr>
          </w:p>
        </w:tc>
        <w:tc>
          <w:tcPr>
            <w:tcW w:w="13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0.72</w:t>
            </w:r>
          </w:p>
        </w:tc>
        <w:tc>
          <w:tcPr>
            <w:tcW w:w="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0.55</w:t>
            </w:r>
          </w:p>
        </w:tc>
      </w:tr>
      <w:tr>
        <w:trPr>
          <w:trHeight w:val="163"/>
        </w:trPr>
        <w:tc>
          <w:tcPr>
            <w:tcW w:w="3660" w:type="dxa"/>
            <w:vAlign w:val="bottom"/>
          </w:tcPr>
          <w:p>
            <w:pPr>
              <w:spacing w:after="0"/>
              <w:rPr>
                <w:sz w:val="14"/>
                <w:szCs w:val="14"/>
                <w:color w:val="auto"/>
              </w:rPr>
            </w:pPr>
          </w:p>
        </w:tc>
        <w:tc>
          <w:tcPr>
            <w:tcW w:w="386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0.67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1.86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2.57</w:t>
            </w:r>
          </w:p>
        </w:tc>
      </w:tr>
      <w:tr>
        <w:trPr>
          <w:trHeight w:val="163"/>
        </w:trPr>
        <w:tc>
          <w:tcPr>
            <w:tcW w:w="3660" w:type="dxa"/>
            <w:vAlign w:val="bottom"/>
          </w:tcPr>
          <w:p>
            <w:pPr>
              <w:spacing w:after="0"/>
              <w:rPr>
                <w:sz w:val="14"/>
                <w:szCs w:val="14"/>
                <w:color w:val="auto"/>
              </w:rPr>
            </w:pPr>
          </w:p>
        </w:tc>
        <w:tc>
          <w:tcPr>
            <w:tcW w:w="386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66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2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Continuing operations</w:t>
            </w: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0.58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1.10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1.94</w:t>
            </w:r>
          </w:p>
        </w:tc>
      </w:tr>
      <w:tr>
        <w:trPr>
          <w:trHeight w:val="163"/>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2500" w:type="dxa"/>
            <w:vAlign w:val="bottom"/>
          </w:tcPr>
          <w:p>
            <w:pPr>
              <w:spacing w:after="0"/>
              <w:rPr>
                <w:sz w:val="14"/>
                <w:szCs w:val="14"/>
                <w:color w:val="auto"/>
              </w:rPr>
            </w:pP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0.07</w:t>
            </w:r>
          </w:p>
        </w:tc>
        <w:tc>
          <w:tcPr>
            <w:tcW w:w="720" w:type="dxa"/>
            <w:vAlign w:val="bottom"/>
          </w:tcPr>
          <w:p>
            <w:pPr>
              <w:spacing w:after="0"/>
              <w:rPr>
                <w:sz w:val="14"/>
                <w:szCs w:val="14"/>
                <w:color w:val="auto"/>
              </w:rPr>
            </w:pPr>
          </w:p>
        </w:tc>
        <w:tc>
          <w:tcPr>
            <w:tcW w:w="13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0.71</w:t>
            </w:r>
          </w:p>
        </w:tc>
        <w:tc>
          <w:tcPr>
            <w:tcW w:w="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0.53</w:t>
            </w:r>
          </w:p>
        </w:tc>
      </w:tr>
      <w:tr>
        <w:trPr>
          <w:trHeight w:val="163"/>
        </w:trPr>
        <w:tc>
          <w:tcPr>
            <w:tcW w:w="3660" w:type="dxa"/>
            <w:vAlign w:val="bottom"/>
          </w:tcPr>
          <w:p>
            <w:pPr>
              <w:spacing w:after="0"/>
              <w:rPr>
                <w:sz w:val="14"/>
                <w:szCs w:val="14"/>
                <w:color w:val="auto"/>
              </w:rPr>
            </w:pPr>
          </w:p>
        </w:tc>
        <w:tc>
          <w:tcPr>
            <w:tcW w:w="386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0.65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1.81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2.47</w:t>
            </w:r>
          </w:p>
        </w:tc>
      </w:tr>
      <w:tr>
        <w:trPr>
          <w:trHeight w:val="163"/>
        </w:trPr>
        <w:tc>
          <w:tcPr>
            <w:tcW w:w="3660" w:type="dxa"/>
            <w:vAlign w:val="bottom"/>
          </w:tcPr>
          <w:p>
            <w:pPr>
              <w:spacing w:after="0"/>
              <w:rPr>
                <w:sz w:val="14"/>
                <w:szCs w:val="14"/>
                <w:color w:val="auto"/>
              </w:rPr>
            </w:pPr>
          </w:p>
        </w:tc>
        <w:tc>
          <w:tcPr>
            <w:tcW w:w="386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660" w:type="dxa"/>
            <w:vAlign w:val="bottom"/>
          </w:tcPr>
          <w:p>
            <w:pPr>
              <w:spacing w:after="0"/>
              <w:rPr>
                <w:sz w:val="20"/>
                <w:szCs w:val="20"/>
                <w:color w:val="auto"/>
              </w:rPr>
            </w:pPr>
            <w:r>
              <w:rPr>
                <w:rFonts w:ascii="Courier New" w:cs="Courier New" w:eastAsia="Courier New" w:hAnsi="Courier New"/>
                <w:sz w:val="14"/>
                <w:szCs w:val="14"/>
                <w:color w:val="auto"/>
              </w:rPr>
              <w:t>Average shares outstanding</w:t>
            </w:r>
          </w:p>
        </w:tc>
        <w:tc>
          <w:tcPr>
            <w:tcW w:w="2500" w:type="dxa"/>
            <w:vAlign w:val="bottom"/>
          </w:tcPr>
          <w:p>
            <w:pPr>
              <w:spacing w:after="0"/>
              <w:rPr>
                <w:sz w:val="24"/>
                <w:szCs w:val="24"/>
                <w:color w:val="auto"/>
              </w:rPr>
            </w:pP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548,680</w:t>
            </w:r>
          </w:p>
        </w:tc>
        <w:tc>
          <w:tcPr>
            <w:tcW w:w="720" w:type="dxa"/>
            <w:vAlign w:val="bottom"/>
          </w:tcPr>
          <w:p>
            <w:pPr>
              <w:spacing w:after="0"/>
              <w:rPr>
                <w:sz w:val="24"/>
                <w:szCs w:val="24"/>
                <w:color w:val="auto"/>
              </w:rPr>
            </w:pPr>
          </w:p>
        </w:tc>
        <w:tc>
          <w:tcPr>
            <w:tcW w:w="13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544,338</w:t>
            </w:r>
          </w:p>
        </w:tc>
        <w:tc>
          <w:tcPr>
            <w:tcW w:w="7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539,330</w:t>
            </w:r>
          </w:p>
        </w:tc>
      </w:tr>
      <w:tr>
        <w:trPr>
          <w:trHeight w:val="326"/>
        </w:trPr>
        <w:tc>
          <w:tcPr>
            <w:tcW w:w="3660" w:type="dxa"/>
            <w:vAlign w:val="bottom"/>
          </w:tcPr>
          <w:p>
            <w:pPr>
              <w:spacing w:after="0"/>
              <w:rPr>
                <w:sz w:val="20"/>
                <w:szCs w:val="20"/>
                <w:color w:val="auto"/>
              </w:rPr>
            </w:pPr>
            <w:r>
              <w:rPr>
                <w:rFonts w:ascii="Courier New" w:cs="Courier New" w:eastAsia="Courier New" w:hAnsi="Courier New"/>
                <w:sz w:val="14"/>
                <w:szCs w:val="14"/>
                <w:color w:val="auto"/>
              </w:rPr>
              <w:t>Average shares outstanding</w:t>
            </w:r>
          </w:p>
        </w:tc>
        <w:tc>
          <w:tcPr>
            <w:tcW w:w="2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3"/>
        </w:trPr>
        <w:tc>
          <w:tcPr>
            <w:tcW w:w="3660" w:type="dxa"/>
            <w:vAlign w:val="bottom"/>
          </w:tcPr>
          <w:p>
            <w:pPr>
              <w:ind w:left="340"/>
              <w:spacing w:after="0"/>
              <w:rPr>
                <w:sz w:val="20"/>
                <w:szCs w:val="20"/>
                <w:color w:val="auto"/>
              </w:rPr>
            </w:pPr>
            <w:r>
              <w:rPr>
                <w:rFonts w:ascii="Courier New" w:cs="Courier New" w:eastAsia="Courier New" w:hAnsi="Courier New"/>
                <w:sz w:val="14"/>
                <w:szCs w:val="14"/>
                <w:color w:val="auto"/>
              </w:rPr>
              <w:t>assuming dilution</w:t>
            </w:r>
          </w:p>
        </w:tc>
        <w:tc>
          <w:tcPr>
            <w:tcW w:w="2500" w:type="dxa"/>
            <w:vAlign w:val="bottom"/>
          </w:tcPr>
          <w:p>
            <w:pPr>
              <w:spacing w:after="0"/>
              <w:rPr>
                <w:sz w:val="14"/>
                <w:szCs w:val="14"/>
                <w:color w:val="auto"/>
              </w:rPr>
            </w:pP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563,789</w:t>
            </w:r>
          </w:p>
        </w:tc>
        <w:tc>
          <w:tcPr>
            <w:tcW w:w="720" w:type="dxa"/>
            <w:vAlign w:val="bottom"/>
          </w:tcPr>
          <w:p>
            <w:pPr>
              <w:spacing w:after="0"/>
              <w:rPr>
                <w:sz w:val="14"/>
                <w:szCs w:val="14"/>
                <w:color w:val="auto"/>
              </w:rPr>
            </w:pPr>
          </w:p>
        </w:tc>
        <w:tc>
          <w:tcPr>
            <w:tcW w:w="13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561,855</w:t>
            </w:r>
          </w:p>
        </w:tc>
        <w:tc>
          <w:tcPr>
            <w:tcW w:w="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559,653</w:t>
            </w:r>
          </w:p>
        </w:tc>
      </w:tr>
      <w:tr>
        <w:trPr>
          <w:trHeight w:val="489"/>
        </w:trPr>
        <w:tc>
          <w:tcPr>
            <w:tcW w:w="6160" w:type="dxa"/>
            <w:vAlign w:val="bottom"/>
            <w:gridSpan w:val="2"/>
          </w:tcPr>
          <w:p>
            <w:pPr>
              <w:spacing w:after="0"/>
              <w:rPr>
                <w:sz w:val="20"/>
                <w:szCs w:val="20"/>
                <w:color w:val="auto"/>
              </w:rPr>
            </w:pPr>
            <w:r>
              <w:rPr>
                <w:rFonts w:ascii="Courier New" w:cs="Courier New" w:eastAsia="Courier New" w:hAnsi="Courier New"/>
                <w:sz w:val="14"/>
                <w:szCs w:val="14"/>
                <w:color w:val="auto"/>
              </w:rPr>
              <w:t>See the Notes to Consolidated Financial Statements</w:t>
            </w: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3"/>
        </w:trPr>
        <w:tc>
          <w:tcPr>
            <w:tcW w:w="3660" w:type="dxa"/>
            <w:vAlign w:val="bottom"/>
          </w:tcPr>
          <w:p>
            <w:pPr>
              <w:spacing w:after="0"/>
              <w:rPr>
                <w:sz w:val="20"/>
                <w:szCs w:val="20"/>
                <w:color w:val="auto"/>
              </w:rPr>
            </w:pPr>
            <w:r>
              <w:rPr>
                <w:rFonts w:ascii="Courier New" w:cs="Courier New" w:eastAsia="Courier New" w:hAnsi="Courier New"/>
                <w:sz w:val="14"/>
                <w:szCs w:val="14"/>
                <w:color w:val="auto"/>
              </w:rPr>
              <w:t>Schlumberger  Limited  (Schlumberger N.V.,</w:t>
            </w:r>
          </w:p>
        </w:tc>
        <w:tc>
          <w:tcPr>
            <w:tcW w:w="3860" w:type="dxa"/>
            <w:vAlign w:val="bottom"/>
            <w:gridSpan w:val="2"/>
          </w:tcPr>
          <w:p>
            <w:pPr>
              <w:jc w:val="right"/>
              <w:ind w:right="1089"/>
              <w:spacing w:after="0"/>
              <w:rPr>
                <w:sz w:val="20"/>
                <w:szCs w:val="20"/>
                <w:color w:val="auto"/>
              </w:rPr>
            </w:pPr>
            <w:r>
              <w:rPr>
                <w:rFonts w:ascii="Courier New" w:cs="Courier New" w:eastAsia="Courier New" w:hAnsi="Courier New"/>
                <w:sz w:val="14"/>
                <w:szCs w:val="14"/>
                <w:color w:val="auto"/>
              </w:rPr>
              <w:t>Incorporated in the Netherlands</w:t>
            </w: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3660" w:type="dxa"/>
            <w:vAlign w:val="bottom"/>
          </w:tcPr>
          <w:p>
            <w:pPr>
              <w:spacing w:after="0"/>
              <w:rPr>
                <w:sz w:val="20"/>
                <w:szCs w:val="20"/>
                <w:color w:val="auto"/>
              </w:rPr>
            </w:pPr>
            <w:r>
              <w:rPr>
                <w:rFonts w:ascii="Courier New" w:cs="Courier New" w:eastAsia="Courier New" w:hAnsi="Courier New"/>
                <w:sz w:val="14"/>
                <w:szCs w:val="14"/>
                <w:color w:val="auto"/>
              </w:rPr>
              <w:t>Antilles) and Subsidiary Companies.</w:t>
            </w:r>
          </w:p>
        </w:tc>
        <w:tc>
          <w:tcPr>
            <w:tcW w:w="2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26"/>
        </w:trPr>
        <w:tc>
          <w:tcPr>
            <w:tcW w:w="3660" w:type="dxa"/>
            <w:vAlign w:val="bottom"/>
          </w:tcPr>
          <w:p>
            <w:pPr>
              <w:ind w:left="3320"/>
              <w:spacing w:after="0"/>
              <w:rPr>
                <w:sz w:val="20"/>
                <w:szCs w:val="20"/>
                <w:color w:val="auto"/>
              </w:rPr>
            </w:pPr>
            <w:r>
              <w:rPr>
                <w:rFonts w:ascii="Courier New" w:cs="Courier New" w:eastAsia="Courier New" w:hAnsi="Courier New"/>
                <w:sz w:val="14"/>
                <w:szCs w:val="14"/>
                <w:color w:val="auto"/>
              </w:rPr>
              <w:t>1</w:t>
            </w:r>
          </w:p>
        </w:tc>
        <w:tc>
          <w:tcPr>
            <w:tcW w:w="2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200"/>
          </w:cols>
          <w:pgMar w:left="300" w:top="609" w:right="39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700" w:type="dxa"/>
            <w:vAlign w:val="bottom"/>
          </w:tcPr>
          <w:p>
            <w:pPr>
              <w:spacing w:after="0"/>
              <w:rPr>
                <w:sz w:val="20"/>
                <w:szCs w:val="20"/>
                <w:color w:val="auto"/>
              </w:rPr>
            </w:pPr>
            <w:r>
              <w:rPr>
                <w:rFonts w:ascii="Courier New" w:cs="Courier New" w:eastAsia="Courier New" w:hAnsi="Courier New"/>
                <w:sz w:val="14"/>
                <w:szCs w:val="14"/>
                <w:color w:val="auto"/>
              </w:rPr>
              <w:t>CONSOLIDATED BALANCE SHEET</w:t>
            </w:r>
          </w:p>
        </w:tc>
        <w:tc>
          <w:tcPr>
            <w:tcW w:w="43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489"/>
        </w:trPr>
        <w:tc>
          <w:tcPr>
            <w:tcW w:w="37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180" w:type="dxa"/>
            <w:vAlign w:val="bottom"/>
            <w:gridSpan w:val="3"/>
          </w:tcPr>
          <w:p>
            <w:pPr>
              <w:jc w:val="right"/>
              <w:ind w:right="609"/>
              <w:spacing w:after="0"/>
              <w:rPr>
                <w:sz w:val="20"/>
                <w:szCs w:val="20"/>
                <w:color w:val="auto"/>
              </w:rPr>
            </w:pPr>
            <w:r>
              <w:rPr>
                <w:rFonts w:ascii="Courier New" w:cs="Courier New" w:eastAsia="Courier New" w:hAnsi="Courier New"/>
                <w:sz w:val="14"/>
                <w:szCs w:val="14"/>
                <w:color w:val="auto"/>
              </w:rPr>
              <w:t>(Stated in thousands)</w:t>
            </w: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4320" w:type="dxa"/>
            <w:vAlign w:val="bottom"/>
          </w:tcPr>
          <w:p>
            <w:pPr>
              <w:spacing w:after="0"/>
              <w:rPr>
                <w:sz w:val="14"/>
                <w:szCs w:val="14"/>
                <w:color w:val="auto"/>
              </w:rPr>
            </w:pPr>
          </w:p>
        </w:tc>
        <w:tc>
          <w:tcPr>
            <w:tcW w:w="148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1999</w:t>
            </w:r>
          </w:p>
        </w:tc>
        <w:tc>
          <w:tcPr>
            <w:tcW w:w="7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3700" w:type="dxa"/>
            <w:vAlign w:val="bottom"/>
          </w:tcPr>
          <w:p>
            <w:pPr>
              <w:spacing w:after="0"/>
              <w:rPr>
                <w:sz w:val="14"/>
                <w:szCs w:val="14"/>
                <w:color w:val="auto"/>
              </w:rPr>
            </w:pPr>
          </w:p>
        </w:tc>
        <w:tc>
          <w:tcPr>
            <w:tcW w:w="5800" w:type="dxa"/>
            <w:vAlign w:val="bottom"/>
            <w:gridSpan w:val="2"/>
          </w:tcPr>
          <w:p>
            <w:pPr>
              <w:jc w:val="right"/>
              <w:ind w:right="50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37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4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Cash and short-term investments</w:t>
            </w:r>
          </w:p>
        </w:tc>
        <w:tc>
          <w:tcPr>
            <w:tcW w:w="4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4,389,837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3,956,694</w:t>
            </w:r>
          </w:p>
        </w:tc>
      </w:tr>
      <w:tr>
        <w:trPr>
          <w:trHeight w:val="163"/>
        </w:trPr>
        <w:tc>
          <w:tcPr>
            <w:tcW w:w="80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Receivables less allowance for doubtful accounts</w:t>
            </w: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3700" w:type="dxa"/>
            <w:vAlign w:val="bottom"/>
          </w:tcPr>
          <w:p>
            <w:pPr>
              <w:ind w:left="600"/>
              <w:spacing w:after="0"/>
              <w:rPr>
                <w:sz w:val="20"/>
                <w:szCs w:val="20"/>
                <w:color w:val="auto"/>
              </w:rPr>
            </w:pPr>
            <w:r>
              <w:rPr>
                <w:rFonts w:ascii="Courier New" w:cs="Courier New" w:eastAsia="Courier New" w:hAnsi="Courier New"/>
                <w:sz w:val="14"/>
                <w:szCs w:val="14"/>
                <w:color w:val="auto"/>
              </w:rPr>
              <w:t>(1999-$89,030; 1998-$89,556)</w:t>
            </w:r>
          </w:p>
        </w:tc>
        <w:tc>
          <w:tcPr>
            <w:tcW w:w="4320" w:type="dxa"/>
            <w:vAlign w:val="bottom"/>
          </w:tcPr>
          <w:p>
            <w:pPr>
              <w:spacing w:after="0"/>
              <w:rPr>
                <w:sz w:val="14"/>
                <w:szCs w:val="14"/>
                <w:color w:val="auto"/>
              </w:rPr>
            </w:pP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2,429,842</w:t>
            </w:r>
          </w:p>
        </w:tc>
        <w:tc>
          <w:tcPr>
            <w:tcW w:w="7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2,968,070</w:t>
            </w:r>
          </w:p>
        </w:tc>
      </w:tr>
      <w:tr>
        <w:trPr>
          <w:trHeight w:val="163"/>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Inventories</w:t>
            </w:r>
          </w:p>
        </w:tc>
        <w:tc>
          <w:tcPr>
            <w:tcW w:w="4320" w:type="dxa"/>
            <w:vAlign w:val="bottom"/>
          </w:tcPr>
          <w:p>
            <w:pPr>
              <w:spacing w:after="0"/>
              <w:rPr>
                <w:sz w:val="14"/>
                <w:szCs w:val="14"/>
                <w:color w:val="auto"/>
              </w:rPr>
            </w:pP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1,268,500</w:t>
            </w:r>
          </w:p>
        </w:tc>
        <w:tc>
          <w:tcPr>
            <w:tcW w:w="7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1,333,131</w:t>
            </w:r>
          </w:p>
        </w:tc>
      </w:tr>
      <w:tr>
        <w:trPr>
          <w:trHeight w:val="163"/>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Deferred taxes on income</w:t>
            </w:r>
          </w:p>
        </w:tc>
        <w:tc>
          <w:tcPr>
            <w:tcW w:w="4320" w:type="dxa"/>
            <w:vAlign w:val="bottom"/>
          </w:tcPr>
          <w:p>
            <w:pPr>
              <w:spacing w:after="0"/>
              <w:rPr>
                <w:sz w:val="14"/>
                <w:szCs w:val="14"/>
                <w:color w:val="auto"/>
              </w:rPr>
            </w:pP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259,257</w:t>
            </w:r>
          </w:p>
        </w:tc>
        <w:tc>
          <w:tcPr>
            <w:tcW w:w="7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295,974</w:t>
            </w:r>
          </w:p>
        </w:tc>
      </w:tr>
      <w:tr>
        <w:trPr>
          <w:trHeight w:val="163"/>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Other current assets</w:t>
            </w:r>
          </w:p>
        </w:tc>
        <w:tc>
          <w:tcPr>
            <w:tcW w:w="4320" w:type="dxa"/>
            <w:vAlign w:val="bottom"/>
          </w:tcPr>
          <w:p>
            <w:pPr>
              <w:spacing w:after="0"/>
              <w:rPr>
                <w:sz w:val="14"/>
                <w:szCs w:val="14"/>
                <w:color w:val="auto"/>
              </w:rPr>
            </w:pP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258,532</w:t>
            </w:r>
          </w:p>
        </w:tc>
        <w:tc>
          <w:tcPr>
            <w:tcW w:w="7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251,355</w:t>
            </w:r>
          </w:p>
        </w:tc>
      </w:tr>
      <w:tr>
        <w:trPr>
          <w:trHeight w:val="163"/>
        </w:trPr>
        <w:tc>
          <w:tcPr>
            <w:tcW w:w="3700" w:type="dxa"/>
            <w:vAlign w:val="bottom"/>
          </w:tcPr>
          <w:p>
            <w:pPr>
              <w:spacing w:after="0"/>
              <w:rPr>
                <w:sz w:val="14"/>
                <w:szCs w:val="14"/>
                <w:color w:val="auto"/>
              </w:rPr>
            </w:pPr>
          </w:p>
        </w:tc>
        <w:tc>
          <w:tcPr>
            <w:tcW w:w="5800" w:type="dxa"/>
            <w:vAlign w:val="bottom"/>
            <w:gridSpan w:val="2"/>
          </w:tcPr>
          <w:p>
            <w:pPr>
              <w:jc w:val="right"/>
              <w:ind w:right="50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8,605,968</w:t>
            </w:r>
          </w:p>
        </w:tc>
        <w:tc>
          <w:tcPr>
            <w:tcW w:w="7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8,805,224</w:t>
            </w: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Investments in Affiliated Companies</w:t>
            </w:r>
          </w:p>
        </w:tc>
        <w:tc>
          <w:tcPr>
            <w:tcW w:w="4320" w:type="dxa"/>
            <w:vAlign w:val="bottom"/>
          </w:tcPr>
          <w:p>
            <w:pPr>
              <w:spacing w:after="0"/>
              <w:rPr>
                <w:sz w:val="14"/>
                <w:szCs w:val="14"/>
                <w:color w:val="auto"/>
              </w:rPr>
            </w:pP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535,434</w:t>
            </w:r>
          </w:p>
        </w:tc>
        <w:tc>
          <w:tcPr>
            <w:tcW w:w="7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84,844</w:t>
            </w: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Long-term Investments, held to maturity</w:t>
            </w:r>
          </w:p>
        </w:tc>
        <w:tc>
          <w:tcPr>
            <w:tcW w:w="4320" w:type="dxa"/>
            <w:vAlign w:val="bottom"/>
          </w:tcPr>
          <w:p>
            <w:pPr>
              <w:spacing w:after="0"/>
              <w:rPr>
                <w:sz w:val="14"/>
                <w:szCs w:val="14"/>
                <w:color w:val="auto"/>
              </w:rPr>
            </w:pP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726,496</w:t>
            </w:r>
          </w:p>
        </w:tc>
        <w:tc>
          <w:tcPr>
            <w:tcW w:w="7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855,172</w:t>
            </w: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Fixed Assets less accumulated depreciation</w:t>
            </w:r>
          </w:p>
        </w:tc>
        <w:tc>
          <w:tcPr>
            <w:tcW w:w="4320" w:type="dxa"/>
            <w:vAlign w:val="bottom"/>
          </w:tcPr>
          <w:p>
            <w:pPr>
              <w:spacing w:after="0"/>
              <w:rPr>
                <w:sz w:val="14"/>
                <w:szCs w:val="14"/>
                <w:color w:val="auto"/>
              </w:rPr>
            </w:pP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3,560,740</w:t>
            </w:r>
          </w:p>
        </w:tc>
        <w:tc>
          <w:tcPr>
            <w:tcW w:w="7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4,694,465</w:t>
            </w: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Excess of Investment Over Net Assets</w:t>
            </w:r>
          </w:p>
        </w:tc>
        <w:tc>
          <w:tcPr>
            <w:tcW w:w="4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of Companies Purchased less amortization</w:t>
            </w:r>
          </w:p>
        </w:tc>
        <w:tc>
          <w:tcPr>
            <w:tcW w:w="4320" w:type="dxa"/>
            <w:vAlign w:val="bottom"/>
          </w:tcPr>
          <w:p>
            <w:pPr>
              <w:spacing w:after="0"/>
              <w:rPr>
                <w:sz w:val="14"/>
                <w:szCs w:val="14"/>
                <w:color w:val="auto"/>
              </w:rPr>
            </w:pP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1,333,681</w:t>
            </w:r>
          </w:p>
        </w:tc>
        <w:tc>
          <w:tcPr>
            <w:tcW w:w="7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1,302,678</w:t>
            </w: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Deferred Taxes on Income</w:t>
            </w:r>
          </w:p>
        </w:tc>
        <w:tc>
          <w:tcPr>
            <w:tcW w:w="4320" w:type="dxa"/>
            <w:vAlign w:val="bottom"/>
          </w:tcPr>
          <w:p>
            <w:pPr>
              <w:spacing w:after="0"/>
              <w:rPr>
                <w:sz w:val="14"/>
                <w:szCs w:val="14"/>
                <w:color w:val="auto"/>
              </w:rPr>
            </w:pP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209,597</w:t>
            </w:r>
          </w:p>
        </w:tc>
        <w:tc>
          <w:tcPr>
            <w:tcW w:w="7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202,630</w:t>
            </w: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4320" w:type="dxa"/>
            <w:vAlign w:val="bottom"/>
          </w:tcPr>
          <w:p>
            <w:pPr>
              <w:spacing w:after="0"/>
              <w:rPr>
                <w:sz w:val="14"/>
                <w:szCs w:val="14"/>
                <w:color w:val="auto"/>
              </w:rPr>
            </w:pP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109,276</w:t>
            </w:r>
          </w:p>
        </w:tc>
        <w:tc>
          <w:tcPr>
            <w:tcW w:w="7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132,916</w:t>
            </w:r>
          </w:p>
        </w:tc>
      </w:tr>
      <w:tr>
        <w:trPr>
          <w:trHeight w:val="163"/>
        </w:trPr>
        <w:tc>
          <w:tcPr>
            <w:tcW w:w="3700" w:type="dxa"/>
            <w:vAlign w:val="bottom"/>
          </w:tcPr>
          <w:p>
            <w:pPr>
              <w:spacing w:after="0"/>
              <w:rPr>
                <w:sz w:val="14"/>
                <w:szCs w:val="14"/>
                <w:color w:val="auto"/>
              </w:rPr>
            </w:pPr>
          </w:p>
        </w:tc>
        <w:tc>
          <w:tcPr>
            <w:tcW w:w="5800" w:type="dxa"/>
            <w:vAlign w:val="bottom"/>
            <w:gridSpan w:val="2"/>
          </w:tcPr>
          <w:p>
            <w:pPr>
              <w:jc w:val="right"/>
              <w:ind w:right="50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spacing w:after="0"/>
              <w:rPr>
                <w:sz w:val="14"/>
                <w:szCs w:val="14"/>
                <w:color w:val="auto"/>
              </w:rPr>
            </w:pPr>
          </w:p>
        </w:tc>
        <w:tc>
          <w:tcPr>
            <w:tcW w:w="5800" w:type="dxa"/>
            <w:vAlign w:val="bottom"/>
            <w:gridSpan w:val="2"/>
          </w:tcPr>
          <w:p>
            <w:pPr>
              <w:jc w:val="right"/>
              <w:ind w:right="509"/>
              <w:spacing w:after="0"/>
              <w:rPr>
                <w:sz w:val="20"/>
                <w:szCs w:val="20"/>
                <w:color w:val="auto"/>
              </w:rPr>
            </w:pPr>
            <w:r>
              <w:rPr>
                <w:rFonts w:ascii="Courier New" w:cs="Courier New" w:eastAsia="Courier New" w:hAnsi="Courier New"/>
                <w:sz w:val="14"/>
                <w:szCs w:val="14"/>
                <w:color w:val="auto"/>
              </w:rPr>
              <w:t>$ 15,081,192</w:t>
            </w:r>
          </w:p>
        </w:tc>
        <w:tc>
          <w:tcPr>
            <w:tcW w:w="17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$ 16,077,929</w:t>
            </w:r>
          </w:p>
        </w:tc>
      </w:tr>
      <w:tr>
        <w:trPr>
          <w:trHeight w:val="163"/>
        </w:trPr>
        <w:tc>
          <w:tcPr>
            <w:tcW w:w="3700" w:type="dxa"/>
            <w:vAlign w:val="bottom"/>
          </w:tcPr>
          <w:p>
            <w:pPr>
              <w:spacing w:after="0"/>
              <w:rPr>
                <w:sz w:val="14"/>
                <w:szCs w:val="14"/>
                <w:color w:val="auto"/>
              </w:rPr>
            </w:pPr>
          </w:p>
        </w:tc>
        <w:tc>
          <w:tcPr>
            <w:tcW w:w="5800" w:type="dxa"/>
            <w:vAlign w:val="bottom"/>
            <w:gridSpan w:val="2"/>
          </w:tcPr>
          <w:p>
            <w:pPr>
              <w:jc w:val="right"/>
              <w:ind w:right="50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4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4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 and accrued liabilities</w:t>
            </w:r>
          </w:p>
        </w:tc>
        <w:tc>
          <w:tcPr>
            <w:tcW w:w="4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2,282,884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2,539,954</w:t>
            </w:r>
          </w:p>
        </w:tc>
      </w:tr>
      <w:tr>
        <w:trPr>
          <w:trHeight w:val="163"/>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Estimated liability for taxes on income</w:t>
            </w:r>
          </w:p>
        </w:tc>
        <w:tc>
          <w:tcPr>
            <w:tcW w:w="4320" w:type="dxa"/>
            <w:vAlign w:val="bottom"/>
          </w:tcPr>
          <w:p>
            <w:pPr>
              <w:spacing w:after="0"/>
              <w:rPr>
                <w:sz w:val="14"/>
                <w:szCs w:val="14"/>
                <w:color w:val="auto"/>
              </w:rPr>
            </w:pP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383,159</w:t>
            </w:r>
          </w:p>
        </w:tc>
        <w:tc>
          <w:tcPr>
            <w:tcW w:w="7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480,123</w:t>
            </w:r>
          </w:p>
        </w:tc>
      </w:tr>
      <w:tr>
        <w:trPr>
          <w:trHeight w:val="163"/>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Bank loans</w:t>
            </w:r>
          </w:p>
        </w:tc>
        <w:tc>
          <w:tcPr>
            <w:tcW w:w="4320" w:type="dxa"/>
            <w:vAlign w:val="bottom"/>
          </w:tcPr>
          <w:p>
            <w:pPr>
              <w:spacing w:after="0"/>
              <w:rPr>
                <w:sz w:val="14"/>
                <w:szCs w:val="14"/>
                <w:color w:val="auto"/>
              </w:rPr>
            </w:pP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444,221</w:t>
            </w:r>
          </w:p>
        </w:tc>
        <w:tc>
          <w:tcPr>
            <w:tcW w:w="7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708,978</w:t>
            </w:r>
          </w:p>
        </w:tc>
      </w:tr>
      <w:tr>
        <w:trPr>
          <w:trHeight w:val="163"/>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Dividend payable</w:t>
            </w:r>
          </w:p>
        </w:tc>
        <w:tc>
          <w:tcPr>
            <w:tcW w:w="4320" w:type="dxa"/>
            <w:vAlign w:val="bottom"/>
          </w:tcPr>
          <w:p>
            <w:pPr>
              <w:spacing w:after="0"/>
              <w:rPr>
                <w:sz w:val="14"/>
                <w:szCs w:val="14"/>
                <w:color w:val="auto"/>
              </w:rPr>
            </w:pP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106,653</w:t>
            </w:r>
          </w:p>
        </w:tc>
        <w:tc>
          <w:tcPr>
            <w:tcW w:w="7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102,891</w:t>
            </w:r>
          </w:p>
        </w:tc>
      </w:tr>
      <w:tr>
        <w:trPr>
          <w:trHeight w:val="163"/>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Long-term debt due within one year</w:t>
            </w:r>
          </w:p>
        </w:tc>
        <w:tc>
          <w:tcPr>
            <w:tcW w:w="4320" w:type="dxa"/>
            <w:vAlign w:val="bottom"/>
          </w:tcPr>
          <w:p>
            <w:pPr>
              <w:spacing w:after="0"/>
              <w:rPr>
                <w:sz w:val="14"/>
                <w:szCs w:val="14"/>
                <w:color w:val="auto"/>
              </w:rPr>
            </w:pP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257,571</w:t>
            </w:r>
          </w:p>
        </w:tc>
        <w:tc>
          <w:tcPr>
            <w:tcW w:w="7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86,722</w:t>
            </w:r>
          </w:p>
        </w:tc>
      </w:tr>
      <w:tr>
        <w:trPr>
          <w:trHeight w:val="163"/>
        </w:trPr>
        <w:tc>
          <w:tcPr>
            <w:tcW w:w="3700" w:type="dxa"/>
            <w:vAlign w:val="bottom"/>
          </w:tcPr>
          <w:p>
            <w:pPr>
              <w:spacing w:after="0"/>
              <w:rPr>
                <w:sz w:val="14"/>
                <w:szCs w:val="14"/>
                <w:color w:val="auto"/>
              </w:rPr>
            </w:pPr>
          </w:p>
        </w:tc>
        <w:tc>
          <w:tcPr>
            <w:tcW w:w="5800" w:type="dxa"/>
            <w:vAlign w:val="bottom"/>
            <w:gridSpan w:val="2"/>
          </w:tcPr>
          <w:p>
            <w:pPr>
              <w:jc w:val="right"/>
              <w:ind w:right="50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3,474,488</w:t>
            </w:r>
          </w:p>
        </w:tc>
        <w:tc>
          <w:tcPr>
            <w:tcW w:w="7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3,918,668</w:t>
            </w: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4320" w:type="dxa"/>
            <w:vAlign w:val="bottom"/>
          </w:tcPr>
          <w:p>
            <w:pPr>
              <w:spacing w:after="0"/>
              <w:rPr>
                <w:sz w:val="14"/>
                <w:szCs w:val="14"/>
                <w:color w:val="auto"/>
              </w:rPr>
            </w:pP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3,183,174</w:t>
            </w:r>
          </w:p>
        </w:tc>
        <w:tc>
          <w:tcPr>
            <w:tcW w:w="7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3,285,444</w:t>
            </w: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Postretirement Benefits</w:t>
            </w:r>
          </w:p>
        </w:tc>
        <w:tc>
          <w:tcPr>
            <w:tcW w:w="4320" w:type="dxa"/>
            <w:vAlign w:val="bottom"/>
          </w:tcPr>
          <w:p>
            <w:pPr>
              <w:spacing w:after="0"/>
              <w:rPr>
                <w:sz w:val="14"/>
                <w:szCs w:val="14"/>
                <w:color w:val="auto"/>
              </w:rPr>
            </w:pP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451,466</w:t>
            </w:r>
          </w:p>
        </w:tc>
        <w:tc>
          <w:tcPr>
            <w:tcW w:w="7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432,791</w:t>
            </w: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4320" w:type="dxa"/>
            <w:vAlign w:val="bottom"/>
          </w:tcPr>
          <w:p>
            <w:pPr>
              <w:spacing w:after="0"/>
              <w:rPr>
                <w:sz w:val="14"/>
                <w:szCs w:val="14"/>
                <w:color w:val="auto"/>
              </w:rPr>
            </w:pP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251,036</w:t>
            </w:r>
          </w:p>
        </w:tc>
        <w:tc>
          <w:tcPr>
            <w:tcW w:w="7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321,951</w:t>
            </w:r>
          </w:p>
        </w:tc>
      </w:tr>
      <w:tr>
        <w:trPr>
          <w:trHeight w:val="163"/>
        </w:trPr>
        <w:tc>
          <w:tcPr>
            <w:tcW w:w="3700" w:type="dxa"/>
            <w:vAlign w:val="bottom"/>
          </w:tcPr>
          <w:p>
            <w:pPr>
              <w:spacing w:after="0"/>
              <w:rPr>
                <w:sz w:val="14"/>
                <w:szCs w:val="14"/>
                <w:color w:val="auto"/>
              </w:rPr>
            </w:pPr>
          </w:p>
        </w:tc>
        <w:tc>
          <w:tcPr>
            <w:tcW w:w="5800" w:type="dxa"/>
            <w:vAlign w:val="bottom"/>
            <w:gridSpan w:val="2"/>
          </w:tcPr>
          <w:p>
            <w:pPr>
              <w:jc w:val="right"/>
              <w:ind w:right="50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7,360,164</w:t>
            </w:r>
          </w:p>
        </w:tc>
        <w:tc>
          <w:tcPr>
            <w:tcW w:w="7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7,958,854</w:t>
            </w:r>
          </w:p>
        </w:tc>
      </w:tr>
      <w:tr>
        <w:trPr>
          <w:trHeight w:val="163"/>
        </w:trPr>
        <w:tc>
          <w:tcPr>
            <w:tcW w:w="3700" w:type="dxa"/>
            <w:vAlign w:val="bottom"/>
          </w:tcPr>
          <w:p>
            <w:pPr>
              <w:spacing w:after="0"/>
              <w:rPr>
                <w:sz w:val="14"/>
                <w:szCs w:val="14"/>
                <w:color w:val="auto"/>
              </w:rPr>
            </w:pPr>
          </w:p>
        </w:tc>
        <w:tc>
          <w:tcPr>
            <w:tcW w:w="5800" w:type="dxa"/>
            <w:vAlign w:val="bottom"/>
            <w:gridSpan w:val="2"/>
          </w:tcPr>
          <w:p>
            <w:pPr>
              <w:jc w:val="right"/>
              <w:ind w:right="50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4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Common stock</w:t>
            </w:r>
          </w:p>
        </w:tc>
        <w:tc>
          <w:tcPr>
            <w:tcW w:w="4320" w:type="dxa"/>
            <w:vAlign w:val="bottom"/>
          </w:tcPr>
          <w:p>
            <w:pPr>
              <w:spacing w:after="0"/>
              <w:rPr>
                <w:sz w:val="14"/>
                <w:szCs w:val="14"/>
                <w:color w:val="auto"/>
              </w:rPr>
            </w:pP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1,820,186</w:t>
            </w:r>
          </w:p>
        </w:tc>
        <w:tc>
          <w:tcPr>
            <w:tcW w:w="7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1,539,408</w:t>
            </w:r>
          </w:p>
        </w:tc>
      </w:tr>
      <w:tr>
        <w:trPr>
          <w:trHeight w:val="163"/>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Income retained for use in the business</w:t>
            </w:r>
          </w:p>
        </w:tc>
        <w:tc>
          <w:tcPr>
            <w:tcW w:w="4320" w:type="dxa"/>
            <w:vAlign w:val="bottom"/>
          </w:tcPr>
          <w:p>
            <w:pPr>
              <w:spacing w:after="0"/>
              <w:rPr>
                <w:sz w:val="14"/>
                <w:szCs w:val="14"/>
                <w:color w:val="auto"/>
              </w:rPr>
            </w:pP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7,916,612</w:t>
            </w:r>
          </w:p>
        </w:tc>
        <w:tc>
          <w:tcPr>
            <w:tcW w:w="7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8,882,455</w:t>
            </w:r>
          </w:p>
        </w:tc>
      </w:tr>
      <w:tr>
        <w:trPr>
          <w:trHeight w:val="163"/>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Treasury stock at cost</w:t>
            </w:r>
          </w:p>
        </w:tc>
        <w:tc>
          <w:tcPr>
            <w:tcW w:w="4320" w:type="dxa"/>
            <w:vAlign w:val="bottom"/>
          </w:tcPr>
          <w:p>
            <w:pPr>
              <w:spacing w:after="0"/>
              <w:rPr>
                <w:sz w:val="14"/>
                <w:szCs w:val="14"/>
                <w:color w:val="auto"/>
              </w:rPr>
            </w:pPr>
          </w:p>
        </w:tc>
        <w:tc>
          <w:tcPr>
            <w:tcW w:w="14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(1,878,612)</w:t>
            </w:r>
          </w:p>
        </w:tc>
        <w:tc>
          <w:tcPr>
            <w:tcW w:w="7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(2,221,308)</w:t>
            </w:r>
          </w:p>
        </w:tc>
      </w:tr>
      <w:tr>
        <w:trPr>
          <w:trHeight w:val="163"/>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Translation adjustment</w:t>
            </w:r>
          </w:p>
        </w:tc>
        <w:tc>
          <w:tcPr>
            <w:tcW w:w="4320" w:type="dxa"/>
            <w:vAlign w:val="bottom"/>
          </w:tcPr>
          <w:p>
            <w:pPr>
              <w:spacing w:after="0"/>
              <w:rPr>
                <w:sz w:val="14"/>
                <w:szCs w:val="14"/>
                <w:color w:val="auto"/>
              </w:rPr>
            </w:pPr>
          </w:p>
        </w:tc>
        <w:tc>
          <w:tcPr>
            <w:tcW w:w="14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(137,158)</w:t>
            </w:r>
          </w:p>
        </w:tc>
        <w:tc>
          <w:tcPr>
            <w:tcW w:w="7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(81,480)</w:t>
            </w:r>
          </w:p>
        </w:tc>
      </w:tr>
      <w:tr>
        <w:trPr>
          <w:trHeight w:val="163"/>
        </w:trPr>
        <w:tc>
          <w:tcPr>
            <w:tcW w:w="3700" w:type="dxa"/>
            <w:vAlign w:val="bottom"/>
          </w:tcPr>
          <w:p>
            <w:pPr>
              <w:spacing w:after="0"/>
              <w:rPr>
                <w:sz w:val="14"/>
                <w:szCs w:val="14"/>
                <w:color w:val="auto"/>
              </w:rPr>
            </w:pPr>
          </w:p>
        </w:tc>
        <w:tc>
          <w:tcPr>
            <w:tcW w:w="5800" w:type="dxa"/>
            <w:vAlign w:val="bottom"/>
            <w:gridSpan w:val="2"/>
          </w:tcPr>
          <w:p>
            <w:pPr>
              <w:jc w:val="right"/>
              <w:ind w:right="50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7,721,028</w:t>
            </w:r>
          </w:p>
        </w:tc>
        <w:tc>
          <w:tcPr>
            <w:tcW w:w="7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8,119,075</w:t>
            </w:r>
          </w:p>
        </w:tc>
      </w:tr>
      <w:tr>
        <w:trPr>
          <w:trHeight w:val="163"/>
        </w:trPr>
        <w:tc>
          <w:tcPr>
            <w:tcW w:w="3700" w:type="dxa"/>
            <w:vAlign w:val="bottom"/>
          </w:tcPr>
          <w:p>
            <w:pPr>
              <w:spacing w:after="0"/>
              <w:rPr>
                <w:sz w:val="14"/>
                <w:szCs w:val="14"/>
                <w:color w:val="auto"/>
              </w:rPr>
            </w:pPr>
          </w:p>
        </w:tc>
        <w:tc>
          <w:tcPr>
            <w:tcW w:w="5800" w:type="dxa"/>
            <w:vAlign w:val="bottom"/>
            <w:gridSpan w:val="2"/>
          </w:tcPr>
          <w:p>
            <w:pPr>
              <w:jc w:val="right"/>
              <w:ind w:right="50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spacing w:after="0"/>
              <w:rPr>
                <w:sz w:val="14"/>
                <w:szCs w:val="14"/>
                <w:color w:val="auto"/>
              </w:rPr>
            </w:pPr>
          </w:p>
        </w:tc>
        <w:tc>
          <w:tcPr>
            <w:tcW w:w="5800" w:type="dxa"/>
            <w:vAlign w:val="bottom"/>
            <w:gridSpan w:val="2"/>
          </w:tcPr>
          <w:p>
            <w:pPr>
              <w:jc w:val="right"/>
              <w:ind w:right="509"/>
              <w:spacing w:after="0"/>
              <w:rPr>
                <w:sz w:val="20"/>
                <w:szCs w:val="20"/>
                <w:color w:val="auto"/>
              </w:rPr>
            </w:pPr>
            <w:r>
              <w:rPr>
                <w:rFonts w:ascii="Courier New" w:cs="Courier New" w:eastAsia="Courier New" w:hAnsi="Courier New"/>
                <w:sz w:val="14"/>
                <w:szCs w:val="14"/>
                <w:color w:val="auto"/>
              </w:rPr>
              <w:t>$ 15,081,192</w:t>
            </w:r>
          </w:p>
        </w:tc>
        <w:tc>
          <w:tcPr>
            <w:tcW w:w="17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$ 16,077,929</w:t>
            </w:r>
          </w:p>
        </w:tc>
      </w:tr>
      <w:tr>
        <w:trPr>
          <w:trHeight w:val="163"/>
        </w:trPr>
        <w:tc>
          <w:tcPr>
            <w:tcW w:w="3700" w:type="dxa"/>
            <w:vAlign w:val="bottom"/>
          </w:tcPr>
          <w:p>
            <w:pPr>
              <w:spacing w:after="0"/>
              <w:rPr>
                <w:sz w:val="14"/>
                <w:szCs w:val="14"/>
                <w:color w:val="auto"/>
              </w:rPr>
            </w:pPr>
          </w:p>
        </w:tc>
        <w:tc>
          <w:tcPr>
            <w:tcW w:w="5800" w:type="dxa"/>
            <w:vAlign w:val="bottom"/>
            <w:gridSpan w:val="2"/>
          </w:tcPr>
          <w:p>
            <w:pPr>
              <w:jc w:val="right"/>
              <w:ind w:right="50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489"/>
        </w:trPr>
        <w:tc>
          <w:tcPr>
            <w:tcW w:w="8020" w:type="dxa"/>
            <w:vAlign w:val="bottom"/>
            <w:gridSpan w:val="2"/>
          </w:tcPr>
          <w:p>
            <w:pPr>
              <w:spacing w:after="0"/>
              <w:rPr>
                <w:sz w:val="20"/>
                <w:szCs w:val="20"/>
                <w:color w:val="auto"/>
              </w:rPr>
            </w:pPr>
            <w:r>
              <w:rPr>
                <w:rFonts w:ascii="Courier New" w:cs="Courier New" w:eastAsia="Courier New" w:hAnsi="Courier New"/>
                <w:sz w:val="14"/>
                <w:szCs w:val="14"/>
                <w:color w:val="auto"/>
              </w:rPr>
              <w:t>See the Notes to Consolidated Financial Statements</w:t>
            </w: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Schlumberger  Limited  (Schlumberger N.V.,</w:t>
            </w:r>
          </w:p>
        </w:tc>
        <w:tc>
          <w:tcPr>
            <w:tcW w:w="4320" w:type="dxa"/>
            <w:vAlign w:val="bottom"/>
          </w:tcPr>
          <w:p>
            <w:pPr>
              <w:jc w:val="right"/>
              <w:ind w:right="1589"/>
              <w:spacing w:after="0"/>
              <w:rPr>
                <w:sz w:val="20"/>
                <w:szCs w:val="20"/>
                <w:color w:val="auto"/>
              </w:rPr>
            </w:pPr>
            <w:r>
              <w:rPr>
                <w:rFonts w:ascii="Courier New" w:cs="Courier New" w:eastAsia="Courier New" w:hAnsi="Courier New"/>
                <w:sz w:val="14"/>
                <w:szCs w:val="14"/>
                <w:color w:val="auto"/>
              </w:rPr>
              <w:t>Incorporated in the Netherlands</w:t>
            </w: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Antilles) and Subsidiary Companies.</w:t>
            </w:r>
          </w:p>
        </w:tc>
        <w:tc>
          <w:tcPr>
            <w:tcW w:w="4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26"/>
        </w:trPr>
        <w:tc>
          <w:tcPr>
            <w:tcW w:w="3700" w:type="dxa"/>
            <w:vAlign w:val="bottom"/>
          </w:tcPr>
          <w:p>
            <w:pPr>
              <w:ind w:left="3320"/>
              <w:spacing w:after="0"/>
              <w:rPr>
                <w:sz w:val="20"/>
                <w:szCs w:val="20"/>
                <w:color w:val="auto"/>
              </w:rPr>
            </w:pPr>
            <w:r>
              <w:rPr>
                <w:rFonts w:ascii="Courier New" w:cs="Courier New" w:eastAsia="Courier New" w:hAnsi="Courier New"/>
                <w:sz w:val="14"/>
                <w:szCs w:val="14"/>
                <w:color w:val="auto"/>
              </w:rPr>
              <w:t>2</w:t>
            </w:r>
          </w:p>
        </w:tc>
        <w:tc>
          <w:tcPr>
            <w:tcW w:w="4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200"/>
          </w:cols>
          <w:pgMar w:left="300" w:top="609" w:right="39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CONSOLIDATED STATEMENT OF CASH FLOWS</w:t>
            </w:r>
          </w:p>
        </w:tc>
        <w:tc>
          <w:tcPr>
            <w:tcW w:w="1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489"/>
        </w:trPr>
        <w:tc>
          <w:tcPr>
            <w:tcW w:w="5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(Stated in thousands)</w:t>
            </w:r>
          </w:p>
        </w:tc>
        <w:tc>
          <w:tcPr>
            <w:tcW w:w="1320" w:type="dxa"/>
            <w:vAlign w:val="bottom"/>
          </w:tcPr>
          <w:p>
            <w:pPr>
              <w:spacing w:after="0"/>
              <w:rPr>
                <w:sz w:val="24"/>
                <w:szCs w:val="24"/>
                <w:color w:val="auto"/>
              </w:rPr>
            </w:pPr>
          </w:p>
        </w:tc>
      </w:tr>
      <w:tr>
        <w:trPr>
          <w:trHeight w:val="163"/>
        </w:trPr>
        <w:tc>
          <w:tcPr>
            <w:tcW w:w="534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36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1999</w:t>
            </w:r>
          </w:p>
        </w:tc>
        <w:tc>
          <w:tcPr>
            <w:tcW w:w="216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1998</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5340" w:type="dxa"/>
            <w:vAlign w:val="bottom"/>
          </w:tcPr>
          <w:p>
            <w:pPr>
              <w:spacing w:after="0"/>
              <w:rPr>
                <w:sz w:val="14"/>
                <w:szCs w:val="14"/>
                <w:color w:val="auto"/>
              </w:rPr>
            </w:pPr>
          </w:p>
        </w:tc>
        <w:tc>
          <w:tcPr>
            <w:tcW w:w="23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534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360" w:type="dxa"/>
            <w:vAlign w:val="bottom"/>
          </w:tcPr>
          <w:p>
            <w:pPr>
              <w:spacing w:after="0"/>
              <w:rPr>
                <w:sz w:val="24"/>
                <w:szCs w:val="2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366,694</w:t>
            </w:r>
          </w:p>
        </w:tc>
        <w:tc>
          <w:tcPr>
            <w:tcW w:w="21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$ 1,014,199</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$ 1,384,549</w:t>
            </w:r>
          </w:p>
        </w:tc>
      </w:tr>
      <w:tr>
        <w:trPr>
          <w:trHeight w:val="163"/>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Adjustments to reconcile net income</w:t>
            </w: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3"/>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to net cash provided by operating activities:</w:t>
            </w: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3"/>
        </w:trPr>
        <w:tc>
          <w:tcPr>
            <w:tcW w:w="534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136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213,676</w:t>
            </w:r>
          </w:p>
        </w:tc>
        <w:tc>
          <w:tcPr>
            <w:tcW w:w="21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136,206</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110,780</w:t>
            </w:r>
          </w:p>
        </w:tc>
      </w:tr>
      <w:tr>
        <w:trPr>
          <w:trHeight w:val="163"/>
        </w:trPr>
        <w:tc>
          <w:tcPr>
            <w:tcW w:w="534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136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1,020,862</w:t>
            </w:r>
          </w:p>
        </w:tc>
        <w:tc>
          <w:tcPr>
            <w:tcW w:w="21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1,011,582</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924,223</w:t>
            </w:r>
          </w:p>
        </w:tc>
      </w:tr>
      <w:tr>
        <w:trPr>
          <w:trHeight w:val="163"/>
        </w:trPr>
        <w:tc>
          <w:tcPr>
            <w:tcW w:w="5340" w:type="dxa"/>
            <w:vAlign w:val="bottom"/>
          </w:tcPr>
          <w:p>
            <w:pPr>
              <w:ind w:left="440"/>
              <w:spacing w:after="0"/>
              <w:rPr>
                <w:sz w:val="20"/>
                <w:szCs w:val="20"/>
                <w:color w:val="auto"/>
              </w:rPr>
            </w:pPr>
            <w:r>
              <w:rPr>
                <w:rFonts w:ascii="Courier New" w:cs="Courier New" w:eastAsia="Courier New" w:hAnsi="Courier New"/>
                <w:sz w:val="14"/>
                <w:szCs w:val="14"/>
                <w:color w:val="auto"/>
              </w:rPr>
              <w:t>Earnings of companies carried at equity,</w:t>
            </w: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3"/>
        </w:trPr>
        <w:tc>
          <w:tcPr>
            <w:tcW w:w="5340" w:type="dxa"/>
            <w:vAlign w:val="bottom"/>
          </w:tcPr>
          <w:p>
            <w:pPr>
              <w:ind w:left="600"/>
              <w:spacing w:after="0"/>
              <w:rPr>
                <w:sz w:val="20"/>
                <w:szCs w:val="20"/>
                <w:color w:val="auto"/>
              </w:rPr>
            </w:pPr>
            <w:r>
              <w:rPr>
                <w:rFonts w:ascii="Courier New" w:cs="Courier New" w:eastAsia="Courier New" w:hAnsi="Courier New"/>
                <w:sz w:val="14"/>
                <w:szCs w:val="14"/>
                <w:color w:val="auto"/>
              </w:rPr>
              <w:t>less dividends received (1999-$3,401;</w:t>
            </w: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3"/>
        </w:trPr>
        <w:tc>
          <w:tcPr>
            <w:tcW w:w="5340" w:type="dxa"/>
            <w:vAlign w:val="bottom"/>
          </w:tcPr>
          <w:p>
            <w:pPr>
              <w:ind w:left="600"/>
              <w:spacing w:after="0"/>
              <w:rPr>
                <w:sz w:val="20"/>
                <w:szCs w:val="20"/>
                <w:color w:val="auto"/>
              </w:rPr>
            </w:pPr>
            <w:r>
              <w:rPr>
                <w:rFonts w:ascii="Courier New" w:cs="Courier New" w:eastAsia="Courier New" w:hAnsi="Courier New"/>
                <w:sz w:val="14"/>
                <w:szCs w:val="14"/>
                <w:color w:val="auto"/>
              </w:rPr>
              <w:t>1998-$4,996; 1997-$4,934)</w:t>
            </w:r>
          </w:p>
        </w:tc>
        <w:tc>
          <w:tcPr>
            <w:tcW w:w="13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(13,904)</w:t>
            </w:r>
          </w:p>
        </w:tc>
        <w:tc>
          <w:tcPr>
            <w:tcW w:w="21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(9,576)</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(1,270)</w:t>
            </w:r>
          </w:p>
        </w:tc>
      </w:tr>
      <w:tr>
        <w:trPr>
          <w:trHeight w:val="163"/>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Provision for losses on accounts receivable</w:t>
            </w:r>
          </w:p>
        </w:tc>
        <w:tc>
          <w:tcPr>
            <w:tcW w:w="136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37,943</w:t>
            </w:r>
          </w:p>
        </w:tc>
        <w:tc>
          <w:tcPr>
            <w:tcW w:w="21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36,861</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27,871</w:t>
            </w:r>
          </w:p>
        </w:tc>
      </w:tr>
      <w:tr>
        <w:trPr>
          <w:trHeight w:val="163"/>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Charges</w:t>
            </w:r>
          </w:p>
        </w:tc>
        <w:tc>
          <w:tcPr>
            <w:tcW w:w="136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128,508</w:t>
            </w:r>
          </w:p>
        </w:tc>
        <w:tc>
          <w:tcPr>
            <w:tcW w:w="21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368,499</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Other adjustments</w:t>
            </w:r>
          </w:p>
        </w:tc>
        <w:tc>
          <w:tcPr>
            <w:tcW w:w="136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(58)</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(2,278)</w:t>
            </w:r>
          </w:p>
        </w:tc>
      </w:tr>
      <w:tr>
        <w:trPr>
          <w:trHeight w:val="163"/>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Change in operating assets and liabilities:</w:t>
            </w: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3"/>
        </w:trPr>
        <w:tc>
          <w:tcPr>
            <w:tcW w:w="5340" w:type="dxa"/>
            <w:vAlign w:val="bottom"/>
          </w:tcPr>
          <w:p>
            <w:pPr>
              <w:ind w:left="440"/>
              <w:spacing w:after="0"/>
              <w:rPr>
                <w:sz w:val="20"/>
                <w:szCs w:val="20"/>
                <w:color w:val="auto"/>
              </w:rPr>
            </w:pPr>
            <w:r>
              <w:rPr>
                <w:rFonts w:ascii="Courier New" w:cs="Courier New" w:eastAsia="Courier New" w:hAnsi="Courier New"/>
                <w:sz w:val="14"/>
                <w:szCs w:val="14"/>
                <w:color w:val="auto"/>
              </w:rPr>
              <w:t>Decrease (increase) in receivables</w:t>
            </w:r>
          </w:p>
        </w:tc>
        <w:tc>
          <w:tcPr>
            <w:tcW w:w="136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265,588</w:t>
            </w:r>
          </w:p>
        </w:tc>
        <w:tc>
          <w:tcPr>
            <w:tcW w:w="21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(20,507)</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(647,470)</w:t>
            </w:r>
          </w:p>
        </w:tc>
      </w:tr>
      <w:tr>
        <w:trPr>
          <w:trHeight w:val="163"/>
        </w:trPr>
        <w:tc>
          <w:tcPr>
            <w:tcW w:w="5340" w:type="dxa"/>
            <w:vAlign w:val="bottom"/>
          </w:tcPr>
          <w:p>
            <w:pPr>
              <w:ind w:left="440"/>
              <w:spacing w:after="0"/>
              <w:rPr>
                <w:sz w:val="20"/>
                <w:szCs w:val="20"/>
                <w:color w:val="auto"/>
              </w:rPr>
            </w:pPr>
            <w:r>
              <w:rPr>
                <w:rFonts w:ascii="Courier New" w:cs="Courier New" w:eastAsia="Courier New" w:hAnsi="Courier New"/>
                <w:sz w:val="14"/>
                <w:szCs w:val="14"/>
                <w:color w:val="auto"/>
              </w:rPr>
              <w:t>Increase in inventories</w:t>
            </w:r>
          </w:p>
        </w:tc>
        <w:tc>
          <w:tcPr>
            <w:tcW w:w="13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(43,635)</w:t>
            </w:r>
          </w:p>
        </w:tc>
        <w:tc>
          <w:tcPr>
            <w:tcW w:w="21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(122,622)</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(220,813)</w:t>
            </w:r>
          </w:p>
        </w:tc>
      </w:tr>
      <w:tr>
        <w:trPr>
          <w:trHeight w:val="163"/>
        </w:trPr>
        <w:tc>
          <w:tcPr>
            <w:tcW w:w="5340" w:type="dxa"/>
            <w:vAlign w:val="bottom"/>
          </w:tcPr>
          <w:p>
            <w:pPr>
              <w:ind w:left="440"/>
              <w:spacing w:after="0"/>
              <w:rPr>
                <w:sz w:val="20"/>
                <w:szCs w:val="20"/>
                <w:color w:val="auto"/>
              </w:rPr>
            </w:pPr>
            <w:r>
              <w:rPr>
                <w:rFonts w:ascii="Courier New" w:cs="Courier New" w:eastAsia="Courier New" w:hAnsi="Courier New"/>
                <w:sz w:val="14"/>
                <w:szCs w:val="14"/>
                <w:color w:val="auto"/>
              </w:rPr>
              <w:t>(Increase) decrease in deferred taxes</w:t>
            </w:r>
          </w:p>
        </w:tc>
        <w:tc>
          <w:tcPr>
            <w:tcW w:w="13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(21,672)</w:t>
            </w:r>
          </w:p>
        </w:tc>
        <w:tc>
          <w:tcPr>
            <w:tcW w:w="21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(75,959)</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32,140</w:t>
            </w:r>
          </w:p>
        </w:tc>
      </w:tr>
      <w:tr>
        <w:trPr>
          <w:trHeight w:val="163"/>
        </w:trPr>
        <w:tc>
          <w:tcPr>
            <w:tcW w:w="5340" w:type="dxa"/>
            <w:vAlign w:val="bottom"/>
          </w:tcPr>
          <w:p>
            <w:pPr>
              <w:ind w:left="440"/>
              <w:spacing w:after="0"/>
              <w:rPr>
                <w:sz w:val="20"/>
                <w:szCs w:val="20"/>
                <w:color w:val="auto"/>
              </w:rPr>
            </w:pPr>
            <w:r>
              <w:rPr>
                <w:rFonts w:ascii="Courier New" w:cs="Courier New" w:eastAsia="Courier New" w:hAnsi="Courier New"/>
                <w:sz w:val="14"/>
                <w:szCs w:val="14"/>
                <w:color w:val="auto"/>
              </w:rPr>
              <w:t>(Decrease) increase in accounts payable</w:t>
            </w: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3"/>
        </w:trPr>
        <w:tc>
          <w:tcPr>
            <w:tcW w:w="5340" w:type="dxa"/>
            <w:vAlign w:val="bottom"/>
          </w:tcPr>
          <w:p>
            <w:pPr>
              <w:ind w:left="600"/>
              <w:spacing w:after="0"/>
              <w:rPr>
                <w:sz w:val="20"/>
                <w:szCs w:val="20"/>
                <w:color w:val="auto"/>
              </w:rPr>
            </w:pPr>
            <w:r>
              <w:rPr>
                <w:rFonts w:ascii="Courier New" w:cs="Courier New" w:eastAsia="Courier New" w:hAnsi="Courier New"/>
                <w:sz w:val="14"/>
                <w:szCs w:val="14"/>
                <w:color w:val="auto"/>
              </w:rPr>
              <w:t>and accrued liabilities</w:t>
            </w:r>
          </w:p>
        </w:tc>
        <w:tc>
          <w:tcPr>
            <w:tcW w:w="13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(181,731)</w:t>
            </w:r>
          </w:p>
        </w:tc>
        <w:tc>
          <w:tcPr>
            <w:tcW w:w="21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(72,940)</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175,664</w:t>
            </w:r>
          </w:p>
        </w:tc>
      </w:tr>
      <w:tr>
        <w:trPr>
          <w:trHeight w:val="163"/>
        </w:trPr>
        <w:tc>
          <w:tcPr>
            <w:tcW w:w="5340" w:type="dxa"/>
            <w:vAlign w:val="bottom"/>
          </w:tcPr>
          <w:p>
            <w:pPr>
              <w:ind w:left="440"/>
              <w:spacing w:after="0"/>
              <w:rPr>
                <w:sz w:val="20"/>
                <w:szCs w:val="20"/>
                <w:color w:val="auto"/>
              </w:rPr>
            </w:pPr>
            <w:r>
              <w:rPr>
                <w:rFonts w:ascii="Courier New" w:cs="Courier New" w:eastAsia="Courier New" w:hAnsi="Courier New"/>
                <w:sz w:val="14"/>
                <w:szCs w:val="14"/>
                <w:color w:val="auto"/>
              </w:rPr>
              <w:t>(Decrease) increase in estimated liability</w:t>
            </w: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3"/>
        </w:trPr>
        <w:tc>
          <w:tcPr>
            <w:tcW w:w="5340" w:type="dxa"/>
            <w:vAlign w:val="bottom"/>
          </w:tcPr>
          <w:p>
            <w:pPr>
              <w:ind w:left="600"/>
              <w:spacing w:after="0"/>
              <w:rPr>
                <w:sz w:val="20"/>
                <w:szCs w:val="20"/>
                <w:color w:val="auto"/>
              </w:rPr>
            </w:pPr>
            <w:r>
              <w:rPr>
                <w:rFonts w:ascii="Courier New" w:cs="Courier New" w:eastAsia="Courier New" w:hAnsi="Courier New"/>
                <w:sz w:val="14"/>
                <w:szCs w:val="14"/>
                <w:color w:val="auto"/>
              </w:rPr>
              <w:t>for taxes on income</w:t>
            </w:r>
          </w:p>
        </w:tc>
        <w:tc>
          <w:tcPr>
            <w:tcW w:w="13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(69,338)</w:t>
            </w:r>
          </w:p>
        </w:tc>
        <w:tc>
          <w:tcPr>
            <w:tcW w:w="21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79,677</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51,215</w:t>
            </w:r>
          </w:p>
        </w:tc>
      </w:tr>
      <w:tr>
        <w:trPr>
          <w:trHeight w:val="163"/>
        </w:trPr>
        <w:tc>
          <w:tcPr>
            <w:tcW w:w="5340" w:type="dxa"/>
            <w:vAlign w:val="bottom"/>
          </w:tcPr>
          <w:p>
            <w:pPr>
              <w:ind w:left="440"/>
              <w:spacing w:after="0"/>
              <w:rPr>
                <w:sz w:val="20"/>
                <w:szCs w:val="20"/>
                <w:color w:val="auto"/>
              </w:rPr>
            </w:pPr>
            <w:r>
              <w:rPr>
                <w:rFonts w:ascii="Courier New" w:cs="Courier New" w:eastAsia="Courier New" w:hAnsi="Courier New"/>
                <w:sz w:val="14"/>
                <w:szCs w:val="14"/>
                <w:color w:val="auto"/>
              </w:rPr>
              <w:t>Other-net</w:t>
            </w:r>
          </w:p>
        </w:tc>
        <w:tc>
          <w:tcPr>
            <w:tcW w:w="13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(182,426)</w:t>
            </w:r>
          </w:p>
        </w:tc>
        <w:tc>
          <w:tcPr>
            <w:tcW w:w="21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(116,784)</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25,916</w:t>
            </w:r>
          </w:p>
        </w:tc>
      </w:tr>
      <w:tr>
        <w:trPr>
          <w:trHeight w:val="163"/>
        </w:trPr>
        <w:tc>
          <w:tcPr>
            <w:tcW w:w="5340" w:type="dxa"/>
            <w:vAlign w:val="bottom"/>
          </w:tcPr>
          <w:p>
            <w:pPr>
              <w:spacing w:after="0"/>
              <w:rPr>
                <w:sz w:val="14"/>
                <w:szCs w:val="14"/>
                <w:color w:val="auto"/>
              </w:rPr>
            </w:pPr>
          </w:p>
        </w:tc>
        <w:tc>
          <w:tcPr>
            <w:tcW w:w="23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36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1,520,565</w:t>
            </w:r>
          </w:p>
        </w:tc>
        <w:tc>
          <w:tcPr>
            <w:tcW w:w="21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2,228,578</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1,860,527</w:t>
            </w:r>
          </w:p>
        </w:tc>
      </w:tr>
      <w:tr>
        <w:trPr>
          <w:trHeight w:val="163"/>
        </w:trPr>
        <w:tc>
          <w:tcPr>
            <w:tcW w:w="5340" w:type="dxa"/>
            <w:vAlign w:val="bottom"/>
          </w:tcPr>
          <w:p>
            <w:pPr>
              <w:spacing w:after="0"/>
              <w:rPr>
                <w:sz w:val="14"/>
                <w:szCs w:val="14"/>
                <w:color w:val="auto"/>
              </w:rPr>
            </w:pPr>
          </w:p>
        </w:tc>
        <w:tc>
          <w:tcPr>
            <w:tcW w:w="23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34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3"/>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Purchases of fixed assets</w:t>
            </w:r>
          </w:p>
        </w:tc>
        <w:tc>
          <w:tcPr>
            <w:tcW w:w="13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(792,001)</w:t>
            </w:r>
          </w:p>
        </w:tc>
        <w:tc>
          <w:tcPr>
            <w:tcW w:w="21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(1,462,620)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(1,404,323)</w:t>
            </w:r>
          </w:p>
        </w:tc>
      </w:tr>
      <w:tr>
        <w:trPr>
          <w:trHeight w:val="163"/>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Sales/retirements of fixed assets &amp; other</w:t>
            </w:r>
          </w:p>
        </w:tc>
        <w:tc>
          <w:tcPr>
            <w:tcW w:w="136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68,005</w:t>
            </w:r>
          </w:p>
        </w:tc>
        <w:tc>
          <w:tcPr>
            <w:tcW w:w="21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111,262</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97,390</w:t>
            </w:r>
          </w:p>
        </w:tc>
      </w:tr>
      <w:tr>
        <w:trPr>
          <w:trHeight w:val="163"/>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Drilling fluids joint venture</w:t>
            </w:r>
          </w:p>
        </w:tc>
        <w:tc>
          <w:tcPr>
            <w:tcW w:w="13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(325,000)</w:t>
            </w:r>
          </w:p>
        </w:tc>
        <w:tc>
          <w:tcPr>
            <w:tcW w:w="216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(Purchase) sale of</w:t>
            </w: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3"/>
        </w:trPr>
        <w:tc>
          <w:tcPr>
            <w:tcW w:w="5340" w:type="dxa"/>
            <w:vAlign w:val="bottom"/>
          </w:tcPr>
          <w:p>
            <w:pPr>
              <w:ind w:left="600"/>
              <w:spacing w:after="0"/>
              <w:rPr>
                <w:sz w:val="20"/>
                <w:szCs w:val="20"/>
                <w:color w:val="auto"/>
              </w:rPr>
            </w:pPr>
            <w:r>
              <w:rPr>
                <w:rFonts w:ascii="Courier New" w:cs="Courier New" w:eastAsia="Courier New" w:hAnsi="Courier New"/>
                <w:sz w:val="14"/>
                <w:szCs w:val="14"/>
                <w:color w:val="auto"/>
              </w:rPr>
              <w:t>other businesses</w:t>
            </w:r>
          </w:p>
        </w:tc>
        <w:tc>
          <w:tcPr>
            <w:tcW w:w="13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(135,338)</w:t>
            </w:r>
          </w:p>
        </w:tc>
        <w:tc>
          <w:tcPr>
            <w:tcW w:w="21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61,662</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(28,233)</w:t>
            </w:r>
          </w:p>
        </w:tc>
      </w:tr>
      <w:tr>
        <w:trPr>
          <w:trHeight w:val="163"/>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Increase in investments</w:t>
            </w:r>
          </w:p>
        </w:tc>
        <w:tc>
          <w:tcPr>
            <w:tcW w:w="13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(295,075)</w:t>
            </w:r>
          </w:p>
        </w:tc>
        <w:tc>
          <w:tcPr>
            <w:tcW w:w="21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(2,292,163)</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(867,894)</w:t>
            </w:r>
          </w:p>
        </w:tc>
      </w:tr>
      <w:tr>
        <w:trPr>
          <w:trHeight w:val="163"/>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Sale of financial instruments</w:t>
            </w:r>
          </w:p>
        </w:tc>
        <w:tc>
          <w:tcPr>
            <w:tcW w:w="136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203,572</w:t>
            </w:r>
          </w:p>
        </w:tc>
        <w:tc>
          <w:tcPr>
            <w:tcW w:w="216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(Increase) decrease in other assets</w:t>
            </w:r>
          </w:p>
        </w:tc>
        <w:tc>
          <w:tcPr>
            <w:tcW w:w="13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(43,166)</w:t>
            </w:r>
          </w:p>
        </w:tc>
        <w:tc>
          <w:tcPr>
            <w:tcW w:w="21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4,660</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19,453</w:t>
            </w:r>
          </w:p>
        </w:tc>
      </w:tr>
      <w:tr>
        <w:trPr>
          <w:trHeight w:val="163"/>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13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(291,953)</w:t>
            </w:r>
          </w:p>
        </w:tc>
        <w:tc>
          <w:tcPr>
            <w:tcW w:w="21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(424,749)</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(13,411)</w:t>
            </w:r>
          </w:p>
        </w:tc>
      </w:tr>
      <w:tr>
        <w:trPr>
          <w:trHeight w:val="163"/>
        </w:trPr>
        <w:tc>
          <w:tcPr>
            <w:tcW w:w="5340" w:type="dxa"/>
            <w:vAlign w:val="bottom"/>
          </w:tcPr>
          <w:p>
            <w:pPr>
              <w:spacing w:after="0"/>
              <w:rPr>
                <w:sz w:val="14"/>
                <w:szCs w:val="14"/>
                <w:color w:val="auto"/>
              </w:rPr>
            </w:pPr>
          </w:p>
        </w:tc>
        <w:tc>
          <w:tcPr>
            <w:tcW w:w="23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13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(1,610,956)</w:t>
            </w:r>
          </w:p>
        </w:tc>
        <w:tc>
          <w:tcPr>
            <w:tcW w:w="21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(4,001,948)</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(2,197,018)</w:t>
            </w:r>
          </w:p>
        </w:tc>
      </w:tr>
      <w:tr>
        <w:trPr>
          <w:trHeight w:val="163"/>
        </w:trPr>
        <w:tc>
          <w:tcPr>
            <w:tcW w:w="5340" w:type="dxa"/>
            <w:vAlign w:val="bottom"/>
          </w:tcPr>
          <w:p>
            <w:pPr>
              <w:spacing w:after="0"/>
              <w:rPr>
                <w:sz w:val="14"/>
                <w:szCs w:val="14"/>
                <w:color w:val="auto"/>
              </w:rPr>
            </w:pPr>
          </w:p>
        </w:tc>
        <w:tc>
          <w:tcPr>
            <w:tcW w:w="23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34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3"/>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Dividends paid</w:t>
            </w:r>
          </w:p>
        </w:tc>
        <w:tc>
          <w:tcPr>
            <w:tcW w:w="13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(410,494)</w:t>
            </w:r>
          </w:p>
        </w:tc>
        <w:tc>
          <w:tcPr>
            <w:tcW w:w="21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(388,379)</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(377,636)</w:t>
            </w:r>
          </w:p>
        </w:tc>
      </w:tr>
      <w:tr>
        <w:trPr>
          <w:trHeight w:val="163"/>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Proceeds from employee stock purchase plan</w:t>
            </w:r>
          </w:p>
        </w:tc>
        <w:tc>
          <w:tcPr>
            <w:tcW w:w="136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70,765</w:t>
            </w:r>
          </w:p>
        </w:tc>
        <w:tc>
          <w:tcPr>
            <w:tcW w:w="21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70,461</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50,055</w:t>
            </w:r>
          </w:p>
        </w:tc>
      </w:tr>
      <w:tr>
        <w:trPr>
          <w:trHeight w:val="163"/>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Proceeds from exercise of stock options</w:t>
            </w:r>
          </w:p>
        </w:tc>
        <w:tc>
          <w:tcPr>
            <w:tcW w:w="136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103,084</w:t>
            </w:r>
          </w:p>
        </w:tc>
        <w:tc>
          <w:tcPr>
            <w:tcW w:w="21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68,780</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97,899</w:t>
            </w:r>
          </w:p>
        </w:tc>
      </w:tr>
      <w:tr>
        <w:trPr>
          <w:trHeight w:val="163"/>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Exercise of stock warrants</w:t>
            </w:r>
          </w:p>
        </w:tc>
        <w:tc>
          <w:tcPr>
            <w:tcW w:w="136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449,625</w:t>
            </w:r>
          </w:p>
        </w:tc>
        <w:tc>
          <w:tcPr>
            <w:tcW w:w="216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Proceeds from issuance of long-term debt</w:t>
            </w:r>
          </w:p>
        </w:tc>
        <w:tc>
          <w:tcPr>
            <w:tcW w:w="136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1,062,935</w:t>
            </w:r>
          </w:p>
        </w:tc>
        <w:tc>
          <w:tcPr>
            <w:tcW w:w="21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2,909,156</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925,579</w:t>
            </w:r>
          </w:p>
        </w:tc>
      </w:tr>
      <w:tr>
        <w:trPr>
          <w:trHeight w:val="163"/>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Payments of principal on long-term debt</w:t>
            </w:r>
          </w:p>
        </w:tc>
        <w:tc>
          <w:tcPr>
            <w:tcW w:w="13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(916,242)</w:t>
            </w:r>
          </w:p>
        </w:tc>
        <w:tc>
          <w:tcPr>
            <w:tcW w:w="21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(863,966)</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(419,962)</w:t>
            </w:r>
          </w:p>
        </w:tc>
      </w:tr>
      <w:tr>
        <w:trPr>
          <w:trHeight w:val="163"/>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Net (decrease) increase in short-term debt</w:t>
            </w:r>
          </w:p>
        </w:tc>
        <w:tc>
          <w:tcPr>
            <w:tcW w:w="13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(242,014)</w:t>
            </w:r>
          </w:p>
        </w:tc>
        <w:tc>
          <w:tcPr>
            <w:tcW w:w="21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(64,756)</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50,831</w:t>
            </w:r>
          </w:p>
        </w:tc>
      </w:tr>
      <w:tr>
        <w:trPr>
          <w:trHeight w:val="163"/>
        </w:trPr>
        <w:tc>
          <w:tcPr>
            <w:tcW w:w="5340" w:type="dxa"/>
            <w:vAlign w:val="bottom"/>
          </w:tcPr>
          <w:p>
            <w:pPr>
              <w:spacing w:after="0"/>
              <w:rPr>
                <w:sz w:val="14"/>
                <w:szCs w:val="14"/>
                <w:color w:val="auto"/>
              </w:rPr>
            </w:pPr>
          </w:p>
        </w:tc>
        <w:tc>
          <w:tcPr>
            <w:tcW w:w="23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CASH PROVIDED BY FINANCING ACTIVITIES</w:t>
            </w:r>
          </w:p>
        </w:tc>
        <w:tc>
          <w:tcPr>
            <w:tcW w:w="136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117,659</w:t>
            </w:r>
          </w:p>
        </w:tc>
        <w:tc>
          <w:tcPr>
            <w:tcW w:w="21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1,731,296</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326,766</w:t>
            </w:r>
          </w:p>
        </w:tc>
      </w:tr>
      <w:tr>
        <w:trPr>
          <w:trHeight w:val="163"/>
        </w:trPr>
        <w:tc>
          <w:tcPr>
            <w:tcW w:w="5340" w:type="dxa"/>
            <w:vAlign w:val="bottom"/>
          </w:tcPr>
          <w:p>
            <w:pPr>
              <w:spacing w:after="0"/>
              <w:rPr>
                <w:sz w:val="14"/>
                <w:szCs w:val="14"/>
                <w:color w:val="auto"/>
              </w:rPr>
            </w:pPr>
          </w:p>
        </w:tc>
        <w:tc>
          <w:tcPr>
            <w:tcW w:w="23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w:t>
            </w:r>
          </w:p>
        </w:tc>
        <w:tc>
          <w:tcPr>
            <w:tcW w:w="136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27,268</w:t>
            </w:r>
          </w:p>
        </w:tc>
        <w:tc>
          <w:tcPr>
            <w:tcW w:w="21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(42,074)</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(9,725)</w:t>
            </w:r>
          </w:p>
        </w:tc>
      </w:tr>
      <w:tr>
        <w:trPr>
          <w:trHeight w:val="163"/>
        </w:trPr>
        <w:tc>
          <w:tcPr>
            <w:tcW w:w="5340" w:type="dxa"/>
            <w:vAlign w:val="bottom"/>
          </w:tcPr>
          <w:p>
            <w:pPr>
              <w:spacing w:after="0"/>
              <w:rPr>
                <w:sz w:val="20"/>
                <w:szCs w:val="20"/>
                <w:color w:val="auto"/>
              </w:rPr>
            </w:pPr>
            <w:r>
              <w:rPr>
                <w:rFonts w:ascii="Courier New" w:cs="Courier New" w:eastAsia="Courier New" w:hAnsi="Courier New"/>
                <w:sz w:val="14"/>
                <w:szCs w:val="14"/>
                <w:color w:val="auto"/>
              </w:rPr>
              <w:t>Cash, beginning of year</w:t>
            </w:r>
          </w:p>
        </w:tc>
        <w:tc>
          <w:tcPr>
            <w:tcW w:w="136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105,321</w:t>
            </w:r>
          </w:p>
        </w:tc>
        <w:tc>
          <w:tcPr>
            <w:tcW w:w="21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147,395</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157,120</w:t>
            </w:r>
          </w:p>
        </w:tc>
      </w:tr>
      <w:tr>
        <w:trPr>
          <w:trHeight w:val="163"/>
        </w:trPr>
        <w:tc>
          <w:tcPr>
            <w:tcW w:w="5340" w:type="dxa"/>
            <w:vAlign w:val="bottom"/>
          </w:tcPr>
          <w:p>
            <w:pPr>
              <w:spacing w:after="0"/>
              <w:rPr>
                <w:sz w:val="14"/>
                <w:szCs w:val="14"/>
                <w:color w:val="auto"/>
              </w:rPr>
            </w:pPr>
          </w:p>
        </w:tc>
        <w:tc>
          <w:tcPr>
            <w:tcW w:w="23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340" w:type="dxa"/>
            <w:vAlign w:val="bottom"/>
          </w:tcPr>
          <w:p>
            <w:pPr>
              <w:spacing w:after="0"/>
              <w:rPr>
                <w:sz w:val="20"/>
                <w:szCs w:val="20"/>
                <w:color w:val="auto"/>
              </w:rPr>
            </w:pPr>
            <w:r>
              <w:rPr>
                <w:rFonts w:ascii="Courier New" w:cs="Courier New" w:eastAsia="Courier New" w:hAnsi="Courier New"/>
                <w:sz w:val="14"/>
                <w:szCs w:val="14"/>
                <w:color w:val="auto"/>
              </w:rPr>
              <w:t>CASH, END OF YEAR</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132,589</w:t>
            </w:r>
          </w:p>
        </w:tc>
        <w:tc>
          <w:tcPr>
            <w:tcW w:w="21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   105,321</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147,395</w:t>
            </w:r>
          </w:p>
        </w:tc>
      </w:tr>
      <w:tr>
        <w:trPr>
          <w:trHeight w:val="163"/>
        </w:trPr>
        <w:tc>
          <w:tcPr>
            <w:tcW w:w="5340" w:type="dxa"/>
            <w:vAlign w:val="bottom"/>
          </w:tcPr>
          <w:p>
            <w:pPr>
              <w:spacing w:after="0"/>
              <w:rPr>
                <w:sz w:val="14"/>
                <w:szCs w:val="14"/>
                <w:color w:val="auto"/>
              </w:rPr>
            </w:pPr>
          </w:p>
        </w:tc>
        <w:tc>
          <w:tcPr>
            <w:tcW w:w="23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the Notes to Consolidated Financial Statements</w:t>
      </w:r>
    </w:p>
    <w:p>
      <w:pPr>
        <w:spacing w:after="0" w:line="4" w:lineRule="exact"/>
        <w:rPr>
          <w:sz w:val="20"/>
          <w:szCs w:val="20"/>
          <w:color w:val="auto"/>
        </w:rPr>
      </w:pPr>
    </w:p>
    <w:p>
      <w:pPr>
        <w:spacing w:after="0"/>
        <w:tabs>
          <w:tab w:leader="none" w:pos="1180" w:val="left"/>
          <w:tab w:leader="none" w:pos="1940" w:val="left"/>
          <w:tab w:leader="none" w:pos="3720" w:val="left"/>
        </w:tabs>
        <w:rPr>
          <w:sz w:val="20"/>
          <w:szCs w:val="20"/>
          <w:color w:val="auto"/>
        </w:rPr>
      </w:pPr>
      <w:r>
        <w:rPr>
          <w:rFonts w:ascii="Courier New" w:cs="Courier New" w:eastAsia="Courier New" w:hAnsi="Courier New"/>
          <w:sz w:val="14"/>
          <w:szCs w:val="14"/>
          <w:color w:val="auto"/>
        </w:rPr>
        <w:t>Schlumberger</w:t>
        <w:tab/>
        <w:t>Limited</w:t>
        <w:tab/>
        <w:t>(Schlumberger N.V.,</w:t>
        <w:tab/>
        <w:t>Incorporated in the Netherlands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Antilles) and Subsidiary Companies.</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1200"/>
          </w:cols>
          <w:pgMar w:left="300" w:top="609" w:right="39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0"/>
        </w:trPr>
        <w:tc>
          <w:tcPr>
            <w:tcW w:w="396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 OF STOCKHOLDERS' EQUITY</w:t>
            </w:r>
          </w:p>
        </w:tc>
        <w:tc>
          <w:tcPr>
            <w:tcW w:w="1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652"/>
        </w:trPr>
        <w:tc>
          <w:tcPr>
            <w:tcW w:w="2380" w:type="dxa"/>
            <w:vAlign w:val="bottom"/>
          </w:tcPr>
          <w:p>
            <w:pPr>
              <w:spacing w:after="0"/>
              <w:rPr>
                <w:sz w:val="24"/>
                <w:szCs w:val="24"/>
                <w:color w:val="auto"/>
              </w:rPr>
            </w:pPr>
          </w:p>
        </w:tc>
        <w:tc>
          <w:tcPr>
            <w:tcW w:w="2760" w:type="dxa"/>
            <w:vAlign w:val="bottom"/>
            <w:gridSpan w:val="2"/>
          </w:tcPr>
          <w:p>
            <w:pPr>
              <w:ind w:left="1280"/>
              <w:spacing w:after="0"/>
              <w:rPr>
                <w:sz w:val="20"/>
                <w:szCs w:val="20"/>
                <w:color w:val="auto"/>
              </w:rPr>
            </w:pPr>
            <w:r>
              <w:rPr>
                <w:rFonts w:ascii="Courier New" w:cs="Courier New" w:eastAsia="Courier New" w:hAnsi="Courier New"/>
                <w:sz w:val="14"/>
                <w:szCs w:val="14"/>
                <w:color w:val="auto"/>
              </w:rPr>
              <w:t>Common  Stock</w:t>
            </w:r>
          </w:p>
        </w:tc>
        <w:tc>
          <w:tcPr>
            <w:tcW w:w="1220" w:type="dxa"/>
            <w:vAlign w:val="bottom"/>
          </w:tcPr>
          <w:p>
            <w:pPr>
              <w:spacing w:after="0"/>
              <w:rPr>
                <w:sz w:val="24"/>
                <w:szCs w:val="24"/>
                <w:color w:val="auto"/>
              </w:rPr>
            </w:pPr>
          </w:p>
        </w:tc>
        <w:tc>
          <w:tcPr>
            <w:tcW w:w="39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(Dollar amounts stated in thousands)</w:t>
            </w:r>
          </w:p>
        </w:tc>
        <w:tc>
          <w:tcPr>
            <w:tcW w:w="880" w:type="dxa"/>
            <w:vAlign w:val="bottom"/>
          </w:tcPr>
          <w:p>
            <w:pPr>
              <w:spacing w:after="0"/>
              <w:rPr>
                <w:sz w:val="24"/>
                <w:szCs w:val="24"/>
                <w:color w:val="auto"/>
              </w:rPr>
            </w:pPr>
          </w:p>
        </w:tc>
      </w:tr>
      <w:tr>
        <w:trPr>
          <w:trHeight w:val="163"/>
        </w:trPr>
        <w:tc>
          <w:tcPr>
            <w:tcW w:w="2380" w:type="dxa"/>
            <w:vAlign w:val="bottom"/>
          </w:tcPr>
          <w:p>
            <w:pPr>
              <w:spacing w:after="0"/>
              <w:rPr>
                <w:sz w:val="14"/>
                <w:szCs w:val="14"/>
                <w:color w:val="auto"/>
              </w:rPr>
            </w:pPr>
          </w:p>
        </w:tc>
        <w:tc>
          <w:tcPr>
            <w:tcW w:w="6320" w:type="dxa"/>
            <w:vAlign w:val="bottom"/>
            <w:gridSpan w:val="5"/>
          </w:tcPr>
          <w:p>
            <w:pPr>
              <w:ind w:left="26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Income</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spacing w:after="0"/>
              <w:rPr>
                <w:sz w:val="14"/>
                <w:szCs w:val="14"/>
                <w:color w:val="auto"/>
              </w:rPr>
            </w:pPr>
          </w:p>
        </w:tc>
        <w:tc>
          <w:tcPr>
            <w:tcW w:w="2760" w:type="dxa"/>
            <w:vAlign w:val="bottom"/>
            <w:gridSpan w:val="2"/>
          </w:tcPr>
          <w:p>
            <w:pPr>
              <w:ind w:left="1280"/>
              <w:spacing w:after="0"/>
              <w:rPr>
                <w:sz w:val="20"/>
                <w:szCs w:val="20"/>
                <w:color w:val="auto"/>
              </w:rPr>
            </w:pPr>
            <w:r>
              <w:rPr>
                <w:rFonts w:ascii="Courier New" w:cs="Courier New" w:eastAsia="Courier New" w:hAnsi="Courier New"/>
                <w:sz w:val="14"/>
                <w:szCs w:val="14"/>
                <w:color w:val="auto"/>
              </w:rPr>
              <w:t>Issued</w:t>
            </w:r>
          </w:p>
        </w:tc>
        <w:tc>
          <w:tcPr>
            <w:tcW w:w="242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In Treasury</w:t>
            </w:r>
          </w:p>
        </w:tc>
        <w:tc>
          <w:tcPr>
            <w:tcW w:w="1140" w:type="dxa"/>
            <w:vAlign w:val="bottom"/>
          </w:tcPr>
          <w:p>
            <w:pPr>
              <w:spacing w:after="0"/>
              <w:rPr>
                <w:sz w:val="14"/>
                <w:szCs w:val="14"/>
                <w:color w:val="auto"/>
              </w:rPr>
            </w:pPr>
          </w:p>
        </w:tc>
        <w:tc>
          <w:tcPr>
            <w:tcW w:w="1220" w:type="dxa"/>
            <w:vAlign w:val="bottom"/>
          </w:tcPr>
          <w:p>
            <w:pPr>
              <w:jc w:val="right"/>
              <w:ind w:right="9"/>
              <w:spacing w:after="0"/>
              <w:rPr>
                <w:sz w:val="20"/>
                <w:szCs w:val="20"/>
                <w:color w:val="auto"/>
              </w:rPr>
            </w:pPr>
            <w:r>
              <w:rPr>
                <w:rFonts w:ascii="Courier New" w:cs="Courier New" w:eastAsia="Courier New" w:hAnsi="Courier New"/>
                <w:sz w:val="14"/>
                <w:szCs w:val="14"/>
                <w:color w:val="auto"/>
              </w:rPr>
              <w:t>Retained for</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spacing w:after="0"/>
              <w:rPr>
                <w:sz w:val="14"/>
                <w:szCs w:val="14"/>
                <w:color w:val="auto"/>
              </w:rPr>
            </w:pPr>
          </w:p>
        </w:tc>
        <w:tc>
          <w:tcPr>
            <w:tcW w:w="51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Translation</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Use in the</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Comprehensive</w:t>
            </w:r>
          </w:p>
        </w:tc>
      </w:tr>
      <w:tr>
        <w:trPr>
          <w:trHeight w:val="163"/>
        </w:trPr>
        <w:tc>
          <w:tcPr>
            <w:tcW w:w="2380" w:type="dxa"/>
            <w:vAlign w:val="bottom"/>
          </w:tcPr>
          <w:p>
            <w:pPr>
              <w:spacing w:after="0"/>
              <w:rPr>
                <w:sz w:val="14"/>
                <w:szCs w:val="14"/>
                <w:color w:val="auto"/>
              </w:rPr>
            </w:pPr>
          </w:p>
        </w:tc>
        <w:tc>
          <w:tcPr>
            <w:tcW w:w="15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Shares</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Amount</w:t>
            </w: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Shares</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Amount</w:t>
            </w:r>
          </w:p>
        </w:tc>
        <w:tc>
          <w:tcPr>
            <w:tcW w:w="1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Adjustment</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Business</w:t>
            </w:r>
          </w:p>
        </w:tc>
        <w:tc>
          <w:tcPr>
            <w:tcW w:w="400" w:type="dxa"/>
            <w:vAlign w:val="bottom"/>
          </w:tcPr>
          <w:p>
            <w:pPr>
              <w:spacing w:after="0"/>
              <w:rPr>
                <w:sz w:val="14"/>
                <w:szCs w:val="14"/>
                <w:color w:val="auto"/>
              </w:rPr>
            </w:pPr>
          </w:p>
        </w:tc>
        <w:tc>
          <w:tcPr>
            <w:tcW w:w="8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Income</w:t>
            </w:r>
          </w:p>
        </w:tc>
      </w:tr>
      <w:tr>
        <w:trPr>
          <w:trHeight w:val="163"/>
        </w:trPr>
        <w:tc>
          <w:tcPr>
            <w:tcW w:w="2380" w:type="dxa"/>
            <w:vAlign w:val="bottom"/>
          </w:tcPr>
          <w:p>
            <w:pPr>
              <w:spacing w:after="0"/>
              <w:rPr>
                <w:sz w:val="14"/>
                <w:szCs w:val="14"/>
                <w:color w:val="auto"/>
              </w:rPr>
            </w:pPr>
          </w:p>
        </w:tc>
        <w:tc>
          <w:tcPr>
            <w:tcW w:w="15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238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1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January 1, 1997</w:t>
            </w:r>
          </w:p>
        </w:tc>
        <w:tc>
          <w:tcPr>
            <w:tcW w:w="15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661,842,453</w:t>
            </w:r>
          </w:p>
        </w:tc>
        <w:tc>
          <w:tcPr>
            <w:tcW w:w="11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$1,307,717</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124,661,624</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$2,315,946</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   (25,626)</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$7,255,108</w:t>
            </w:r>
          </w:p>
        </w:tc>
        <w:tc>
          <w:tcPr>
            <w:tcW w:w="4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925,243</w:t>
            </w:r>
          </w:p>
        </w:tc>
      </w:tr>
      <w:tr>
        <w:trPr>
          <w:trHeight w:val="163"/>
        </w:trPr>
        <w:tc>
          <w:tcPr>
            <w:tcW w:w="2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Translation</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ind w:left="340"/>
              <w:spacing w:after="0"/>
              <w:rPr>
                <w:sz w:val="20"/>
                <w:szCs w:val="20"/>
                <w:color w:val="auto"/>
              </w:rPr>
            </w:pPr>
            <w:r>
              <w:rPr>
                <w:rFonts w:ascii="Courier New" w:cs="Courier New" w:eastAsia="Courier New" w:hAnsi="Courier New"/>
                <w:sz w:val="14"/>
                <w:szCs w:val="14"/>
                <w:color w:val="auto"/>
              </w:rPr>
              <w:t>adjustment</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(37,706)</w:t>
            </w: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(37,706)</w:t>
            </w: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Sales to optionees less</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ind w:left="340"/>
              <w:spacing w:after="0"/>
              <w:rPr>
                <w:sz w:val="20"/>
                <w:szCs w:val="20"/>
                <w:color w:val="auto"/>
              </w:rPr>
            </w:pPr>
            <w:r>
              <w:rPr>
                <w:rFonts w:ascii="Courier New" w:cs="Courier New" w:eastAsia="Courier New" w:hAnsi="Courier New"/>
                <w:sz w:val="14"/>
                <w:szCs w:val="14"/>
                <w:color w:val="auto"/>
              </w:rPr>
              <w:t>shares exchanged</w:t>
            </w:r>
          </w:p>
        </w:tc>
        <w:tc>
          <w:tcPr>
            <w:tcW w:w="15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395,950</w:t>
            </w:r>
          </w:p>
        </w:tc>
        <w:tc>
          <w:tcPr>
            <w:tcW w:w="11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37,316</w:t>
            </w:r>
          </w:p>
        </w:tc>
        <w:tc>
          <w:tcPr>
            <w:tcW w:w="12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(3,323,223)</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(61,743)</w:t>
            </w: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Employee stock</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ind w:left="340"/>
              <w:spacing w:after="0"/>
              <w:rPr>
                <w:sz w:val="20"/>
                <w:szCs w:val="20"/>
                <w:color w:val="auto"/>
              </w:rPr>
            </w:pPr>
            <w:r>
              <w:rPr>
                <w:rFonts w:ascii="Courier New" w:cs="Courier New" w:eastAsia="Courier New" w:hAnsi="Courier New"/>
                <w:sz w:val="14"/>
                <w:szCs w:val="14"/>
                <w:color w:val="auto"/>
              </w:rPr>
              <w:t>purchase plan</w:t>
            </w:r>
          </w:p>
        </w:tc>
        <w:tc>
          <w:tcPr>
            <w:tcW w:w="15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1,399,623</w:t>
            </w:r>
          </w:p>
        </w:tc>
        <w:tc>
          <w:tcPr>
            <w:tcW w:w="11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50,055</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1,384,549</w:t>
            </w:r>
          </w:p>
        </w:tc>
        <w:tc>
          <w:tcPr>
            <w:tcW w:w="40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1,384,549</w:t>
            </w: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IVS acquisition</w:t>
            </w:r>
          </w:p>
        </w:tc>
        <w:tc>
          <w:tcPr>
            <w:tcW w:w="1580" w:type="dxa"/>
            <w:vAlign w:val="bottom"/>
          </w:tcPr>
          <w:p>
            <w:pPr>
              <w:spacing w:after="0"/>
              <w:rPr>
                <w:sz w:val="14"/>
                <w:szCs w:val="14"/>
                <w:color w:val="auto"/>
              </w:rPr>
            </w:pPr>
          </w:p>
        </w:tc>
        <w:tc>
          <w:tcPr>
            <w:tcW w:w="11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16,324</w:t>
            </w:r>
          </w:p>
        </w:tc>
        <w:tc>
          <w:tcPr>
            <w:tcW w:w="12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(238,812)</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(4,438)</w:t>
            </w: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Tax benefit on</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ind w:left="440"/>
              <w:spacing w:after="0"/>
              <w:rPr>
                <w:sz w:val="20"/>
                <w:szCs w:val="20"/>
                <w:color w:val="auto"/>
              </w:rPr>
            </w:pPr>
            <w:r>
              <w:rPr>
                <w:rFonts w:ascii="Courier New" w:cs="Courier New" w:eastAsia="Courier New" w:hAnsi="Courier New"/>
                <w:sz w:val="14"/>
                <w:szCs w:val="14"/>
                <w:color w:val="auto"/>
              </w:rPr>
              <w:t>stock options</w:t>
            </w:r>
          </w:p>
        </w:tc>
        <w:tc>
          <w:tcPr>
            <w:tcW w:w="1580" w:type="dxa"/>
            <w:vAlign w:val="bottom"/>
          </w:tcPr>
          <w:p>
            <w:pPr>
              <w:spacing w:after="0"/>
              <w:rPr>
                <w:sz w:val="14"/>
                <w:szCs w:val="14"/>
                <w:color w:val="auto"/>
              </w:rPr>
            </w:pPr>
          </w:p>
        </w:tc>
        <w:tc>
          <w:tcPr>
            <w:tcW w:w="11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16,600</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Change in subsidiary</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ind w:left="440"/>
              <w:spacing w:after="0"/>
              <w:rPr>
                <w:sz w:val="20"/>
                <w:szCs w:val="20"/>
                <w:color w:val="auto"/>
              </w:rPr>
            </w:pPr>
            <w:r>
              <w:rPr>
                <w:rFonts w:ascii="Courier New" w:cs="Courier New" w:eastAsia="Courier New" w:hAnsi="Courier New"/>
                <w:sz w:val="14"/>
                <w:szCs w:val="14"/>
                <w:color w:val="auto"/>
              </w:rPr>
              <w:t>year-end</w:t>
            </w:r>
          </w:p>
        </w:tc>
        <w:tc>
          <w:tcPr>
            <w:tcW w:w="1580" w:type="dxa"/>
            <w:vAlign w:val="bottom"/>
          </w:tcPr>
          <w:p>
            <w:pPr>
              <w:spacing w:after="0"/>
              <w:rPr>
                <w:sz w:val="14"/>
                <w:szCs w:val="14"/>
                <w:color w:val="auto"/>
              </w:rPr>
            </w:pPr>
          </w:p>
        </w:tc>
        <w:tc>
          <w:tcPr>
            <w:tcW w:w="11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612</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4,560</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Dividends declared</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ind w:left="340"/>
              <w:spacing w:after="0"/>
              <w:rPr>
                <w:sz w:val="20"/>
                <w:szCs w:val="20"/>
                <w:color w:val="auto"/>
              </w:rPr>
            </w:pPr>
            <w:r>
              <w:rPr>
                <w:rFonts w:ascii="Courier New" w:cs="Courier New" w:eastAsia="Courier New" w:hAnsi="Courier New"/>
                <w:sz w:val="14"/>
                <w:szCs w:val="14"/>
                <w:color w:val="auto"/>
              </w:rPr>
              <w:t>($0.75 per share)</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(378,575)</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spacing w:after="0"/>
              <w:rPr>
                <w:sz w:val="14"/>
                <w:szCs w:val="14"/>
                <w:color w:val="auto"/>
              </w:rPr>
            </w:pPr>
          </w:p>
        </w:tc>
        <w:tc>
          <w:tcPr>
            <w:tcW w:w="15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238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1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December 31, 1997</w:t>
            </w:r>
          </w:p>
        </w:tc>
        <w:tc>
          <w:tcPr>
            <w:tcW w:w="15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663,638,026</w:t>
            </w:r>
          </w:p>
        </w:tc>
        <w:tc>
          <w:tcPr>
            <w:tcW w:w="11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1,428,624</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121,099,589</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2,249,765</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(63,332)</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8,265,642</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1,346,843</w:t>
            </w:r>
          </w:p>
        </w:tc>
      </w:tr>
      <w:tr>
        <w:trPr>
          <w:trHeight w:val="163"/>
        </w:trPr>
        <w:tc>
          <w:tcPr>
            <w:tcW w:w="2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Translation</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adjustment</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(18,148)</w:t>
            </w: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(18,148)</w:t>
            </w: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Sales to optionees less</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shares exchanged</w:t>
            </w:r>
          </w:p>
        </w:tc>
        <w:tc>
          <w:tcPr>
            <w:tcW w:w="15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796,992</w:t>
            </w:r>
          </w:p>
        </w:tc>
        <w:tc>
          <w:tcPr>
            <w:tcW w:w="11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40,323</w:t>
            </w:r>
          </w:p>
        </w:tc>
        <w:tc>
          <w:tcPr>
            <w:tcW w:w="12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(1,531,607)</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(28,457)</w:t>
            </w: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Employee stock</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purchase plan</w:t>
            </w:r>
          </w:p>
        </w:tc>
        <w:tc>
          <w:tcPr>
            <w:tcW w:w="15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1,266,840</w:t>
            </w:r>
          </w:p>
        </w:tc>
        <w:tc>
          <w:tcPr>
            <w:tcW w:w="11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70,461</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1,014,199</w:t>
            </w:r>
          </w:p>
        </w:tc>
        <w:tc>
          <w:tcPr>
            <w:tcW w:w="40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1,014,199</w:t>
            </w: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Dividends declared</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($0.75 per share)</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(397,386)</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spacing w:after="0"/>
              <w:rPr>
                <w:sz w:val="14"/>
                <w:szCs w:val="14"/>
                <w:color w:val="auto"/>
              </w:rPr>
            </w:pPr>
          </w:p>
        </w:tc>
        <w:tc>
          <w:tcPr>
            <w:tcW w:w="15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December 31, 1998</w:t>
            </w:r>
          </w:p>
        </w:tc>
        <w:tc>
          <w:tcPr>
            <w:tcW w:w="15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665,701,858</w:t>
            </w:r>
          </w:p>
        </w:tc>
        <w:tc>
          <w:tcPr>
            <w:tcW w:w="11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1,539,408</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119,567,982</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2,221,308</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(81,480)</w:t>
            </w:r>
          </w:p>
        </w:tc>
        <w:tc>
          <w:tcPr>
            <w:tcW w:w="12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8,882,455</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996,051</w:t>
            </w:r>
          </w:p>
        </w:tc>
      </w:tr>
      <w:tr>
        <w:trPr>
          <w:trHeight w:val="163"/>
        </w:trPr>
        <w:tc>
          <w:tcPr>
            <w:tcW w:w="2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Translation</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ind w:left="340"/>
              <w:spacing w:after="0"/>
              <w:rPr>
                <w:sz w:val="20"/>
                <w:szCs w:val="20"/>
                <w:color w:val="auto"/>
              </w:rPr>
            </w:pPr>
            <w:r>
              <w:rPr>
                <w:rFonts w:ascii="Courier New" w:cs="Courier New" w:eastAsia="Courier New" w:hAnsi="Courier New"/>
                <w:sz w:val="14"/>
                <w:szCs w:val="14"/>
                <w:color w:val="auto"/>
              </w:rPr>
              <w:t>adjustment</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(55,678)</w:t>
            </w: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(55,678)</w:t>
            </w:r>
          </w:p>
        </w:tc>
      </w:tr>
      <w:tr>
        <w:trPr>
          <w:trHeight w:val="163"/>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Sales to optionees less</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ind w:left="340"/>
              <w:spacing w:after="0"/>
              <w:rPr>
                <w:sz w:val="20"/>
                <w:szCs w:val="20"/>
                <w:color w:val="auto"/>
              </w:rPr>
            </w:pPr>
            <w:r>
              <w:rPr>
                <w:rFonts w:ascii="Courier New" w:cs="Courier New" w:eastAsia="Courier New" w:hAnsi="Courier New"/>
                <w:sz w:val="14"/>
                <w:szCs w:val="14"/>
                <w:color w:val="auto"/>
              </w:rPr>
              <w:t>shares exchanged</w:t>
            </w:r>
          </w:p>
        </w:tc>
        <w:tc>
          <w:tcPr>
            <w:tcW w:w="15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28,100</w:t>
            </w:r>
          </w:p>
        </w:tc>
        <w:tc>
          <w:tcPr>
            <w:tcW w:w="11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41,931</w:t>
            </w:r>
          </w:p>
        </w:tc>
        <w:tc>
          <w:tcPr>
            <w:tcW w:w="12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(3,291,288)</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(61,153)</w:t>
            </w: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Employee stock</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ind w:left="340"/>
              <w:spacing w:after="0"/>
              <w:rPr>
                <w:sz w:val="20"/>
                <w:szCs w:val="20"/>
                <w:color w:val="auto"/>
              </w:rPr>
            </w:pPr>
            <w:r>
              <w:rPr>
                <w:rFonts w:ascii="Courier New" w:cs="Courier New" w:eastAsia="Courier New" w:hAnsi="Courier New"/>
                <w:sz w:val="14"/>
                <w:szCs w:val="14"/>
                <w:color w:val="auto"/>
              </w:rPr>
              <w:t>purchase plan</w:t>
            </w:r>
          </w:p>
        </w:tc>
        <w:tc>
          <w:tcPr>
            <w:tcW w:w="15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1,324,848</w:t>
            </w:r>
          </w:p>
        </w:tc>
        <w:tc>
          <w:tcPr>
            <w:tcW w:w="11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70,765</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366,694</w:t>
            </w:r>
          </w:p>
        </w:tc>
        <w:tc>
          <w:tcPr>
            <w:tcW w:w="40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366,694</w:t>
            </w:r>
          </w:p>
        </w:tc>
      </w:tr>
      <w:tr>
        <w:trPr>
          <w:trHeight w:val="163"/>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ind w:left="340"/>
              <w:spacing w:after="0"/>
              <w:rPr>
                <w:sz w:val="20"/>
                <w:szCs w:val="20"/>
                <w:color w:val="auto"/>
              </w:rPr>
            </w:pPr>
            <w:r>
              <w:rPr>
                <w:rFonts w:ascii="Courier New" w:cs="Courier New" w:eastAsia="Courier New" w:hAnsi="Courier New"/>
                <w:sz w:val="14"/>
                <w:szCs w:val="14"/>
                <w:color w:val="auto"/>
              </w:rPr>
              <w:t>($0.75 per share)</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(414,210)</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Sedco Forex spin-off</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(918,327)</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Exercise of stock</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ind w:left="340"/>
              <w:spacing w:after="0"/>
              <w:rPr>
                <w:sz w:val="20"/>
                <w:szCs w:val="20"/>
                <w:color w:val="auto"/>
              </w:rPr>
            </w:pPr>
            <w:r>
              <w:rPr>
                <w:rFonts w:ascii="Courier New" w:cs="Courier New" w:eastAsia="Courier New" w:hAnsi="Courier New"/>
                <w:sz w:val="14"/>
                <w:szCs w:val="14"/>
                <w:color w:val="auto"/>
              </w:rPr>
              <w:t>warrants</w:t>
            </w:r>
          </w:p>
        </w:tc>
        <w:tc>
          <w:tcPr>
            <w:tcW w:w="1580" w:type="dxa"/>
            <w:vAlign w:val="bottom"/>
          </w:tcPr>
          <w:p>
            <w:pPr>
              <w:spacing w:after="0"/>
              <w:rPr>
                <w:sz w:val="14"/>
                <w:szCs w:val="14"/>
                <w:color w:val="auto"/>
              </w:rPr>
            </w:pPr>
          </w:p>
        </w:tc>
        <w:tc>
          <w:tcPr>
            <w:tcW w:w="11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168,082</w:t>
            </w:r>
          </w:p>
        </w:tc>
        <w:tc>
          <w:tcPr>
            <w:tcW w:w="12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(15,153,018)</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(281,543)</w:t>
            </w: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spacing w:after="0"/>
              <w:rPr>
                <w:sz w:val="14"/>
                <w:szCs w:val="14"/>
                <w:color w:val="auto"/>
              </w:rPr>
            </w:pPr>
          </w:p>
        </w:tc>
        <w:tc>
          <w:tcPr>
            <w:tcW w:w="15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380" w:type="dxa"/>
            <w:vAlign w:val="bottom"/>
          </w:tcPr>
          <w:p>
            <w:pPr>
              <w:ind w:left="100"/>
              <w:spacing w:after="0"/>
              <w:rPr>
                <w:sz w:val="20"/>
                <w:szCs w:val="20"/>
                <w:color w:val="auto"/>
              </w:rPr>
            </w:pPr>
            <w:r>
              <w:rPr>
                <w:rFonts w:ascii="Courier New" w:cs="Courier New" w:eastAsia="Courier New" w:hAnsi="Courier New"/>
                <w:sz w:val="14"/>
                <w:szCs w:val="14"/>
                <w:color w:val="auto"/>
              </w:rPr>
              <w:t>Balance,</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December 31, 1999</w:t>
            </w:r>
          </w:p>
        </w:tc>
        <w:tc>
          <w:tcPr>
            <w:tcW w:w="15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667,054,806</w:t>
            </w:r>
          </w:p>
        </w:tc>
        <w:tc>
          <w:tcPr>
            <w:tcW w:w="11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$ 1,820,186</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101,123,676</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$1,878,612</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 (137,158)</w:t>
            </w:r>
          </w:p>
        </w:tc>
        <w:tc>
          <w:tcPr>
            <w:tcW w:w="12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$7,916,612</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311,016</w:t>
            </w:r>
          </w:p>
        </w:tc>
      </w:tr>
      <w:tr>
        <w:trPr>
          <w:trHeight w:val="163"/>
        </w:trPr>
        <w:tc>
          <w:tcPr>
            <w:tcW w:w="2380" w:type="dxa"/>
            <w:vAlign w:val="bottom"/>
          </w:tcPr>
          <w:p>
            <w:pPr>
              <w:spacing w:after="0"/>
              <w:rPr>
                <w:sz w:val="14"/>
                <w:szCs w:val="14"/>
                <w:color w:val="auto"/>
              </w:rPr>
            </w:pPr>
          </w:p>
        </w:tc>
        <w:tc>
          <w:tcPr>
            <w:tcW w:w="15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the Notes to Consolidated Financial Statements</w:t>
      </w:r>
    </w:p>
    <w:p>
      <w:pPr>
        <w:spacing w:after="0" w:line="168" w:lineRule="exact"/>
        <w:rPr>
          <w:sz w:val="20"/>
          <w:szCs w:val="20"/>
          <w:color w:val="auto"/>
        </w:rPr>
      </w:pPr>
    </w:p>
    <w:p>
      <w:pPr>
        <w:ind w:right="4740" w:firstLine="85"/>
        <w:spacing w:after="0" w:line="248" w:lineRule="auto"/>
        <w:rPr>
          <w:sz w:val="20"/>
          <w:szCs w:val="20"/>
          <w:color w:val="auto"/>
        </w:rPr>
      </w:pPr>
      <w:r>
        <w:rPr>
          <w:rFonts w:ascii="Courier New" w:cs="Courier New" w:eastAsia="Courier New" w:hAnsi="Courier New"/>
          <w:sz w:val="14"/>
          <w:szCs w:val="14"/>
          <w:color w:val="auto"/>
        </w:rPr>
        <w:t>Schlumberger Limited (Schlumberger N.V., Incorporated in the Netherlands Antilles) and Subsidiary Companies.</w:t>
      </w:r>
    </w:p>
    <w:p>
      <w:pPr>
        <w:spacing w:after="0" w:line="16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1200"/>
          </w:cols>
          <w:pgMar w:left="300" w:top="609" w:right="399"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Accounting Policies</w:t>
      </w:r>
    </w:p>
    <w:p>
      <w:pPr>
        <w:spacing w:after="0" w:line="4" w:lineRule="exact"/>
        <w:rPr>
          <w:sz w:val="20"/>
          <w:szCs w:val="20"/>
          <w:color w:val="auto"/>
        </w:rPr>
      </w:pPr>
    </w:p>
    <w:p>
      <w:pPr>
        <w:ind w:right="4039"/>
        <w:spacing w:after="0" w:line="247" w:lineRule="auto"/>
        <w:rPr>
          <w:sz w:val="20"/>
          <w:szCs w:val="20"/>
          <w:color w:val="auto"/>
        </w:rPr>
      </w:pPr>
      <w:r>
        <w:rPr>
          <w:rFonts w:ascii="Courier New" w:cs="Courier New" w:eastAsia="Courier New" w:hAnsi="Courier New"/>
          <w:sz w:val="14"/>
          <w:szCs w:val="14"/>
          <w:color w:val="auto"/>
        </w:rPr>
        <w:t>The Consolidated Financial Statements of Schlumberger Limited and its subsidiaries have been prepared in accordance with accounting principles generally accepted in the United States.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DISCONTINUED OPERATIONS</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On December 31, 1999, Schlumberger completed the spin-off of its offshore contract drilling business, Sedco Forex, to its stockholders and the subsequent merger of Sedco Forex and Transocean Offshore Inc., which changed its name to Transocean Sedco Forex Inc. following the merger. The results for the Sedco Forex operations spun off by Schlumberger are reported as Discontinued Operations for all periods presented in the Consolidated Statement of Income.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PRINCIPLES OF CONSOLIDATION</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The Consolidated Financial Statements include the accounts of majority-owned subsidiaries. Significant 20% - 50% owned companies are carried on the equity method and classified in Investments in Affiliated Companies. The pro rata share of Schlumberger after-tax earnings is included in Interest and other income. Equity in undistributed earnings of all 50%-owned companies on December 31, 1999 was not material.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ESTIMATES</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 and expenses during the reporting period. While actual results could differ from these estimates, management believes that the estimates are reasonable.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4" w:lineRule="exact"/>
        <w:rPr>
          <w:sz w:val="20"/>
          <w:szCs w:val="20"/>
          <w:color w:val="auto"/>
        </w:rPr>
      </w:pPr>
    </w:p>
    <w:p>
      <w:pPr>
        <w:ind w:right="3699"/>
        <w:spacing w:after="0" w:line="248" w:lineRule="auto"/>
        <w:rPr>
          <w:sz w:val="20"/>
          <w:szCs w:val="20"/>
          <w:color w:val="auto"/>
        </w:rPr>
      </w:pPr>
      <w:r>
        <w:rPr>
          <w:rFonts w:ascii="Courier New" w:cs="Courier New" w:eastAsia="Courier New" w:hAnsi="Courier New"/>
          <w:sz w:val="14"/>
          <w:szCs w:val="14"/>
          <w:color w:val="auto"/>
        </w:rPr>
        <w:t>Generally, revenue is recognized after services are rendered or products are shipped.</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TRANSLATION OF NON-US CURRENCIES</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Oilfield Services' functional currency is primarily the US dollar. Resource Management Services' and Test &amp; Transactions' functional currencies are primarily local currencies. All assets and liabilities recorded in functional currencies other than US dollars are translated at current exchange rates. The resulting adjustments are charged or credited directly to the Stockholders' Equity section of the Consolidated Balance Sheet. Revenue and expenses are translated at the weighted-average exchange rates for the period. All realized and unrealized transaction gains and losses are included in income in the period in which they occur. Schlumberger policy is to hedge against unrealized gains and losses on a monthly basis. Included in the 1999 results were transaction losses of $12 million, compared with losses of $6 million and $10 million in 1998 and 1997, respectively.</w:t>
      </w:r>
    </w:p>
    <w:p>
      <w:pPr>
        <w:spacing w:after="0" w:line="169"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Currency exchange contracts are entered into as a hedge against the effect of future settlement of assets and liabilities denominated in other than the functional currency of the individual businesses. Gains or losses on the contracts are recognized when the currency exchange rates fluctuate, and the resulting charge or credit partially offsets the unrealized currency gains or losses on those assets and liabilities. On December 31, 1999, contracts and options were outstanding for the US dollar equivalent of $110 million in various foreign currencies. These contracts mature on various dates in 2000 and 2001.</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Both short-term and long-term investments held to maturity are stated at cost plus accrued interest, which approximates market, and comprise primarily eurodollar time deposits, certificates of deposit and commercial paper, euronotes and eurobonds, substantially all denominated in US dollars. Substantially all the investments designated as held to maturity that were purchased and sold during the year had original maturities of less than three months. Short-term investments that are designated as trading are stated at market. The unrealized gains/losses on such securities on December 31, 1999 were not significant.</w:t>
      </w:r>
    </w:p>
    <w:p>
      <w:pPr>
        <w:spacing w:after="0" w:line="168"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For purposes of the Consolidated Statement of Cash Flows, Schlumberger does not consider short-term investments to be cash equivalents as they generally have original maturities in excess of three months.</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609" w:right="1440" w:bottom="1440" w:gutter="0" w:footer="0" w:header="0"/>
        </w:sectPr>
      </w:pPr>
    </w:p>
    <w:bookmarkStart w:id="28" w:name="page29"/>
    <w:bookmarkEnd w:id="28"/>
    <w:p>
      <w:pPr>
        <w:ind w:right="3699"/>
        <w:spacing w:after="0" w:line="248" w:lineRule="auto"/>
        <w:rPr>
          <w:sz w:val="20"/>
          <w:szCs w:val="20"/>
          <w:color w:val="auto"/>
        </w:rPr>
      </w:pPr>
      <w:r>
        <w:rPr>
          <w:rFonts w:ascii="Courier New" w:cs="Courier New" w:eastAsia="Courier New" w:hAnsi="Courier New"/>
          <w:sz w:val="14"/>
          <w:szCs w:val="14"/>
          <w:color w:val="auto"/>
        </w:rPr>
        <w:t>Short-term investments at December 31, 1999 and 1998, were $4.26 billion and $3.85 billion, respectively.</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4" w:lineRule="exact"/>
        <w:rPr>
          <w:sz w:val="20"/>
          <w:szCs w:val="20"/>
          <w:color w:val="auto"/>
        </w:rPr>
      </w:pPr>
    </w:p>
    <w:p>
      <w:pPr>
        <w:jc w:val="both"/>
        <w:ind w:right="3879"/>
        <w:spacing w:after="0" w:line="247" w:lineRule="auto"/>
        <w:rPr>
          <w:sz w:val="20"/>
          <w:szCs w:val="20"/>
          <w:color w:val="auto"/>
        </w:rPr>
      </w:pPr>
      <w:r>
        <w:rPr>
          <w:rFonts w:ascii="Courier New" w:cs="Courier New" w:eastAsia="Courier New" w:hAnsi="Courier New"/>
          <w:sz w:val="14"/>
          <w:szCs w:val="14"/>
          <w:color w:val="auto"/>
        </w:rPr>
        <w:t>Inventories are stated principally at average cost or at market, if lower. Inventory consists of materials, supplies, finished goods and nonexclusive proprietary seismic surveys.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Excess of Investment Over Net Assets of Companies Purchased</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Cost in excess of net assets of purchased companies (goodwill) is amortized on a straight-line basis over 5 to 40 years. Accumulated amortization was $516 million and $434 million on December 31, 1999 and 1998, respectively. Of the goodwill on December 31, 1999, 40% is being amortized over 40 years, 11% is being amortized over 28 years, 23% is being amortized over 25 years and 26% is being amortized over periods of up to 25 years.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Fixed Assets and Depreciation</w:t>
      </w:r>
    </w:p>
    <w:p>
      <w:pPr>
        <w:spacing w:after="0" w:line="4" w:lineRule="exact"/>
        <w:rPr>
          <w:sz w:val="20"/>
          <w:szCs w:val="20"/>
          <w:color w:val="auto"/>
        </w:rPr>
      </w:pPr>
    </w:p>
    <w:p>
      <w:pPr>
        <w:jc w:val="both"/>
        <w:ind w:right="3359"/>
        <w:spacing w:after="0" w:line="246" w:lineRule="auto"/>
        <w:rPr>
          <w:sz w:val="20"/>
          <w:szCs w:val="20"/>
          <w:color w:val="auto"/>
        </w:rPr>
      </w:pPr>
      <w:r>
        <w:rPr>
          <w:rFonts w:ascii="Courier New" w:cs="Courier New" w:eastAsia="Courier New" w:hAnsi="Courier New"/>
          <w:sz w:val="14"/>
          <w:szCs w:val="14"/>
          <w:color w:val="auto"/>
        </w:rPr>
        <w:t>Fixed assets are stated at cost less accumulated depreciation, which is provided for by charges to income over the estimated useful lives of the assets using the straight-line method. Fixed assets include the manufacturing cost (average cost) of oilfield technical equipment manufactured by subsidiaries of Schlumberger.</w:t>
      </w:r>
    </w:p>
    <w:p>
      <w:pPr>
        <w:spacing w:after="0" w:line="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Expenditures for renewals, replacements and improvements are capitalized. Maintenance and repairs are charged to operating expenses as incurred. Upon sale or other disposition, the applicable amounts of asset cost and accumulated depreciation are removed from the accounts and the net amount, less proceeds from disposal, is charged or credited to income.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Capitalized Interest</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Schlumberger capitalizes interest expense during the new construction or upgrade of qualifying assets. Interest expense capitalized in 1999 and 1998 was $5 million and $7 million, respectively. No interest expense was capitalized in 1997.</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Impairment of Long-lived Assets</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Schlumberger reviews the carrying value of its long-lived assets, including goodwill, whenever events or changes in circumstances indicate that the historical cost-carrying value of an asset may no longer be appropriate. Schlumberger assesses recoverability of the carrying value of the asset by estimating the future net cash flows expected to result from the asset, including eventual disposition. If the future net cash flows are less than the carrying value of the asset, an impairment loss is recorded equal to the difference between the asset's carrying value and fair value.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Taxes on Income</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Schlumberger and its subsidiaries compute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w:t>
      </w:r>
    </w:p>
    <w:p>
      <w:pPr>
        <w:spacing w:after="0" w:line="16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Approximately $3.2 billion of consolidated income retained for use in the business on December 31, 1999 represented undistributed earnings of consolidated subsidiaries and the pro rata Schlumberger share of 20%-50% owned companies. No provision is made for deferred income taxes on those earnings considered to be indefinitely reinvested or earnings that would not be taxed when remitted.</w:t>
      </w:r>
    </w:p>
    <w:p>
      <w:pPr>
        <w:spacing w:after="0" w:line="162" w:lineRule="exact"/>
        <w:rPr>
          <w:sz w:val="20"/>
          <w:szCs w:val="20"/>
          <w:color w:val="auto"/>
        </w:rPr>
      </w:pPr>
    </w:p>
    <w:p>
      <w:pPr>
        <w:ind w:right="3799"/>
        <w:spacing w:after="0" w:line="248" w:lineRule="auto"/>
        <w:rPr>
          <w:sz w:val="20"/>
          <w:szCs w:val="20"/>
          <w:color w:val="auto"/>
        </w:rPr>
      </w:pPr>
      <w:r>
        <w:rPr>
          <w:rFonts w:ascii="Courier New" w:cs="Courier New" w:eastAsia="Courier New" w:hAnsi="Courier New"/>
          <w:sz w:val="14"/>
          <w:szCs w:val="14"/>
          <w:color w:val="auto"/>
        </w:rPr>
        <w:t>Tax credits and other allowances are credited to current income tax expense using the flow-through method of accounting.</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Share</w:t>
      </w:r>
    </w:p>
    <w:p>
      <w:pPr>
        <w:spacing w:after="0" w:line="4"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Basic earnings per share is calculated by dividing net income by the average number of common shares outstanding during the year. Diluted earnings per share is calculated by dividing net income by the average number of common shares outstanding assuming dilution, the calculation of which assumes that all stock options and warrants which are in the money are exercised at the beginning of the period and the proceeds used, by Schlumberger, to purchase shares at the average market price for the period. The following is a reconciliation from basic earnings per share to diluted earnings per share from continuing operations for each of the last three years:</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609"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0"/>
        </w:trPr>
        <w:tc>
          <w:tcPr>
            <w:tcW w:w="5860" w:type="dxa"/>
            <w:vAlign w:val="bottom"/>
            <w:gridSpan w:val="3"/>
          </w:tcPr>
          <w:p>
            <w:pPr>
              <w:ind w:left="1440"/>
              <w:spacing w:after="0"/>
              <w:rPr>
                <w:sz w:val="20"/>
                <w:szCs w:val="20"/>
                <w:color w:val="auto"/>
              </w:rPr>
            </w:pPr>
            <w:r>
              <w:rPr>
                <w:rFonts w:ascii="Courier New" w:cs="Courier New" w:eastAsia="Courier New" w:hAnsi="Courier New"/>
                <w:sz w:val="14"/>
                <w:szCs w:val="14"/>
                <w:color w:val="auto"/>
              </w:rPr>
              <w:t>(Stated in thousands except per share amounts)</w:t>
            </w: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652"/>
        </w:trPr>
        <w:tc>
          <w:tcPr>
            <w:tcW w:w="2340" w:type="dxa"/>
            <w:vAlign w:val="bottom"/>
          </w:tcPr>
          <w:p>
            <w:pPr>
              <w:spacing w:after="0"/>
              <w:rPr>
                <w:sz w:val="24"/>
                <w:szCs w:val="24"/>
                <w:color w:val="auto"/>
              </w:rPr>
            </w:pPr>
          </w:p>
        </w:tc>
        <w:tc>
          <w:tcPr>
            <w:tcW w:w="2120" w:type="dxa"/>
            <w:vAlign w:val="bottom"/>
          </w:tcPr>
          <w:p>
            <w:pPr>
              <w:ind w:left="880"/>
              <w:spacing w:after="0"/>
              <w:rPr>
                <w:sz w:val="20"/>
                <w:szCs w:val="20"/>
                <w:color w:val="auto"/>
              </w:rPr>
            </w:pPr>
            <w:r>
              <w:rPr>
                <w:rFonts w:ascii="Courier New" w:cs="Courier New" w:eastAsia="Courier New" w:hAnsi="Courier New"/>
                <w:sz w:val="14"/>
                <w:szCs w:val="14"/>
                <w:color w:val="auto"/>
              </w:rPr>
              <w:t>Income from</w:t>
            </w:r>
          </w:p>
        </w:tc>
        <w:tc>
          <w:tcPr>
            <w:tcW w:w="1400" w:type="dxa"/>
            <w:vAlign w:val="bottom"/>
          </w:tcPr>
          <w:p>
            <w:pPr>
              <w:ind w:left="460"/>
              <w:spacing w:after="0"/>
              <w:rPr>
                <w:sz w:val="20"/>
                <w:szCs w:val="20"/>
                <w:color w:val="auto"/>
              </w:rPr>
            </w:pPr>
            <w:r>
              <w:rPr>
                <w:rFonts w:ascii="Courier New" w:cs="Courier New" w:eastAsia="Courier New" w:hAnsi="Courier New"/>
                <w:sz w:val="14"/>
                <w:szCs w:val="14"/>
                <w:color w:val="auto"/>
              </w:rPr>
              <w:t>Average</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3"/>
        </w:trPr>
        <w:tc>
          <w:tcPr>
            <w:tcW w:w="2340" w:type="dxa"/>
            <w:vAlign w:val="bottom"/>
          </w:tcPr>
          <w:p>
            <w:pPr>
              <w:spacing w:after="0"/>
              <w:rPr>
                <w:sz w:val="14"/>
                <w:szCs w:val="14"/>
                <w:color w:val="auto"/>
              </w:rPr>
            </w:pPr>
          </w:p>
        </w:tc>
        <w:tc>
          <w:tcPr>
            <w:tcW w:w="2120" w:type="dxa"/>
            <w:vAlign w:val="bottom"/>
          </w:tcPr>
          <w:p>
            <w:pPr>
              <w:ind w:left="880"/>
              <w:spacing w:after="0"/>
              <w:rPr>
                <w:sz w:val="20"/>
                <w:szCs w:val="20"/>
                <w:color w:val="auto"/>
              </w:rPr>
            </w:pPr>
            <w:r>
              <w:rPr>
                <w:rFonts w:ascii="Courier New" w:cs="Courier New" w:eastAsia="Courier New" w:hAnsi="Courier New"/>
                <w:sz w:val="14"/>
                <w:szCs w:val="14"/>
                <w:color w:val="auto"/>
              </w:rPr>
              <w:t>Continuing</w:t>
            </w:r>
          </w:p>
        </w:tc>
        <w:tc>
          <w:tcPr>
            <w:tcW w:w="1400" w:type="dxa"/>
            <w:vAlign w:val="bottom"/>
          </w:tcPr>
          <w:p>
            <w:pPr>
              <w:ind w:left="460"/>
              <w:spacing w:after="0"/>
              <w:rPr>
                <w:sz w:val="20"/>
                <w:szCs w:val="20"/>
                <w:color w:val="auto"/>
              </w:rPr>
            </w:pPr>
            <w:r>
              <w:rPr>
                <w:rFonts w:ascii="Courier New" w:cs="Courier New" w:eastAsia="Courier New" w:hAnsi="Courier New"/>
                <w:sz w:val="14"/>
                <w:szCs w:val="14"/>
                <w:color w:val="auto"/>
              </w:rPr>
              <w:t>Shares</w:t>
            </w:r>
          </w:p>
        </w:tc>
        <w:tc>
          <w:tcPr>
            <w:tcW w:w="34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Earnings</w:t>
            </w:r>
          </w:p>
        </w:tc>
      </w:tr>
      <w:tr>
        <w:trPr>
          <w:trHeight w:val="163"/>
        </w:trPr>
        <w:tc>
          <w:tcPr>
            <w:tcW w:w="2340" w:type="dxa"/>
            <w:vAlign w:val="bottom"/>
          </w:tcPr>
          <w:p>
            <w:pPr>
              <w:spacing w:after="0"/>
              <w:rPr>
                <w:sz w:val="14"/>
                <w:szCs w:val="14"/>
                <w:color w:val="auto"/>
              </w:rPr>
            </w:pPr>
          </w:p>
        </w:tc>
        <w:tc>
          <w:tcPr>
            <w:tcW w:w="2120" w:type="dxa"/>
            <w:vAlign w:val="bottom"/>
          </w:tcPr>
          <w:p>
            <w:pPr>
              <w:ind w:left="880"/>
              <w:spacing w:after="0"/>
              <w:rPr>
                <w:sz w:val="20"/>
                <w:szCs w:val="20"/>
                <w:color w:val="auto"/>
              </w:rPr>
            </w:pPr>
            <w:r>
              <w:rPr>
                <w:rFonts w:ascii="Courier New" w:cs="Courier New" w:eastAsia="Courier New" w:hAnsi="Courier New"/>
                <w:sz w:val="14"/>
                <w:szCs w:val="14"/>
                <w:color w:val="auto"/>
              </w:rPr>
              <w:t>Operations</w:t>
            </w:r>
          </w:p>
        </w:tc>
        <w:tc>
          <w:tcPr>
            <w:tcW w:w="14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Outstanding</w:t>
            </w:r>
          </w:p>
        </w:tc>
        <w:tc>
          <w:tcPr>
            <w:tcW w:w="11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Per Share</w:t>
            </w:r>
          </w:p>
        </w:tc>
      </w:tr>
      <w:tr>
        <w:trPr>
          <w:trHeight w:val="163"/>
        </w:trPr>
        <w:tc>
          <w:tcPr>
            <w:tcW w:w="2340" w:type="dxa"/>
            <w:vAlign w:val="bottom"/>
          </w:tcPr>
          <w:p>
            <w:pPr>
              <w:spacing w:after="0"/>
              <w:rPr>
                <w:sz w:val="14"/>
                <w:szCs w:val="14"/>
                <w:color w:val="auto"/>
              </w:rPr>
            </w:pPr>
          </w:p>
        </w:tc>
        <w:tc>
          <w:tcPr>
            <w:tcW w:w="2120" w:type="dxa"/>
            <w:vAlign w:val="bottom"/>
          </w:tcPr>
          <w:p>
            <w:pPr>
              <w:ind w:left="72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center"/>
              <w:spacing w:after="0"/>
              <w:rPr>
                <w:sz w:val="20"/>
                <w:szCs w:val="20"/>
                <w:color w:val="auto"/>
              </w:rPr>
            </w:pPr>
            <w:r>
              <w:rPr>
                <w:rFonts w:ascii="Courier New" w:cs="Courier New" w:eastAsia="Courier New" w:hAnsi="Courier New"/>
                <w:sz w:val="14"/>
                <w:szCs w:val="14"/>
                <w:color w:val="auto"/>
                <w:w w:val="99"/>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234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2120" w:type="dxa"/>
            <w:vAlign w:val="bottom"/>
          </w:tcPr>
          <w:p>
            <w:pPr>
              <w:ind w:left="1060"/>
              <w:spacing w:after="0"/>
              <w:rPr>
                <w:sz w:val="20"/>
                <w:szCs w:val="20"/>
                <w:color w:val="auto"/>
              </w:rPr>
            </w:pPr>
            <w:r>
              <w:rPr>
                <w:rFonts w:ascii="Courier New" w:cs="Courier New" w:eastAsia="Courier New" w:hAnsi="Courier New"/>
                <w:sz w:val="14"/>
                <w:szCs w:val="14"/>
                <w:color w:val="auto"/>
              </w:rPr>
              <w:t>$329,334</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548,680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0.60</w:t>
            </w: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Effect of dilution:</w:t>
            </w:r>
          </w:p>
        </w:tc>
        <w:tc>
          <w:tcPr>
            <w:tcW w:w="2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Options</w:t>
            </w:r>
          </w:p>
        </w:tc>
        <w:tc>
          <w:tcPr>
            <w:tcW w:w="2120" w:type="dxa"/>
            <w:vAlign w:val="bottom"/>
          </w:tcPr>
          <w:p>
            <w:pPr>
              <w:spacing w:after="0"/>
              <w:rPr>
                <w:sz w:val="14"/>
                <w:szCs w:val="14"/>
                <w:color w:val="auto"/>
              </w:rPr>
            </w:pP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7,916</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Warrants</w:t>
            </w:r>
          </w:p>
        </w:tc>
        <w:tc>
          <w:tcPr>
            <w:tcW w:w="2120" w:type="dxa"/>
            <w:vAlign w:val="bottom"/>
          </w:tcPr>
          <w:p>
            <w:pPr>
              <w:spacing w:after="0"/>
              <w:rPr>
                <w:sz w:val="14"/>
                <w:szCs w:val="14"/>
                <w:color w:val="auto"/>
              </w:rPr>
            </w:pP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7,193</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2340" w:type="dxa"/>
            <w:vAlign w:val="bottom"/>
          </w:tcPr>
          <w:p>
            <w:pPr>
              <w:spacing w:after="0"/>
              <w:rPr>
                <w:sz w:val="14"/>
                <w:szCs w:val="14"/>
                <w:color w:val="auto"/>
              </w:rPr>
            </w:pPr>
          </w:p>
        </w:tc>
        <w:tc>
          <w:tcPr>
            <w:tcW w:w="2120" w:type="dxa"/>
            <w:vAlign w:val="bottom"/>
          </w:tcPr>
          <w:p>
            <w:pPr>
              <w:ind w:left="10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2120" w:type="dxa"/>
            <w:vAlign w:val="bottom"/>
          </w:tcPr>
          <w:p>
            <w:pPr>
              <w:ind w:left="1060"/>
              <w:spacing w:after="0"/>
              <w:rPr>
                <w:sz w:val="20"/>
                <w:szCs w:val="20"/>
                <w:color w:val="auto"/>
              </w:rPr>
            </w:pPr>
            <w:r>
              <w:rPr>
                <w:rFonts w:ascii="Courier New" w:cs="Courier New" w:eastAsia="Courier New" w:hAnsi="Courier New"/>
                <w:sz w:val="14"/>
                <w:szCs w:val="14"/>
                <w:color w:val="auto"/>
              </w:rPr>
              <w:t>$329,334</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563,789</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0.58</w:t>
            </w:r>
          </w:p>
        </w:tc>
      </w:tr>
      <w:tr>
        <w:trPr>
          <w:trHeight w:val="163"/>
        </w:trPr>
        <w:tc>
          <w:tcPr>
            <w:tcW w:w="2340" w:type="dxa"/>
            <w:vAlign w:val="bottom"/>
          </w:tcPr>
          <w:p>
            <w:pPr>
              <w:spacing w:after="0"/>
              <w:rPr>
                <w:sz w:val="14"/>
                <w:szCs w:val="14"/>
                <w:color w:val="auto"/>
              </w:rPr>
            </w:pPr>
          </w:p>
        </w:tc>
        <w:tc>
          <w:tcPr>
            <w:tcW w:w="2120" w:type="dxa"/>
            <w:vAlign w:val="bottom"/>
          </w:tcPr>
          <w:p>
            <w:pPr>
              <w:ind w:left="10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326"/>
        </w:trPr>
        <w:tc>
          <w:tcPr>
            <w:tcW w:w="234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2120" w:type="dxa"/>
            <w:vAlign w:val="bottom"/>
          </w:tcPr>
          <w:p>
            <w:pPr>
              <w:ind w:left="1060"/>
              <w:spacing w:after="0"/>
              <w:rPr>
                <w:sz w:val="20"/>
                <w:szCs w:val="20"/>
                <w:color w:val="auto"/>
              </w:rPr>
            </w:pPr>
            <w:r>
              <w:rPr>
                <w:rFonts w:ascii="Courier New" w:cs="Courier New" w:eastAsia="Courier New" w:hAnsi="Courier New"/>
                <w:sz w:val="14"/>
                <w:szCs w:val="14"/>
                <w:color w:val="auto"/>
              </w:rPr>
              <w:t>$617,962</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544,338</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1.14</w:t>
            </w: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Effect of dilution:</w:t>
            </w:r>
          </w:p>
        </w:tc>
        <w:tc>
          <w:tcPr>
            <w:tcW w:w="2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Options</w:t>
            </w:r>
          </w:p>
        </w:tc>
        <w:tc>
          <w:tcPr>
            <w:tcW w:w="2120" w:type="dxa"/>
            <w:vAlign w:val="bottom"/>
          </w:tcPr>
          <w:p>
            <w:pPr>
              <w:spacing w:after="0"/>
              <w:rPr>
                <w:sz w:val="14"/>
                <w:szCs w:val="14"/>
                <w:color w:val="auto"/>
              </w:rPr>
            </w:pP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9,723</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Warrants</w:t>
            </w:r>
          </w:p>
        </w:tc>
        <w:tc>
          <w:tcPr>
            <w:tcW w:w="2120" w:type="dxa"/>
            <w:vAlign w:val="bottom"/>
          </w:tcPr>
          <w:p>
            <w:pPr>
              <w:spacing w:after="0"/>
              <w:rPr>
                <w:sz w:val="14"/>
                <w:szCs w:val="14"/>
                <w:color w:val="auto"/>
              </w:rPr>
            </w:pP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7,794</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2340" w:type="dxa"/>
            <w:vAlign w:val="bottom"/>
          </w:tcPr>
          <w:p>
            <w:pPr>
              <w:spacing w:after="0"/>
              <w:rPr>
                <w:sz w:val="14"/>
                <w:szCs w:val="14"/>
                <w:color w:val="auto"/>
              </w:rPr>
            </w:pPr>
          </w:p>
        </w:tc>
        <w:tc>
          <w:tcPr>
            <w:tcW w:w="2120" w:type="dxa"/>
            <w:vAlign w:val="bottom"/>
          </w:tcPr>
          <w:p>
            <w:pPr>
              <w:ind w:left="10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2120" w:type="dxa"/>
            <w:vAlign w:val="bottom"/>
          </w:tcPr>
          <w:p>
            <w:pPr>
              <w:ind w:left="1060"/>
              <w:spacing w:after="0"/>
              <w:rPr>
                <w:sz w:val="20"/>
                <w:szCs w:val="20"/>
                <w:color w:val="auto"/>
              </w:rPr>
            </w:pPr>
            <w:r>
              <w:rPr>
                <w:rFonts w:ascii="Courier New" w:cs="Courier New" w:eastAsia="Courier New" w:hAnsi="Courier New"/>
                <w:sz w:val="14"/>
                <w:szCs w:val="14"/>
                <w:color w:val="auto"/>
              </w:rPr>
              <w:t>$617,962</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561,855</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1.10</w:t>
            </w:r>
          </w:p>
        </w:tc>
      </w:tr>
      <w:tr>
        <w:trPr>
          <w:trHeight w:val="163"/>
        </w:trPr>
        <w:tc>
          <w:tcPr>
            <w:tcW w:w="2340" w:type="dxa"/>
            <w:vAlign w:val="bottom"/>
          </w:tcPr>
          <w:p>
            <w:pPr>
              <w:spacing w:after="0"/>
              <w:rPr>
                <w:sz w:val="14"/>
                <w:szCs w:val="14"/>
                <w:color w:val="auto"/>
              </w:rPr>
            </w:pPr>
          </w:p>
        </w:tc>
        <w:tc>
          <w:tcPr>
            <w:tcW w:w="2120" w:type="dxa"/>
            <w:vAlign w:val="bottom"/>
          </w:tcPr>
          <w:p>
            <w:pPr>
              <w:ind w:left="10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326"/>
        </w:trPr>
        <w:tc>
          <w:tcPr>
            <w:tcW w:w="234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2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2120" w:type="dxa"/>
            <w:vAlign w:val="bottom"/>
          </w:tcPr>
          <w:p>
            <w:pPr>
              <w:ind w:left="1060"/>
              <w:spacing w:after="0"/>
              <w:rPr>
                <w:sz w:val="20"/>
                <w:szCs w:val="20"/>
                <w:color w:val="auto"/>
              </w:rPr>
            </w:pPr>
            <w:r>
              <w:rPr>
                <w:rFonts w:ascii="Courier New" w:cs="Courier New" w:eastAsia="Courier New" w:hAnsi="Courier New"/>
                <w:sz w:val="14"/>
                <w:szCs w:val="14"/>
                <w:color w:val="auto"/>
              </w:rPr>
              <w:t>$1,087,228</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539,330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2.02</w:t>
            </w: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Effect of dilution:</w:t>
            </w:r>
          </w:p>
        </w:tc>
        <w:tc>
          <w:tcPr>
            <w:tcW w:w="2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Options</w:t>
            </w:r>
          </w:p>
        </w:tc>
        <w:tc>
          <w:tcPr>
            <w:tcW w:w="2120" w:type="dxa"/>
            <w:vAlign w:val="bottom"/>
          </w:tcPr>
          <w:p>
            <w:pPr>
              <w:spacing w:after="0"/>
              <w:rPr>
                <w:sz w:val="14"/>
                <w:szCs w:val="14"/>
                <w:color w:val="auto"/>
              </w:rPr>
            </w:pP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12,185</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Warrants</w:t>
            </w:r>
          </w:p>
        </w:tc>
        <w:tc>
          <w:tcPr>
            <w:tcW w:w="2120" w:type="dxa"/>
            <w:vAlign w:val="bottom"/>
          </w:tcPr>
          <w:p>
            <w:pPr>
              <w:spacing w:after="0"/>
              <w:rPr>
                <w:sz w:val="14"/>
                <w:szCs w:val="14"/>
                <w:color w:val="auto"/>
              </w:rPr>
            </w:pP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8,138</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2340" w:type="dxa"/>
            <w:vAlign w:val="bottom"/>
          </w:tcPr>
          <w:p>
            <w:pPr>
              <w:spacing w:after="0"/>
              <w:rPr>
                <w:sz w:val="14"/>
                <w:szCs w:val="14"/>
                <w:color w:val="auto"/>
              </w:rPr>
            </w:pPr>
          </w:p>
        </w:tc>
        <w:tc>
          <w:tcPr>
            <w:tcW w:w="2120" w:type="dxa"/>
            <w:vAlign w:val="bottom"/>
          </w:tcPr>
          <w:p>
            <w:pPr>
              <w:ind w:left="122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2120" w:type="dxa"/>
            <w:vAlign w:val="bottom"/>
          </w:tcPr>
          <w:p>
            <w:pPr>
              <w:ind w:left="1060"/>
              <w:spacing w:after="0"/>
              <w:rPr>
                <w:sz w:val="20"/>
                <w:szCs w:val="20"/>
                <w:color w:val="auto"/>
              </w:rPr>
            </w:pPr>
            <w:r>
              <w:rPr>
                <w:rFonts w:ascii="Courier New" w:cs="Courier New" w:eastAsia="Courier New" w:hAnsi="Courier New"/>
                <w:sz w:val="14"/>
                <w:szCs w:val="14"/>
                <w:color w:val="auto"/>
              </w:rPr>
              <w:t>$1,087,228</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559,653</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1.94</w:t>
            </w:r>
          </w:p>
        </w:tc>
      </w:tr>
      <w:tr>
        <w:trPr>
          <w:trHeight w:val="163"/>
        </w:trPr>
        <w:tc>
          <w:tcPr>
            <w:tcW w:w="2340" w:type="dxa"/>
            <w:vAlign w:val="bottom"/>
          </w:tcPr>
          <w:p>
            <w:pPr>
              <w:spacing w:after="0"/>
              <w:rPr>
                <w:sz w:val="14"/>
                <w:szCs w:val="14"/>
                <w:color w:val="auto"/>
              </w:rPr>
            </w:pPr>
          </w:p>
        </w:tc>
        <w:tc>
          <w:tcPr>
            <w:tcW w:w="2120" w:type="dxa"/>
            <w:vAlign w:val="bottom"/>
          </w:tcPr>
          <w:p>
            <w:pPr>
              <w:ind w:left="10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w:t>
            </w:r>
          </w:p>
        </w:tc>
      </w:tr>
    </w:tbl>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&amp; Engineering</w:t>
      </w:r>
    </w:p>
    <w:p>
      <w:pPr>
        <w:spacing w:after="0" w:line="4" w:lineRule="exact"/>
        <w:rPr>
          <w:sz w:val="20"/>
          <w:szCs w:val="20"/>
          <w:color w:val="auto"/>
        </w:rPr>
      </w:pPr>
    </w:p>
    <w:p>
      <w:pPr>
        <w:ind w:right="3619"/>
        <w:spacing w:after="0" w:line="248" w:lineRule="auto"/>
        <w:rPr>
          <w:sz w:val="20"/>
          <w:szCs w:val="20"/>
          <w:color w:val="auto"/>
        </w:rPr>
      </w:pPr>
      <w:r>
        <w:rPr>
          <w:rFonts w:ascii="Courier New" w:cs="Courier New" w:eastAsia="Courier New" w:hAnsi="Courier New"/>
          <w:sz w:val="14"/>
          <w:szCs w:val="14"/>
          <w:color w:val="auto"/>
        </w:rPr>
        <w:t>All research and engineering expenditures are expensed as incurred, including costs relating to patents or rights that may result from such expenditures.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and 1998 Charges--CONTINUING OPERATIONS</w:t>
      </w:r>
    </w:p>
    <w:p>
      <w:pPr>
        <w:spacing w:after="0" w:line="4"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Schlumberger recorded the following charges in continuing operations in 1999 and 1998:</w:t>
      </w:r>
    </w:p>
    <w:p>
      <w:pPr>
        <w:spacing w:after="0" w:line="161" w:lineRule="exact"/>
        <w:rPr>
          <w:sz w:val="20"/>
          <w:szCs w:val="20"/>
          <w:color w:val="auto"/>
        </w:rPr>
      </w:pPr>
    </w:p>
    <w:p>
      <w:pPr>
        <w:jc w:val="both"/>
        <w:ind w:right="3459"/>
        <w:spacing w:after="0" w:line="247" w:lineRule="auto"/>
        <w:rPr>
          <w:sz w:val="20"/>
          <w:szCs w:val="20"/>
          <w:color w:val="auto"/>
        </w:rPr>
      </w:pPr>
      <w:r>
        <w:rPr>
          <w:rFonts w:ascii="Courier New" w:cs="Courier New" w:eastAsia="Courier New" w:hAnsi="Courier New"/>
          <w:sz w:val="14"/>
          <w:szCs w:val="14"/>
          <w:color w:val="auto"/>
        </w:rPr>
        <w:t>In December 1999, a pre-tax charge of $77 million ($71 million after tax, $0.13 per share - diluted), classified in Cost of goods sold and services, consisting primarily of the following:</w:t>
      </w:r>
    </w:p>
    <w:p>
      <w:pPr>
        <w:spacing w:after="0" w:line="163" w:lineRule="exact"/>
        <w:rPr>
          <w:sz w:val="20"/>
          <w:szCs w:val="20"/>
          <w:color w:val="auto"/>
        </w:rPr>
      </w:pPr>
    </w:p>
    <w:p>
      <w:pPr>
        <w:ind w:left="440" w:right="3539" w:hanging="433"/>
        <w:spacing w:after="0" w:line="246" w:lineRule="auto"/>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$31 million ($26 million after tax) including $23 million of asset impairments and $8 million of severance costs related to reductions in the marine seismic fleet due to depressed market conditions.</w:t>
      </w:r>
    </w:p>
    <w:p>
      <w:pPr>
        <w:spacing w:after="0" w:line="1" w:lineRule="exact"/>
        <w:rPr>
          <w:rFonts w:ascii="Courier New" w:cs="Courier New" w:eastAsia="Courier New" w:hAnsi="Courier New"/>
          <w:sz w:val="14"/>
          <w:szCs w:val="14"/>
          <w:color w:val="auto"/>
        </w:rPr>
      </w:pPr>
    </w:p>
    <w:p>
      <w:pPr>
        <w:ind w:left="440" w:right="3539" w:hanging="433"/>
        <w:spacing w:after="0" w:line="247" w:lineRule="auto"/>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$38 million ($37 million after tax) including $33 million of asset impairments and $5 million of severance costs related to the restructuring of its land drilling activity following the spin-off of its offshore drilling business to stockholders.</w:t>
      </w:r>
    </w:p>
    <w:p>
      <w:pPr>
        <w:spacing w:after="0" w:line="16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In March 1999, a pretax charge of $147 million partially offset by a pretax gain of $103 million (net - $58 million after tax, $0.10 per share - diluted), consisting of the following:</w:t>
      </w:r>
    </w:p>
    <w:p>
      <w:pPr>
        <w:spacing w:after="0" w:line="163" w:lineRule="exact"/>
        <w:rPr>
          <w:sz w:val="20"/>
          <w:szCs w:val="20"/>
          <w:color w:val="auto"/>
        </w:rPr>
      </w:pPr>
    </w:p>
    <w:p>
      <w:pPr>
        <w:ind w:left="440" w:right="3359" w:hanging="433"/>
        <w:spacing w:after="0" w:line="246" w:lineRule="auto"/>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$118 million ($118 million after tax) related to the downsizing of its global Oilfield Services activities, including $108 million of severance costs and $10 million for asset impairments.</w:t>
      </w:r>
    </w:p>
    <w:p>
      <w:pPr>
        <w:spacing w:after="0" w:line="1" w:lineRule="exact"/>
        <w:rPr>
          <w:rFonts w:ascii="Courier New" w:cs="Courier New" w:eastAsia="Courier New" w:hAnsi="Courier New"/>
          <w:sz w:val="14"/>
          <w:szCs w:val="14"/>
          <w:color w:val="auto"/>
        </w:rPr>
      </w:pPr>
    </w:p>
    <w:p>
      <w:pPr>
        <w:ind w:left="440" w:right="3539" w:hanging="433"/>
        <w:spacing w:after="0" w:line="248" w:lineRule="auto"/>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$29 million ($20 million after tax) related to RMS and Test &amp; Transactions, consisting</w:t>
      </w:r>
    </w:p>
    <w:p>
      <w:pPr>
        <w:spacing w:after="0" w:line="16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609" w:right="1440" w:bottom="1440" w:gutter="0" w:footer="0" w:header="0"/>
        </w:sectPr>
      </w:pPr>
    </w:p>
    <w:bookmarkStart w:id="30" w:name="page31"/>
    <w:bookmarkEnd w:id="30"/>
    <w:p>
      <w:pPr>
        <w:ind w:left="440" w:right="3459"/>
        <w:spacing w:after="0" w:line="248" w:lineRule="auto"/>
        <w:rPr>
          <w:sz w:val="20"/>
          <w:szCs w:val="20"/>
          <w:color w:val="auto"/>
        </w:rPr>
      </w:pPr>
      <w:r>
        <w:rPr>
          <w:rFonts w:ascii="Courier New" w:cs="Courier New" w:eastAsia="Courier New" w:hAnsi="Courier New"/>
          <w:sz w:val="14"/>
          <w:szCs w:val="14"/>
          <w:color w:val="auto"/>
        </w:rPr>
        <w:t>principally of $16 million of severance costs at several RMS facilities resulting from a downturn in business and $5 million of asset write-downs.</w:t>
      </w:r>
    </w:p>
    <w:p>
      <w:pPr>
        <w:spacing w:after="0" w:line="161" w:lineRule="exact"/>
        <w:rPr>
          <w:sz w:val="20"/>
          <w:szCs w:val="20"/>
          <w:color w:val="auto"/>
        </w:rPr>
      </w:pPr>
    </w:p>
    <w:p>
      <w:pPr>
        <w:jc w:val="both"/>
        <w:ind w:left="440" w:right="3459" w:hanging="433"/>
        <w:spacing w:after="0" w:line="248"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credit of $103 million ($80 million after tax) from the gain on the sale of financial instruments received in connection with the 1998 sale of RPS.</w:t>
      </w:r>
    </w:p>
    <w:p>
      <w:pPr>
        <w:spacing w:after="0" w:line="161" w:lineRule="exact"/>
        <w:rPr>
          <w:sz w:val="20"/>
          <w:szCs w:val="20"/>
          <w:color w:val="auto"/>
        </w:rPr>
      </w:pPr>
    </w:p>
    <w:p>
      <w:pPr>
        <w:jc w:val="both"/>
        <w:ind w:right="3539"/>
        <w:spacing w:after="0" w:line="247" w:lineRule="auto"/>
        <w:rPr>
          <w:sz w:val="20"/>
          <w:szCs w:val="20"/>
          <w:color w:val="auto"/>
        </w:rPr>
      </w:pPr>
      <w:r>
        <w:rPr>
          <w:rFonts w:ascii="Courier New" w:cs="Courier New" w:eastAsia="Courier New" w:hAnsi="Courier New"/>
          <w:sz w:val="14"/>
          <w:szCs w:val="14"/>
          <w:color w:val="auto"/>
        </w:rPr>
        <w:t>The pretax gain on the sale of financial instruments is included in Interest &amp; other income. The pretax charge of $147 million is classified in Cost of goods sold and services.</w:t>
      </w:r>
    </w:p>
    <w:p>
      <w:pPr>
        <w:spacing w:after="0" w:line="163" w:lineRule="exact"/>
        <w:rPr>
          <w:sz w:val="20"/>
          <w:szCs w:val="20"/>
          <w:color w:val="auto"/>
        </w:rPr>
      </w:pPr>
    </w:p>
    <w:p>
      <w:pPr>
        <w:ind w:right="3799"/>
        <w:spacing w:after="0" w:line="247" w:lineRule="auto"/>
        <w:rPr>
          <w:sz w:val="20"/>
          <w:szCs w:val="20"/>
          <w:color w:val="auto"/>
        </w:rPr>
      </w:pPr>
      <w:r>
        <w:rPr>
          <w:rFonts w:ascii="Courier New" w:cs="Courier New" w:eastAsia="Courier New" w:hAnsi="Courier New"/>
          <w:sz w:val="14"/>
          <w:szCs w:val="14"/>
          <w:color w:val="auto"/>
        </w:rPr>
        <w:t>In September 1998, a pretax charge of $432 million ($368 million after tax, $0.65 per share - diluted), classified in Cost of goods sold and services, consisting primarily of the following:</w:t>
      </w:r>
    </w:p>
    <w:p>
      <w:pPr>
        <w:spacing w:after="0" w:line="163" w:lineRule="exact"/>
        <w:rPr>
          <w:sz w:val="20"/>
          <w:szCs w:val="20"/>
          <w:color w:val="auto"/>
        </w:rPr>
      </w:pPr>
    </w:p>
    <w:p>
      <w:pPr>
        <w:ind w:left="440" w:right="3459" w:hanging="433"/>
        <w:spacing w:after="0" w:line="246" w:lineRule="auto"/>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$314 million ($257 million after tax) related to Oilfield Services, including severance costs of $69 million; facility closure costs of $61 million; operating assets write-offs of $137 million; and $43 million of customer receivable reserves where collection was considered doubtful due to the customers' financial condition and/or country risk. This charge was due to the reduction in business activity.</w:t>
      </w:r>
    </w:p>
    <w:p>
      <w:pPr>
        <w:spacing w:after="0" w:line="3" w:lineRule="exact"/>
        <w:rPr>
          <w:rFonts w:ascii="Courier New" w:cs="Courier New" w:eastAsia="Courier New" w:hAnsi="Courier New"/>
          <w:sz w:val="14"/>
          <w:szCs w:val="14"/>
          <w:color w:val="auto"/>
        </w:rPr>
      </w:pPr>
    </w:p>
    <w:p>
      <w:pPr>
        <w:ind w:left="440" w:right="3619" w:hanging="433"/>
        <w:spacing w:after="0" w:line="246" w:lineRule="auto"/>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$48 million ($63 million after tax) for merger-related costs in connection with the acquisition of Camco.</w:t>
      </w:r>
    </w:p>
    <w:p>
      <w:pPr>
        <w:spacing w:after="0" w:line="1" w:lineRule="exact"/>
        <w:rPr>
          <w:rFonts w:ascii="Courier New" w:cs="Courier New" w:eastAsia="Courier New" w:hAnsi="Courier New"/>
          <w:sz w:val="14"/>
          <w:szCs w:val="14"/>
          <w:color w:val="auto"/>
        </w:rPr>
      </w:pPr>
    </w:p>
    <w:p>
      <w:pPr>
        <w:ind w:left="440" w:right="3539" w:hanging="433"/>
        <w:spacing w:after="0" w:line="247" w:lineRule="auto"/>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$61 million ($43 million after tax) related to RMS and Test &amp; Transactions, consisting primarily of $21 million of severance and $40 million of environmental costs resulting from a reassessment of ongoing future monitoring and maintenance requirements at locations no longer in operation.</w:t>
      </w:r>
    </w:p>
    <w:p>
      <w:pPr>
        <w:spacing w:after="0" w:line="16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Severance costs included in the September 1998 charge (6200 people; $90 million) and the March 1999 charge (4700 people; $124 million) have been paid. The actual number of employees terminated was slightly higher than originally planned; however, this had no material impact on the actual severance costs paid as compared with the amount originally accrued. The December 1999 charge included severance costs of $13 million (300 people) of which $5 million had been paid at December 31, 1999.</w:t>
      </w:r>
    </w:p>
    <w:p>
      <w:pPr>
        <w:spacing w:after="0" w:line="162" w:lineRule="exact"/>
        <w:rPr>
          <w:sz w:val="20"/>
          <w:szCs w:val="20"/>
          <w:color w:val="auto"/>
        </w:rPr>
      </w:pPr>
    </w:p>
    <w:p>
      <w:pPr>
        <w:ind w:right="3699"/>
        <w:spacing w:after="0" w:line="248" w:lineRule="auto"/>
        <w:rPr>
          <w:sz w:val="20"/>
          <w:szCs w:val="20"/>
          <w:color w:val="auto"/>
        </w:rPr>
      </w:pPr>
      <w:r>
        <w:rPr>
          <w:rFonts w:ascii="Courier New" w:cs="Courier New" w:eastAsia="Courier New" w:hAnsi="Courier New"/>
          <w:sz w:val="14"/>
          <w:szCs w:val="14"/>
          <w:color w:val="auto"/>
        </w:rPr>
        <w:t>The $61 million of facility closure costs accrued in 1998 have substantially been paid in accordance with the original plan.</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Discontinued Operations</w:t>
      </w:r>
    </w:p>
    <w:p>
      <w:pPr>
        <w:spacing w:after="0" w:line="168"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On December 31, 1999, Schlumberger completed the spin-off of its offshore contract drilling business, Sedco Forex, to its stockholders and the subsequent merger of Sedco Forex and Transocean Offshore Inc., which changed its name to Transocean Sedco Forex Inc. following the merger. The spin-off was approved by stockholders on December 10, 1999.</w:t>
      </w:r>
    </w:p>
    <w:p>
      <w:pPr>
        <w:spacing w:after="0" w:line="162" w:lineRule="exact"/>
        <w:rPr>
          <w:sz w:val="20"/>
          <w:szCs w:val="20"/>
          <w:color w:val="auto"/>
        </w:rPr>
      </w:pPr>
    </w:p>
    <w:p>
      <w:pPr>
        <w:jc w:val="both"/>
        <w:ind w:right="3459"/>
        <w:spacing w:after="0" w:line="247" w:lineRule="auto"/>
        <w:rPr>
          <w:sz w:val="20"/>
          <w:szCs w:val="20"/>
          <w:color w:val="auto"/>
        </w:rPr>
      </w:pPr>
      <w:r>
        <w:rPr>
          <w:rFonts w:ascii="Courier New" w:cs="Courier New" w:eastAsia="Courier New" w:hAnsi="Courier New"/>
          <w:sz w:val="14"/>
          <w:szCs w:val="14"/>
          <w:color w:val="auto"/>
        </w:rPr>
        <w:t>Upon completion of the merger, Schlumberger stockholders held approximately 52% of the ordinary shares of Transocean Sedco Forex Inc., and Transocean Offshore Inc. shareholders held the remaining 48%. Schlumberger retained no ownership in the combined company.</w:t>
      </w:r>
    </w:p>
    <w:p>
      <w:pPr>
        <w:spacing w:after="0" w:line="16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In the spin-off, Schlumberger stockholders received one share of Sedco Forex for each share of Schlumberger owned on the record date of December 20, 1999. In the merger, each Sedco Forex share was exchanged for 0.1936 ordinary share of Transocean Sedco Forex Inc. Stockholders received cash in lieu of fractional shares.</w:t>
      </w:r>
    </w:p>
    <w:p>
      <w:pPr>
        <w:spacing w:after="0" w:line="16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Results for the Sedco Forex operations spun off by Schlumberger for this transaction are reported as discontinued operations for all periods presented in the Consolidated Statement of Income.</w:t>
      </w:r>
    </w:p>
    <w:p>
      <w:pPr>
        <w:spacing w:after="0" w:line="163" w:lineRule="exact"/>
        <w:rPr>
          <w:sz w:val="20"/>
          <w:szCs w:val="20"/>
          <w:color w:val="auto"/>
        </w:rPr>
      </w:pPr>
    </w:p>
    <w:p>
      <w:pPr>
        <w:ind w:right="3699"/>
        <w:spacing w:after="0" w:line="247" w:lineRule="auto"/>
        <w:rPr>
          <w:sz w:val="20"/>
          <w:szCs w:val="20"/>
          <w:color w:val="auto"/>
        </w:rPr>
      </w:pPr>
      <w:r>
        <w:rPr>
          <w:rFonts w:ascii="Courier New" w:cs="Courier New" w:eastAsia="Courier New" w:hAnsi="Courier New"/>
          <w:sz w:val="14"/>
          <w:szCs w:val="14"/>
          <w:color w:val="auto"/>
        </w:rPr>
        <w:t>Discontinued Operations on the Consolidated Statement of Income includes the operating results of the spun-off Sedco Forex business and the following charges:</w:t>
      </w:r>
    </w:p>
    <w:p>
      <w:pPr>
        <w:spacing w:after="0" w:line="163" w:lineRule="exact"/>
        <w:rPr>
          <w:sz w:val="20"/>
          <w:szCs w:val="20"/>
          <w:color w:val="auto"/>
        </w:rPr>
      </w:pPr>
    </w:p>
    <w:p>
      <w:pPr>
        <w:ind w:left="440" w:right="3699" w:hanging="433"/>
        <w:spacing w:after="0" w:line="246" w:lineRule="auto"/>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1999, an after-tax charge of $50 million ($0.09 per share - diluted) for costs directly associated with the spin-off.</w:t>
      </w:r>
    </w:p>
    <w:p>
      <w:pPr>
        <w:spacing w:after="0" w:line="1" w:lineRule="exact"/>
        <w:rPr>
          <w:rFonts w:ascii="Courier New" w:cs="Courier New" w:eastAsia="Courier New" w:hAnsi="Courier New"/>
          <w:sz w:val="14"/>
          <w:szCs w:val="14"/>
          <w:color w:val="auto"/>
        </w:rPr>
      </w:pPr>
    </w:p>
    <w:p>
      <w:pPr>
        <w:ind w:left="440" w:right="3959" w:hanging="433"/>
        <w:spacing w:after="0" w:line="246" w:lineRule="auto"/>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March 1999, an after-tax charge of $33 million ($0.06 per share - diluted) for severance costs ($13 million) and legal claims.</w:t>
      </w:r>
    </w:p>
    <w:p>
      <w:pPr>
        <w:spacing w:after="0" w:line="1" w:lineRule="exact"/>
        <w:rPr>
          <w:rFonts w:ascii="Courier New" w:cs="Courier New" w:eastAsia="Courier New" w:hAnsi="Courier New"/>
          <w:sz w:val="14"/>
          <w:szCs w:val="14"/>
          <w:color w:val="auto"/>
        </w:rPr>
      </w:pPr>
    </w:p>
    <w:p>
      <w:pPr>
        <w:ind w:left="440" w:right="3619" w:hanging="433"/>
        <w:spacing w:after="0" w:line="248" w:lineRule="auto"/>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September 1998, an after-tax charge of $12 million ($0.02 per share - diluted) for severance costs.</w:t>
      </w:r>
    </w:p>
    <w:p>
      <w:pPr>
        <w:spacing w:after="0" w:line="16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609" w:right="1440" w:bottom="1440" w:gutter="0" w:footer="0" w:header="0"/>
        </w:sectPr>
      </w:pPr>
    </w:p>
    <w:bookmarkStart w:id="31" w:name="page32"/>
    <w:bookmarkEnd w:id="31"/>
    <w:p>
      <w:pPr>
        <w:ind w:right="3359"/>
        <w:spacing w:after="0" w:line="247" w:lineRule="auto"/>
        <w:rPr>
          <w:sz w:val="20"/>
          <w:szCs w:val="20"/>
          <w:color w:val="auto"/>
        </w:rPr>
      </w:pPr>
      <w:r>
        <w:rPr>
          <w:rFonts w:ascii="Courier New" w:cs="Courier New" w:eastAsia="Courier New" w:hAnsi="Courier New"/>
          <w:sz w:val="14"/>
          <w:szCs w:val="14"/>
          <w:color w:val="auto"/>
        </w:rPr>
        <w:t>As a result of the spin-off, Schlumberger Income Retained for Use in the Business was reduced by $918 million representing the spun-off net assets of Sedco Forex ($1.23 billion) less payments received in settlement of intercompany balances between Schlumberger and Sedco Forex ($313 million). The net assets spun off included $1.3 billion of fixed assets.</w:t>
      </w:r>
    </w:p>
    <w:p>
      <w:pPr>
        <w:spacing w:after="0" w:line="162" w:lineRule="exact"/>
        <w:rPr>
          <w:sz w:val="20"/>
          <w:szCs w:val="20"/>
          <w:color w:val="auto"/>
        </w:rPr>
      </w:pPr>
    </w:p>
    <w:p>
      <w:pPr>
        <w:ind w:right="3619"/>
        <w:spacing w:after="0" w:line="247" w:lineRule="auto"/>
        <w:rPr>
          <w:sz w:val="20"/>
          <w:szCs w:val="20"/>
          <w:color w:val="auto"/>
        </w:rPr>
      </w:pPr>
      <w:r>
        <w:rPr>
          <w:rFonts w:ascii="Courier New" w:cs="Courier New" w:eastAsia="Courier New" w:hAnsi="Courier New"/>
          <w:sz w:val="14"/>
          <w:szCs w:val="14"/>
          <w:color w:val="auto"/>
        </w:rPr>
        <w:t>Pursuant to Accounting Principles Board Opinion (APB) No. 30, Reporting the Results of Operations-Reporting the Effects of Disposal of a Segment of a Business, and Extraordinary, Unusual and Infrequently Occurring Events and Transactions, the revenue and expenses of Sedco Forex have been excluded from the respective captions in the Consolidated Statement of Income. The net operating results of Sedco Forex have been reported, net of applicable income taxes, as Discontinued Operations.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Summarized financial information for the discontinued operations,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(Stated</w:t>
            </w:r>
          </w:p>
        </w:tc>
        <w:tc>
          <w:tcPr>
            <w:tcW w:w="1060" w:type="dxa"/>
            <w:vAlign w:val="bottom"/>
          </w:tcPr>
          <w:p>
            <w:pPr>
              <w:ind w:left="60"/>
              <w:spacing w:after="0"/>
              <w:rPr>
                <w:sz w:val="20"/>
                <w:szCs w:val="20"/>
                <w:color w:val="auto"/>
              </w:rPr>
            </w:pPr>
            <w:r>
              <w:rPr>
                <w:rFonts w:ascii="Courier New" w:cs="Courier New" w:eastAsia="Courier New" w:hAnsi="Courier New"/>
                <w:sz w:val="14"/>
                <w:szCs w:val="14"/>
                <w:color w:val="auto"/>
                <w:w w:val="97"/>
              </w:rPr>
              <w:t>in millions)</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3"/>
        </w:trPr>
        <w:tc>
          <w:tcPr>
            <w:tcW w:w="2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1999</w:t>
            </w:r>
          </w:p>
        </w:tc>
        <w:tc>
          <w:tcPr>
            <w:tcW w:w="72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5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2500" w:type="dxa"/>
            <w:vAlign w:val="bottom"/>
          </w:tcPr>
          <w:p>
            <w:pPr>
              <w:spacing w:after="0"/>
              <w:rPr>
                <w:sz w:val="14"/>
                <w:szCs w:val="14"/>
                <w:color w:val="auto"/>
              </w:rPr>
            </w:pPr>
          </w:p>
        </w:tc>
        <w:tc>
          <w:tcPr>
            <w:tcW w:w="17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509"/>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50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060" w:type="dxa"/>
            <w:vAlign w:val="bottom"/>
          </w:tcPr>
          <w:p>
            <w:pPr>
              <w:ind w:left="90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648</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1,091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891</w:t>
            </w:r>
          </w:p>
        </w:tc>
      </w:tr>
      <w:tr>
        <w:trPr>
          <w:trHeight w:val="163"/>
        </w:trPr>
        <w:tc>
          <w:tcPr>
            <w:tcW w:w="2500" w:type="dxa"/>
            <w:vAlign w:val="bottom"/>
          </w:tcPr>
          <w:p>
            <w:pPr>
              <w:spacing w:after="0"/>
              <w:rPr>
                <w:sz w:val="20"/>
                <w:szCs w:val="20"/>
                <w:color w:val="auto"/>
              </w:rPr>
            </w:pPr>
            <w:r>
              <w:rPr>
                <w:rFonts w:ascii="Courier New" w:cs="Courier New" w:eastAsia="Courier New" w:hAnsi="Courier New"/>
                <w:sz w:val="14"/>
                <w:szCs w:val="14"/>
                <w:color w:val="auto"/>
              </w:rPr>
              <w:t>Income before taxes</w:t>
            </w:r>
          </w:p>
        </w:tc>
        <w:tc>
          <w:tcPr>
            <w:tcW w:w="1060" w:type="dxa"/>
            <w:vAlign w:val="bottom"/>
          </w:tcPr>
          <w:p>
            <w:pPr>
              <w:ind w:left="90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29</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428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329</w:t>
            </w:r>
          </w:p>
        </w:tc>
      </w:tr>
      <w:tr>
        <w:trPr>
          <w:trHeight w:val="163"/>
        </w:trPr>
        <w:tc>
          <w:tcPr>
            <w:tcW w:w="2500" w:type="dxa"/>
            <w:vAlign w:val="bottom"/>
          </w:tcPr>
          <w:p>
            <w:pPr>
              <w:spacing w:after="0"/>
              <w:rPr>
                <w:sz w:val="20"/>
                <w:szCs w:val="20"/>
                <w:color w:val="auto"/>
              </w:rPr>
            </w:pPr>
            <w:r>
              <w:rPr>
                <w:rFonts w:ascii="Courier New" w:cs="Courier New" w:eastAsia="Courier New" w:hAnsi="Courier New"/>
                <w:sz w:val="14"/>
                <w:szCs w:val="14"/>
                <w:color w:val="auto"/>
              </w:rPr>
              <w:t>Income after taxes</w:t>
            </w:r>
          </w:p>
        </w:tc>
        <w:tc>
          <w:tcPr>
            <w:tcW w:w="1060" w:type="dxa"/>
            <w:vAlign w:val="bottom"/>
          </w:tcPr>
          <w:p>
            <w:pPr>
              <w:ind w:left="90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37</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396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297</w:t>
            </w:r>
          </w:p>
        </w:tc>
      </w:tr>
      <w:tr>
        <w:trPr>
          <w:trHeight w:val="163"/>
        </w:trPr>
        <w:tc>
          <w:tcPr>
            <w:tcW w:w="2500" w:type="dxa"/>
            <w:vAlign w:val="bottom"/>
          </w:tcPr>
          <w:p>
            <w:pPr>
              <w:spacing w:after="0"/>
              <w:rPr>
                <w:sz w:val="14"/>
                <w:szCs w:val="14"/>
                <w:color w:val="auto"/>
              </w:rPr>
            </w:pPr>
          </w:p>
        </w:tc>
        <w:tc>
          <w:tcPr>
            <w:tcW w:w="174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509"/>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w:t>
      </w:r>
    </w:p>
    <w:p>
      <w:pPr>
        <w:spacing w:after="0" w:line="168"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During 1999, subsidiaries of Schlumberger acquired Merak, a market leader in petroleum software solutions; Secure Oil Tools, a leader in multilateral completions; and substantially all of the assets of Panther Software Corporation, a provider of hardware and software products and services for managing large volumes of seismic data. These acquisitions were accounted for using the purchase method of accounting. Costs in excess of net assets acquired were $106 million which are being amortized on a straight-line basis over 7 to 20 years.</w:t>
      </w:r>
    </w:p>
    <w:p>
      <w:pPr>
        <w:spacing w:after="0" w:line="162"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In the third quarter of 1999, the Omnes joint venture, created in 1995 between Schlumberger and Cable &amp; Wireless, was restructured into two separate business units. Under the agreement, equal ownership and access to products, technology and intellectual property was given to both parent companies. Schlumberger retained ownership of the Omnes name. Omnes is now a fully operational company within Test &amp; Transactions.</w:t>
      </w:r>
    </w:p>
    <w:p>
      <w:pPr>
        <w:spacing w:after="0" w:line="16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On August 31, 1998, the merger of Schlumberger Technology Corporation, a wholly owned subsidiary of Schlumberger, and Camco International Inc. was completed. Under the terms of the merger agreement, approximately 38.2 million shares of Camco common stock were exchanged for 45.1 million shares of Schlumberger common stock at the exchange rate of 1.18 shares of Schlumberger stock for each share of Camco. Based on the Schlumberger average price of $47-7/8 on August 28, the transaction was valued at $2.2 billion. The business combination was accounted for using the pooling-of-interests method of accounting.</w:t>
      </w:r>
    </w:p>
    <w:p>
      <w:pPr>
        <w:spacing w:after="0" w:line="16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During 1997, subsidiaries of Schlumberger acquired Interactive Video Systems, Inc., a metrology solutions provider for the front-end semiconductor fabrication equipment market, and S.A. Holditch and Associates, Inc., a petroleum and geoscience consulting services company. These acquisitions were accounted for using the purchase method of accounting. Costs in excess of net assets acquired were $38 million which are being amortized on a straight-line basis over periods of 5 and 15 years,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 in Affiliated Companies</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In the third quarter of 1999, Schlumberger and Smith International Inc. entered into an agreement whereby their drilling fluids operations were combined to form a joint venture. Under the terms of the agreement, Schlumberger contributed its non-US drilling fluids business and a total of $325 million to the joint venture. Schlumberger owns a 40% interest in the joint venture and records income using the equity method of accounting. The total investment on December 31, 1999 was $414 million. The equity income for 1999 is not material.</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609"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Investments</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The Consolidated Balance Sheet reflects the Schlumberger investment portfolio separated between current and long term, based on maturity. Except for $130 million of investments which are considered trading on December 31, 1999 ($125 million in 1998), it is the intent of Schlumberger to hold the investments until maturity.</w:t>
      </w:r>
    </w:p>
    <w:p>
      <w:pPr>
        <w:spacing w:after="0" w:line="162"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4"/>
          <w:szCs w:val="14"/>
          <w:color w:val="auto"/>
        </w:rPr>
        <w:t>Long-term investments mature as follows: $133 million in 2001, $358 million in 2002 and $235 million thereafter.</w:t>
      </w:r>
    </w:p>
    <w:p>
      <w:pPr>
        <w:spacing w:after="0" w:line="161" w:lineRule="exact"/>
        <w:rPr>
          <w:sz w:val="20"/>
          <w:szCs w:val="20"/>
          <w:color w:val="auto"/>
        </w:rPr>
      </w:pPr>
    </w:p>
    <w:p>
      <w:pPr>
        <w:jc w:val="both"/>
        <w:ind w:right="3459"/>
        <w:spacing w:after="0" w:line="247" w:lineRule="auto"/>
        <w:rPr>
          <w:sz w:val="20"/>
          <w:szCs w:val="20"/>
          <w:color w:val="auto"/>
        </w:rPr>
      </w:pPr>
      <w:r>
        <w:rPr>
          <w:rFonts w:ascii="Courier New" w:cs="Courier New" w:eastAsia="Courier New" w:hAnsi="Courier New"/>
          <w:sz w:val="14"/>
          <w:szCs w:val="14"/>
          <w:color w:val="auto"/>
        </w:rPr>
        <w:t>On December 31, 1999, there were no interest rate swap arrangements outstanding related to investments. Interest rate swap arrangements had no material effect on consolidated interest income.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740" w:type="dxa"/>
            <w:vAlign w:val="bottom"/>
          </w:tcPr>
          <w:p>
            <w:pPr>
              <w:spacing w:after="0"/>
              <w:rPr>
                <w:sz w:val="20"/>
                <w:szCs w:val="20"/>
                <w:color w:val="auto"/>
              </w:rPr>
            </w:pPr>
            <w:r>
              <w:rPr>
                <w:rFonts w:ascii="Courier New" w:cs="Courier New" w:eastAsia="Courier New" w:hAnsi="Courier New"/>
                <w:sz w:val="14"/>
                <w:szCs w:val="14"/>
                <w:color w:val="auto"/>
              </w:rPr>
              <w:t>Fixed Assets</w:t>
            </w: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326"/>
        </w:trPr>
        <w:tc>
          <w:tcPr>
            <w:tcW w:w="3740" w:type="dxa"/>
            <w:vAlign w:val="bottom"/>
          </w:tcPr>
          <w:p>
            <w:pPr>
              <w:spacing w:after="0"/>
              <w:rPr>
                <w:sz w:val="20"/>
                <w:szCs w:val="20"/>
                <w:color w:val="auto"/>
              </w:rPr>
            </w:pPr>
            <w:r>
              <w:rPr>
                <w:rFonts w:ascii="Courier New" w:cs="Courier New" w:eastAsia="Courier New" w:hAnsi="Courier New"/>
                <w:sz w:val="14"/>
                <w:szCs w:val="14"/>
                <w:color w:val="auto"/>
              </w:rPr>
              <w:t>A summary of fixed assets follows:</w:t>
            </w: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3"/>
        </w:trPr>
        <w:tc>
          <w:tcPr>
            <w:tcW w:w="3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80" w:type="dxa"/>
            <w:vAlign w:val="bottom"/>
            <w:gridSpan w:val="3"/>
          </w:tcPr>
          <w:p>
            <w:pPr>
              <w:jc w:val="right"/>
              <w:ind w:right="109"/>
              <w:spacing w:after="0"/>
              <w:rPr>
                <w:sz w:val="20"/>
                <w:szCs w:val="20"/>
                <w:color w:val="auto"/>
              </w:rPr>
            </w:pPr>
            <w:r>
              <w:rPr>
                <w:rFonts w:ascii="Courier New" w:cs="Courier New" w:eastAsia="Courier New" w:hAnsi="Courier New"/>
                <w:sz w:val="14"/>
                <w:szCs w:val="14"/>
                <w:color w:val="auto"/>
              </w:rPr>
              <w:t>(Stated in millions)</w:t>
            </w:r>
          </w:p>
        </w:tc>
      </w:tr>
      <w:tr>
        <w:trPr>
          <w:trHeight w:val="163"/>
        </w:trPr>
        <w:tc>
          <w:tcPr>
            <w:tcW w:w="374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980" w:type="dxa"/>
            <w:vAlign w:val="bottom"/>
          </w:tcPr>
          <w:p>
            <w:pPr>
              <w:spacing w:after="0"/>
              <w:rPr>
                <w:sz w:val="14"/>
                <w:szCs w:val="14"/>
                <w:color w:val="auto"/>
              </w:rPr>
            </w:pPr>
          </w:p>
        </w:tc>
        <w:tc>
          <w:tcPr>
            <w:tcW w:w="96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1999</w:t>
            </w:r>
          </w:p>
        </w:tc>
        <w:tc>
          <w:tcPr>
            <w:tcW w:w="6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3740" w:type="dxa"/>
            <w:vAlign w:val="bottom"/>
          </w:tcPr>
          <w:p>
            <w:pPr>
              <w:spacing w:after="0"/>
              <w:rPr>
                <w:sz w:val="14"/>
                <w:szCs w:val="14"/>
                <w:color w:val="auto"/>
              </w:rPr>
            </w:pPr>
          </w:p>
        </w:tc>
        <w:tc>
          <w:tcPr>
            <w:tcW w:w="194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74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68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r>
        <w:trPr>
          <w:trHeight w:val="163"/>
        </w:trPr>
        <w:tc>
          <w:tcPr>
            <w:tcW w:w="3740" w:type="dxa"/>
            <w:vAlign w:val="bottom"/>
          </w:tcPr>
          <w:p>
            <w:pPr>
              <w:spacing w:after="0"/>
              <w:rPr>
                <w:sz w:val="20"/>
                <w:szCs w:val="20"/>
                <w:color w:val="auto"/>
              </w:rPr>
            </w:pPr>
            <w:r>
              <w:rPr>
                <w:rFonts w:ascii="Courier New" w:cs="Courier New" w:eastAsia="Courier New" w:hAnsi="Courier New"/>
                <w:sz w:val="14"/>
                <w:szCs w:val="14"/>
                <w:color w:val="auto"/>
              </w:rPr>
              <w:t>Buildings &amp;</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3"/>
        </w:trPr>
        <w:tc>
          <w:tcPr>
            <w:tcW w:w="3740" w:type="dxa"/>
            <w:vAlign w:val="bottom"/>
          </w:tcPr>
          <w:p>
            <w:pPr>
              <w:ind w:left="260"/>
              <w:spacing w:after="0"/>
              <w:rPr>
                <w:sz w:val="20"/>
                <w:szCs w:val="20"/>
                <w:color w:val="auto"/>
              </w:rPr>
            </w:pPr>
            <w:r>
              <w:rPr>
                <w:rFonts w:ascii="Courier New" w:cs="Courier New" w:eastAsia="Courier New" w:hAnsi="Courier New"/>
                <w:sz w:val="14"/>
                <w:szCs w:val="14"/>
                <w:color w:val="auto"/>
              </w:rPr>
              <w:t>Improvements</w:t>
            </w:r>
          </w:p>
        </w:tc>
        <w:tc>
          <w:tcPr>
            <w:tcW w:w="980" w:type="dxa"/>
            <w:vAlign w:val="bottom"/>
          </w:tcPr>
          <w:p>
            <w:pPr>
              <w:spacing w:after="0"/>
              <w:rPr>
                <w:sz w:val="14"/>
                <w:szCs w:val="14"/>
                <w:color w:val="auto"/>
              </w:rPr>
            </w:pPr>
          </w:p>
        </w:tc>
        <w:tc>
          <w:tcPr>
            <w:tcW w:w="9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1,086</w:t>
            </w:r>
          </w:p>
        </w:tc>
        <w:tc>
          <w:tcPr>
            <w:tcW w:w="6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1,108</w:t>
            </w:r>
          </w:p>
        </w:tc>
      </w:tr>
      <w:tr>
        <w:trPr>
          <w:trHeight w:val="163"/>
        </w:trPr>
        <w:tc>
          <w:tcPr>
            <w:tcW w:w="3740" w:type="dxa"/>
            <w:vAlign w:val="bottom"/>
          </w:tcPr>
          <w:p>
            <w:pPr>
              <w:spacing w:after="0"/>
              <w:rPr>
                <w:sz w:val="20"/>
                <w:szCs w:val="20"/>
                <w:color w:val="auto"/>
              </w:rPr>
            </w:pPr>
            <w:r>
              <w:rPr>
                <w:rFonts w:ascii="Courier New" w:cs="Courier New" w:eastAsia="Courier New" w:hAnsi="Courier New"/>
                <w:sz w:val="14"/>
                <w:szCs w:val="14"/>
                <w:color w:val="auto"/>
              </w:rPr>
              <w:t>Machinery &amp;</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3"/>
        </w:trPr>
        <w:tc>
          <w:tcPr>
            <w:tcW w:w="3740" w:type="dxa"/>
            <w:vAlign w:val="bottom"/>
          </w:tcPr>
          <w:p>
            <w:pPr>
              <w:ind w:left="260"/>
              <w:spacing w:after="0"/>
              <w:rPr>
                <w:sz w:val="20"/>
                <w:szCs w:val="20"/>
                <w:color w:val="auto"/>
              </w:rPr>
            </w:pPr>
            <w:r>
              <w:rPr>
                <w:rFonts w:ascii="Courier New" w:cs="Courier New" w:eastAsia="Courier New" w:hAnsi="Courier New"/>
                <w:sz w:val="14"/>
                <w:szCs w:val="14"/>
                <w:color w:val="auto"/>
              </w:rPr>
              <w:t>Equipment</w:t>
            </w:r>
          </w:p>
        </w:tc>
        <w:tc>
          <w:tcPr>
            <w:tcW w:w="980" w:type="dxa"/>
            <w:vAlign w:val="bottom"/>
          </w:tcPr>
          <w:p>
            <w:pPr>
              <w:spacing w:after="0"/>
              <w:rPr>
                <w:sz w:val="14"/>
                <w:szCs w:val="14"/>
                <w:color w:val="auto"/>
              </w:rPr>
            </w:pPr>
          </w:p>
        </w:tc>
        <w:tc>
          <w:tcPr>
            <w:tcW w:w="9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8,485</w:t>
            </w:r>
          </w:p>
        </w:tc>
        <w:tc>
          <w:tcPr>
            <w:tcW w:w="6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10,472</w:t>
            </w:r>
          </w:p>
        </w:tc>
      </w:tr>
      <w:tr>
        <w:trPr>
          <w:trHeight w:val="163"/>
        </w:trPr>
        <w:tc>
          <w:tcPr>
            <w:tcW w:w="3740" w:type="dxa"/>
            <w:vAlign w:val="bottom"/>
          </w:tcPr>
          <w:p>
            <w:pPr>
              <w:spacing w:after="0"/>
              <w:rPr>
                <w:sz w:val="14"/>
                <w:szCs w:val="14"/>
                <w:color w:val="auto"/>
              </w:rPr>
            </w:pPr>
          </w:p>
        </w:tc>
        <w:tc>
          <w:tcPr>
            <w:tcW w:w="194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740" w:type="dxa"/>
            <w:vAlign w:val="bottom"/>
          </w:tcPr>
          <w:p>
            <w:pPr>
              <w:spacing w:after="0"/>
              <w:rPr>
                <w:sz w:val="20"/>
                <w:szCs w:val="20"/>
                <w:color w:val="auto"/>
              </w:rPr>
            </w:pPr>
            <w:r>
              <w:rPr>
                <w:rFonts w:ascii="Courier New" w:cs="Courier New" w:eastAsia="Courier New" w:hAnsi="Courier New"/>
                <w:sz w:val="14"/>
                <w:szCs w:val="14"/>
                <w:color w:val="auto"/>
              </w:rPr>
              <w:t>Total cost</w:t>
            </w:r>
          </w:p>
        </w:tc>
        <w:tc>
          <w:tcPr>
            <w:tcW w:w="980" w:type="dxa"/>
            <w:vAlign w:val="bottom"/>
          </w:tcPr>
          <w:p>
            <w:pPr>
              <w:spacing w:after="0"/>
              <w:rPr>
                <w:sz w:val="14"/>
                <w:szCs w:val="14"/>
                <w:color w:val="auto"/>
              </w:rPr>
            </w:pPr>
          </w:p>
        </w:tc>
        <w:tc>
          <w:tcPr>
            <w:tcW w:w="9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9,639</w:t>
            </w:r>
          </w:p>
        </w:tc>
        <w:tc>
          <w:tcPr>
            <w:tcW w:w="6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11,658</w:t>
            </w:r>
          </w:p>
        </w:tc>
      </w:tr>
      <w:tr>
        <w:trPr>
          <w:trHeight w:val="163"/>
        </w:trPr>
        <w:tc>
          <w:tcPr>
            <w:tcW w:w="3740" w:type="dxa"/>
            <w:vAlign w:val="bottom"/>
          </w:tcPr>
          <w:p>
            <w:pPr>
              <w:spacing w:after="0"/>
              <w:rPr>
                <w:sz w:val="20"/>
                <w:szCs w:val="20"/>
                <w:color w:val="auto"/>
              </w:rPr>
            </w:pPr>
            <w:r>
              <w:rPr>
                <w:rFonts w:ascii="Courier New" w:cs="Courier New" w:eastAsia="Courier New" w:hAnsi="Courier New"/>
                <w:sz w:val="14"/>
                <w:szCs w:val="14"/>
                <w:color w:val="auto"/>
              </w:rPr>
              <w:t>Less accumulated</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3"/>
        </w:trPr>
        <w:tc>
          <w:tcPr>
            <w:tcW w:w="3740" w:type="dxa"/>
            <w:vAlign w:val="bottom"/>
          </w:tcPr>
          <w:p>
            <w:pPr>
              <w:ind w:left="260"/>
              <w:spacing w:after="0"/>
              <w:rPr>
                <w:sz w:val="20"/>
                <w:szCs w:val="20"/>
                <w:color w:val="auto"/>
              </w:rPr>
            </w:pPr>
            <w:r>
              <w:rPr>
                <w:rFonts w:ascii="Courier New" w:cs="Courier New" w:eastAsia="Courier New" w:hAnsi="Courier New"/>
                <w:sz w:val="14"/>
                <w:szCs w:val="14"/>
                <w:color w:val="auto"/>
              </w:rPr>
              <w:t>depreciation</w:t>
            </w:r>
          </w:p>
        </w:tc>
        <w:tc>
          <w:tcPr>
            <w:tcW w:w="980" w:type="dxa"/>
            <w:vAlign w:val="bottom"/>
          </w:tcPr>
          <w:p>
            <w:pPr>
              <w:spacing w:after="0"/>
              <w:rPr>
                <w:sz w:val="14"/>
                <w:szCs w:val="14"/>
                <w:color w:val="auto"/>
              </w:rPr>
            </w:pPr>
          </w:p>
        </w:tc>
        <w:tc>
          <w:tcPr>
            <w:tcW w:w="9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6,078</w:t>
            </w:r>
          </w:p>
        </w:tc>
        <w:tc>
          <w:tcPr>
            <w:tcW w:w="6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6,964</w:t>
            </w:r>
          </w:p>
        </w:tc>
      </w:tr>
      <w:tr>
        <w:trPr>
          <w:trHeight w:val="163"/>
        </w:trPr>
        <w:tc>
          <w:tcPr>
            <w:tcW w:w="3740" w:type="dxa"/>
            <w:vAlign w:val="bottom"/>
          </w:tcPr>
          <w:p>
            <w:pPr>
              <w:spacing w:after="0"/>
              <w:rPr>
                <w:sz w:val="14"/>
                <w:szCs w:val="14"/>
                <w:color w:val="auto"/>
              </w:rPr>
            </w:pPr>
          </w:p>
        </w:tc>
        <w:tc>
          <w:tcPr>
            <w:tcW w:w="194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740" w:type="dxa"/>
            <w:vAlign w:val="bottom"/>
          </w:tcPr>
          <w:p>
            <w:pPr>
              <w:spacing w:after="0"/>
              <w:rPr>
                <w:sz w:val="14"/>
                <w:szCs w:val="14"/>
                <w:color w:val="auto"/>
              </w:rPr>
            </w:pPr>
          </w:p>
        </w:tc>
        <w:tc>
          <w:tcPr>
            <w:tcW w:w="194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$ 3,561</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$ 4,694</w:t>
            </w:r>
          </w:p>
        </w:tc>
      </w:tr>
      <w:tr>
        <w:trPr>
          <w:trHeight w:val="163"/>
        </w:trPr>
        <w:tc>
          <w:tcPr>
            <w:tcW w:w="3740" w:type="dxa"/>
            <w:vAlign w:val="bottom"/>
          </w:tcPr>
          <w:p>
            <w:pPr>
              <w:spacing w:after="0"/>
              <w:rPr>
                <w:sz w:val="14"/>
                <w:szCs w:val="14"/>
                <w:color w:val="auto"/>
              </w:rPr>
            </w:pPr>
          </w:p>
        </w:tc>
        <w:tc>
          <w:tcPr>
            <w:tcW w:w="194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The decreases in cost and accumulated depreciation reflect the assets of the Sedco Forex offshore contract drilling business, which was spun off on December 30, 1999 (see Discontinued Operations on page xx).</w:t>
      </w:r>
    </w:p>
    <w:p>
      <w:pPr>
        <w:spacing w:after="0" w:line="163"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The estimated useful lives of Buildings &amp; Improvements are primarily 30 to 40 years. For Machinery &amp; Equipment, 13% is being depreciated over 16 to 25 years, 14% over 10 to 15 years and 73% over 2 to 9 years.</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609"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0"/>
        </w:trPr>
        <w:tc>
          <w:tcPr>
            <w:tcW w:w="43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3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326"/>
        </w:trPr>
        <w:tc>
          <w:tcPr>
            <w:tcW w:w="4380" w:type="dxa"/>
            <w:vAlign w:val="bottom"/>
          </w:tcPr>
          <w:p>
            <w:pPr>
              <w:spacing w:after="0"/>
              <w:rPr>
                <w:sz w:val="20"/>
                <w:szCs w:val="20"/>
                <w:color w:val="auto"/>
              </w:rPr>
            </w:pPr>
            <w:r>
              <w:rPr>
                <w:rFonts w:ascii="Courier New" w:cs="Courier New" w:eastAsia="Courier New" w:hAnsi="Courier New"/>
                <w:sz w:val="14"/>
                <w:szCs w:val="14"/>
                <w:color w:val="auto"/>
              </w:rPr>
              <w:t>A summary of long-term debt by currency follows:</w:t>
            </w: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26"/>
        </w:trPr>
        <w:tc>
          <w:tcPr>
            <w:tcW w:w="4380" w:type="dxa"/>
            <w:vAlign w:val="bottom"/>
          </w:tcPr>
          <w:p>
            <w:pPr>
              <w:spacing w:after="0"/>
              <w:rPr>
                <w:sz w:val="24"/>
                <w:szCs w:val="24"/>
                <w:color w:val="auto"/>
              </w:rPr>
            </w:pPr>
          </w:p>
        </w:tc>
        <w:tc>
          <w:tcPr>
            <w:tcW w:w="242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(Stated in millions)</w:t>
            </w:r>
          </w:p>
        </w:tc>
      </w:tr>
      <w:tr>
        <w:trPr>
          <w:trHeight w:val="163"/>
        </w:trPr>
        <w:tc>
          <w:tcPr>
            <w:tcW w:w="438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4380" w:type="dxa"/>
            <w:vAlign w:val="bottom"/>
          </w:tcPr>
          <w:p>
            <w:pPr>
              <w:spacing w:after="0"/>
              <w:rPr>
                <w:sz w:val="14"/>
                <w:szCs w:val="14"/>
                <w:color w:val="auto"/>
              </w:rPr>
            </w:pP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380" w:type="dxa"/>
            <w:vAlign w:val="bottom"/>
          </w:tcPr>
          <w:p>
            <w:pPr>
              <w:spacing w:after="0"/>
              <w:rPr>
                <w:sz w:val="20"/>
                <w:szCs w:val="20"/>
                <w:color w:val="auto"/>
              </w:rPr>
            </w:pPr>
            <w:r>
              <w:rPr>
                <w:rFonts w:ascii="Courier New" w:cs="Courier New" w:eastAsia="Courier New" w:hAnsi="Courier New"/>
                <w:sz w:val="14"/>
                <w:szCs w:val="14"/>
                <w:color w:val="auto"/>
              </w:rPr>
              <w:t>US dollar</w:t>
            </w: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$2,369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$2,284</w:t>
            </w:r>
          </w:p>
        </w:tc>
      </w:tr>
      <w:tr>
        <w:trPr>
          <w:trHeight w:val="163"/>
        </w:trPr>
        <w:tc>
          <w:tcPr>
            <w:tcW w:w="4380" w:type="dxa"/>
            <w:vAlign w:val="bottom"/>
          </w:tcPr>
          <w:p>
            <w:pPr>
              <w:spacing w:after="0"/>
              <w:rPr>
                <w:sz w:val="20"/>
                <w:szCs w:val="20"/>
                <w:color w:val="auto"/>
              </w:rPr>
            </w:pPr>
            <w:r>
              <w:rPr>
                <w:rFonts w:ascii="Courier New" w:cs="Courier New" w:eastAsia="Courier New" w:hAnsi="Courier New"/>
                <w:sz w:val="14"/>
                <w:szCs w:val="14"/>
                <w:color w:val="auto"/>
              </w:rPr>
              <w:t>Euro</w:t>
            </w: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335</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163"/>
        </w:trPr>
        <w:tc>
          <w:tcPr>
            <w:tcW w:w="4380" w:type="dxa"/>
            <w:vAlign w:val="bottom"/>
          </w:tcPr>
          <w:p>
            <w:pPr>
              <w:spacing w:after="0"/>
              <w:rPr>
                <w:sz w:val="20"/>
                <w:szCs w:val="20"/>
                <w:color w:val="auto"/>
              </w:rPr>
            </w:pPr>
            <w:r>
              <w:rPr>
                <w:rFonts w:ascii="Courier New" w:cs="Courier New" w:eastAsia="Courier New" w:hAnsi="Courier New"/>
                <w:sz w:val="14"/>
                <w:szCs w:val="14"/>
                <w:color w:val="auto"/>
              </w:rPr>
              <w:t>Japanese yen</w:t>
            </w: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146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125</w:t>
            </w:r>
          </w:p>
        </w:tc>
      </w:tr>
      <w:tr>
        <w:trPr>
          <w:trHeight w:val="163"/>
        </w:trPr>
        <w:tc>
          <w:tcPr>
            <w:tcW w:w="4380" w:type="dxa"/>
            <w:vAlign w:val="bottom"/>
          </w:tcPr>
          <w:p>
            <w:pPr>
              <w:spacing w:after="0"/>
              <w:rPr>
                <w:sz w:val="20"/>
                <w:szCs w:val="20"/>
                <w:color w:val="auto"/>
              </w:rPr>
            </w:pPr>
            <w:r>
              <w:rPr>
                <w:rFonts w:ascii="Courier New" w:cs="Courier New" w:eastAsia="Courier New" w:hAnsi="Courier New"/>
                <w:sz w:val="14"/>
                <w:szCs w:val="14"/>
                <w:color w:val="auto"/>
              </w:rPr>
              <w:t>Canadian dollar</w:t>
            </w: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105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r>
        <w:trPr>
          <w:trHeight w:val="163"/>
        </w:trPr>
        <w:tc>
          <w:tcPr>
            <w:tcW w:w="4380" w:type="dxa"/>
            <w:vAlign w:val="bottom"/>
          </w:tcPr>
          <w:p>
            <w:pPr>
              <w:spacing w:after="0"/>
              <w:rPr>
                <w:sz w:val="20"/>
                <w:szCs w:val="20"/>
                <w:color w:val="auto"/>
              </w:rPr>
            </w:pPr>
            <w:r>
              <w:rPr>
                <w:rFonts w:ascii="Courier New" w:cs="Courier New" w:eastAsia="Courier New" w:hAnsi="Courier New"/>
                <w:sz w:val="14"/>
                <w:szCs w:val="14"/>
                <w:color w:val="auto"/>
              </w:rPr>
              <w:t>Italian lira</w:t>
            </w: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76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r>
      <w:tr>
        <w:trPr>
          <w:trHeight w:val="163"/>
        </w:trPr>
        <w:tc>
          <w:tcPr>
            <w:tcW w:w="4380" w:type="dxa"/>
            <w:vAlign w:val="bottom"/>
          </w:tcPr>
          <w:p>
            <w:pPr>
              <w:spacing w:after="0"/>
              <w:rPr>
                <w:sz w:val="20"/>
                <w:szCs w:val="20"/>
                <w:color w:val="auto"/>
              </w:rPr>
            </w:pPr>
            <w:r>
              <w:rPr>
                <w:rFonts w:ascii="Courier New" w:cs="Courier New" w:eastAsia="Courier New" w:hAnsi="Courier New"/>
                <w:sz w:val="14"/>
                <w:szCs w:val="14"/>
                <w:color w:val="auto"/>
              </w:rPr>
              <w:t>UK pound</w:t>
            </w: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20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270</w:t>
            </w:r>
          </w:p>
        </w:tc>
      </w:tr>
      <w:tr>
        <w:trPr>
          <w:trHeight w:val="163"/>
        </w:trPr>
        <w:tc>
          <w:tcPr>
            <w:tcW w:w="4380" w:type="dxa"/>
            <w:vAlign w:val="bottom"/>
          </w:tcPr>
          <w:p>
            <w:pPr>
              <w:spacing w:after="0"/>
              <w:rPr>
                <w:sz w:val="20"/>
                <w:szCs w:val="20"/>
                <w:color w:val="auto"/>
              </w:rPr>
            </w:pPr>
            <w:r>
              <w:rPr>
                <w:rFonts w:ascii="Courier New" w:cs="Courier New" w:eastAsia="Courier New" w:hAnsi="Courier New"/>
                <w:sz w:val="14"/>
                <w:szCs w:val="14"/>
                <w:color w:val="auto"/>
              </w:rPr>
              <w:t>French franc</w:t>
            </w:r>
          </w:p>
        </w:tc>
        <w:tc>
          <w:tcPr>
            <w:tcW w:w="136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201</w:t>
            </w:r>
          </w:p>
        </w:tc>
      </w:tr>
      <w:tr>
        <w:trPr>
          <w:trHeight w:val="163"/>
        </w:trPr>
        <w:tc>
          <w:tcPr>
            <w:tcW w:w="4380" w:type="dxa"/>
            <w:vAlign w:val="bottom"/>
          </w:tcPr>
          <w:p>
            <w:pPr>
              <w:spacing w:after="0"/>
              <w:rPr>
                <w:sz w:val="20"/>
                <w:szCs w:val="20"/>
                <w:color w:val="auto"/>
              </w:rPr>
            </w:pPr>
            <w:r>
              <w:rPr>
                <w:rFonts w:ascii="Courier New" w:cs="Courier New" w:eastAsia="Courier New" w:hAnsi="Courier New"/>
                <w:sz w:val="14"/>
                <w:szCs w:val="14"/>
                <w:color w:val="auto"/>
              </w:rPr>
              <w:t>German mark</w:t>
            </w:r>
          </w:p>
        </w:tc>
        <w:tc>
          <w:tcPr>
            <w:tcW w:w="136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160</w:t>
            </w:r>
          </w:p>
        </w:tc>
      </w:tr>
      <w:tr>
        <w:trPr>
          <w:trHeight w:val="163"/>
        </w:trPr>
        <w:tc>
          <w:tcPr>
            <w:tcW w:w="43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132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3"/>
        </w:trPr>
        <w:tc>
          <w:tcPr>
            <w:tcW w:w="4380" w:type="dxa"/>
            <w:vAlign w:val="bottom"/>
          </w:tcPr>
          <w:p>
            <w:pPr>
              <w:spacing w:after="0"/>
              <w:rPr>
                <w:sz w:val="14"/>
                <w:szCs w:val="14"/>
                <w:color w:val="auto"/>
              </w:rPr>
            </w:pP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380" w:type="dxa"/>
            <w:vAlign w:val="bottom"/>
          </w:tcPr>
          <w:p>
            <w:pPr>
              <w:spacing w:after="0"/>
              <w:rPr>
                <w:sz w:val="14"/>
                <w:szCs w:val="14"/>
                <w:color w:val="auto"/>
              </w:rPr>
            </w:pP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$3,183</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$3,285</w:t>
            </w:r>
          </w:p>
        </w:tc>
      </w:tr>
      <w:tr>
        <w:trPr>
          <w:trHeight w:val="163"/>
        </w:trPr>
        <w:tc>
          <w:tcPr>
            <w:tcW w:w="4380" w:type="dxa"/>
            <w:vAlign w:val="bottom"/>
          </w:tcPr>
          <w:p>
            <w:pPr>
              <w:spacing w:after="0"/>
              <w:rPr>
                <w:sz w:val="14"/>
                <w:szCs w:val="14"/>
                <w:color w:val="auto"/>
              </w:rPr>
            </w:pPr>
          </w:p>
        </w:tc>
        <w:tc>
          <w:tcPr>
            <w:tcW w:w="13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The majority of the long-term debt is at variable interest rates; the weighted-average interest rate of the debt outstanding on December 31, 1999 was 5.9%. Such rates are reset every six months or sooner. The carrying value of long-term debt on December 31, 1999 approximates the aggregate fair market value.</w:t>
      </w:r>
    </w:p>
    <w:p>
      <w:pPr>
        <w:spacing w:after="0" w:line="326"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Long-term debt on December 31, 1999, is due as follows: $92 million in 2001, $57 million in 2002, $2,322 million in 2003, $424 million in 2004 and $288 million thereafter.</w:t>
      </w:r>
    </w:p>
    <w:p>
      <w:pPr>
        <w:spacing w:after="0" w:line="163"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On December 31, 1999, interest rate swap arrangements outstanding were: pay fixed/receive floating on US dollar debt of $600 million; pay floating/receive fixed on US dollar debt of $214 million; pay fixed/receive floating on Japanese yen debt of $107 million. Also outstanding on December 31, 1999 was a hedge in the notional amount of $76 million against the US 10-year Treasury Note interest rate. These arrangements mature at various dates to August 2008. Interest rate swap arrangements had no material effect on consolidated interest expense in 1999 and no impact in 1998. The likelihood of nonperformance by the other parties to the arrangements is considered to be remote.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Lines of Credit</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On December 31, 1999, the principal US subsidiary of Schlumberger had an available unused Revolving Credit Agreement with a syndicate of banks. The Agreement provided that the subsidiary may borrow up to $1 billion until August 2003 at money market-based rates (6.1% on December 31, 1999) of which $375 million was outstanding on December 31, 1999; on December 31, 1998, there was no outstanding amount. In addition, on December 31, 1999 and 1998, Schlumberger and its subsidiaries also had available unused lines of credit of approximately $793 million and $630 million, respectively. Commitment and facility fees are not material.</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Stock</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Schlumberger is authorized to issue 1,000,000,000 shares of common stock, par value $0.01 per share, of which 565,931,130 and 546,133,876 shares were outstanding on December 31, 1999 and 1998, respectively. Schlumberger is also authorized to issue 200,000,000 shares of cumulative preferred stock, par value $0.01 per share, which may be issued in series with terms and conditions determined by the Board of Directors. No shares of preferred stock have been issued. Holders of common stock and preferred stock are entitled to one vote for each share of stock held.</w:t>
      </w:r>
    </w:p>
    <w:p>
      <w:pPr>
        <w:spacing w:after="0" w:line="16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In January 1993, Schlumberger acquired the remaining 50% interest in the Dowell Schlumberger group of companies. The purchase price included a warrant, expiring in 7.5 years and valued at $100 million, to purchase 15,153,018 shares of Schlumberger common stock at an exercise price of $29.672 per share. The warrant was exercised by Dow Chemical on December 16, 1999.</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609"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Stock Compensation Plans</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As of December 31, 1999, Schlumberger had two types of stock-based compensation plans, which are described below. Schlumberger applies APB Opinion 25 and related Interpretations in accounting for its plans. Accordingly, no compensation cost has been recognized for its stock option plans and its stock purchase plan. Had compensation cost for the stock-based Schlumberger plans been determined based on the fair value at the grant dates for awards under those plans, consistent with the method of SFAS 123, Schlumberger net income and earnings per share would have been the pro forma amounts indicated below:</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(Stated in millions</w:t>
            </w:r>
          </w:p>
        </w:tc>
        <w:tc>
          <w:tcPr>
            <w:tcW w:w="21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9"/>
              </w:rPr>
              <w:t>except per share amounts)</w:t>
            </w:r>
          </w:p>
        </w:tc>
      </w:tr>
      <w:tr>
        <w:trPr>
          <w:trHeight w:val="163"/>
        </w:trPr>
        <w:tc>
          <w:tcPr>
            <w:tcW w:w="3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1999</w:t>
            </w:r>
          </w:p>
        </w:tc>
        <w:tc>
          <w:tcPr>
            <w:tcW w:w="420" w:type="dxa"/>
            <w:vAlign w:val="bottom"/>
          </w:tcPr>
          <w:p>
            <w:pPr>
              <w:spacing w:after="0"/>
              <w:rPr>
                <w:sz w:val="14"/>
                <w:szCs w:val="14"/>
                <w:color w:val="auto"/>
              </w:rPr>
            </w:pPr>
          </w:p>
        </w:tc>
        <w:tc>
          <w:tcPr>
            <w:tcW w:w="6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1998</w:t>
            </w:r>
          </w:p>
        </w:tc>
        <w:tc>
          <w:tcPr>
            <w:tcW w:w="880" w:type="dxa"/>
            <w:vAlign w:val="bottom"/>
          </w:tcPr>
          <w:p>
            <w:pPr>
              <w:spacing w:after="0"/>
              <w:rPr>
                <w:sz w:val="14"/>
                <w:szCs w:val="14"/>
                <w:color w:val="auto"/>
              </w:rPr>
            </w:pPr>
          </w:p>
        </w:tc>
        <w:tc>
          <w:tcPr>
            <w:tcW w:w="1280" w:type="dxa"/>
            <w:vAlign w:val="bottom"/>
          </w:tcPr>
          <w:p>
            <w:pPr>
              <w:jc w:val="right"/>
              <w:ind w:right="869"/>
              <w:spacing w:after="0"/>
              <w:rPr>
                <w:sz w:val="20"/>
                <w:szCs w:val="20"/>
                <w:color w:val="auto"/>
              </w:rPr>
            </w:pPr>
            <w:r>
              <w:rPr>
                <w:rFonts w:ascii="Courier New" w:cs="Courier New" w:eastAsia="Courier New" w:hAnsi="Courier New"/>
                <w:sz w:val="14"/>
                <w:szCs w:val="14"/>
                <w:color w:val="auto"/>
                <w:w w:val="95"/>
              </w:rPr>
              <w:t>1997</w:t>
            </w:r>
          </w:p>
        </w:tc>
      </w:tr>
      <w:tr>
        <w:trPr>
          <w:trHeight w:val="163"/>
        </w:trPr>
        <w:tc>
          <w:tcPr>
            <w:tcW w:w="3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160" w:type="dxa"/>
            <w:vAlign w:val="bottom"/>
            <w:gridSpan w:val="2"/>
          </w:tcPr>
          <w:p>
            <w:pPr>
              <w:ind w:left="540"/>
              <w:spacing w:after="0"/>
              <w:rPr>
                <w:sz w:val="20"/>
                <w:szCs w:val="20"/>
                <w:color w:val="auto"/>
              </w:rPr>
            </w:pPr>
            <w:r>
              <w:rPr>
                <w:rFonts w:ascii="Courier New" w:cs="Courier New" w:eastAsia="Courier New" w:hAnsi="Courier New"/>
                <w:sz w:val="14"/>
                <w:szCs w:val="14"/>
                <w:color w:val="auto"/>
              </w:rPr>
              <w:t>--------</w:t>
            </w:r>
          </w:p>
        </w:tc>
      </w:tr>
      <w:tr>
        <w:trPr>
          <w:trHeight w:val="326"/>
        </w:trPr>
        <w:tc>
          <w:tcPr>
            <w:tcW w:w="34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3"/>
        </w:trPr>
        <w:tc>
          <w:tcPr>
            <w:tcW w:w="3440" w:type="dxa"/>
            <w:vAlign w:val="bottom"/>
          </w:tcPr>
          <w:p>
            <w:pPr>
              <w:ind w:left="780"/>
              <w:spacing w:after="0"/>
              <w:rPr>
                <w:sz w:val="20"/>
                <w:szCs w:val="20"/>
                <w:color w:val="auto"/>
              </w:rPr>
            </w:pPr>
            <w:r>
              <w:rPr>
                <w:rFonts w:ascii="Courier New" w:cs="Courier New" w:eastAsia="Courier New" w:hAnsi="Courier New"/>
                <w:sz w:val="14"/>
                <w:szCs w:val="14"/>
                <w:color w:val="auto"/>
              </w:rPr>
              <w:t>As reported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367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1,014</w:t>
            </w:r>
          </w:p>
        </w:tc>
        <w:tc>
          <w:tcPr>
            <w:tcW w:w="880" w:type="dxa"/>
            <w:vAlign w:val="bottom"/>
          </w:tcPr>
          <w:p>
            <w:pPr>
              <w:ind w:left="54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769"/>
              <w:spacing w:after="0"/>
              <w:rPr>
                <w:sz w:val="20"/>
                <w:szCs w:val="20"/>
                <w:color w:val="auto"/>
              </w:rPr>
            </w:pPr>
            <w:r>
              <w:rPr>
                <w:rFonts w:ascii="Courier New" w:cs="Courier New" w:eastAsia="Courier New" w:hAnsi="Courier New"/>
                <w:sz w:val="14"/>
                <w:szCs w:val="14"/>
                <w:color w:val="auto"/>
                <w:w w:val="99"/>
              </w:rPr>
              <w:t>1,385</w:t>
            </w:r>
          </w:p>
        </w:tc>
      </w:tr>
      <w:tr>
        <w:trPr>
          <w:trHeight w:val="163"/>
        </w:trPr>
        <w:tc>
          <w:tcPr>
            <w:tcW w:w="3440" w:type="dxa"/>
            <w:vAlign w:val="bottom"/>
          </w:tcPr>
          <w:p>
            <w:pPr>
              <w:ind w:left="780"/>
              <w:spacing w:after="0"/>
              <w:rPr>
                <w:sz w:val="20"/>
                <w:szCs w:val="20"/>
                <w:color w:val="auto"/>
              </w:rPr>
            </w:pPr>
            <w:r>
              <w:rPr>
                <w:rFonts w:ascii="Courier New" w:cs="Courier New" w:eastAsia="Courier New" w:hAnsi="Courier New"/>
                <w:sz w:val="14"/>
                <w:szCs w:val="14"/>
                <w:color w:val="auto"/>
              </w:rPr>
              <w:t>Pro forma</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260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882</w:t>
            </w:r>
          </w:p>
        </w:tc>
        <w:tc>
          <w:tcPr>
            <w:tcW w:w="880" w:type="dxa"/>
            <w:vAlign w:val="bottom"/>
          </w:tcPr>
          <w:p>
            <w:pPr>
              <w:ind w:left="54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769"/>
              <w:spacing w:after="0"/>
              <w:rPr>
                <w:sz w:val="20"/>
                <w:szCs w:val="20"/>
                <w:color w:val="auto"/>
              </w:rPr>
            </w:pPr>
            <w:r>
              <w:rPr>
                <w:rFonts w:ascii="Courier New" w:cs="Courier New" w:eastAsia="Courier New" w:hAnsi="Courier New"/>
                <w:sz w:val="14"/>
                <w:szCs w:val="14"/>
                <w:color w:val="auto"/>
                <w:w w:val="99"/>
              </w:rPr>
              <w:t>1,315</w:t>
            </w:r>
          </w:p>
        </w:tc>
      </w:tr>
      <w:tr>
        <w:trPr>
          <w:trHeight w:val="326"/>
        </w:trPr>
        <w:tc>
          <w:tcPr>
            <w:tcW w:w="3440" w:type="dxa"/>
            <w:vAlign w:val="bottom"/>
          </w:tcPr>
          <w:p>
            <w:pPr>
              <w:spacing w:after="0"/>
              <w:rPr>
                <w:sz w:val="20"/>
                <w:szCs w:val="20"/>
                <w:color w:val="auto"/>
              </w:rPr>
            </w:pPr>
            <w:r>
              <w:rPr>
                <w:rFonts w:ascii="Courier New" w:cs="Courier New" w:eastAsia="Courier New" w:hAnsi="Courier New"/>
                <w:sz w:val="14"/>
                <w:szCs w:val="14"/>
                <w:color w:val="auto"/>
              </w:rPr>
              <w:t>Basic earnings</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3"/>
        </w:trPr>
        <w:tc>
          <w:tcPr>
            <w:tcW w:w="3440" w:type="dxa"/>
            <w:vAlign w:val="bottom"/>
          </w:tcPr>
          <w:p>
            <w:pPr>
              <w:ind w:left="340"/>
              <w:spacing w:after="0"/>
              <w:rPr>
                <w:sz w:val="20"/>
                <w:szCs w:val="20"/>
                <w:color w:val="auto"/>
              </w:rPr>
            </w:pPr>
            <w:r>
              <w:rPr>
                <w:rFonts w:ascii="Courier New" w:cs="Courier New" w:eastAsia="Courier New" w:hAnsi="Courier New"/>
                <w:sz w:val="14"/>
                <w:szCs w:val="14"/>
                <w:color w:val="auto"/>
              </w:rPr>
              <w:t>per share</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3"/>
        </w:trPr>
        <w:tc>
          <w:tcPr>
            <w:tcW w:w="3440" w:type="dxa"/>
            <w:vAlign w:val="bottom"/>
          </w:tcPr>
          <w:p>
            <w:pPr>
              <w:ind w:left="780"/>
              <w:spacing w:after="0"/>
              <w:rPr>
                <w:sz w:val="20"/>
                <w:szCs w:val="20"/>
                <w:color w:val="auto"/>
              </w:rPr>
            </w:pPr>
            <w:r>
              <w:rPr>
                <w:rFonts w:ascii="Courier New" w:cs="Courier New" w:eastAsia="Courier New" w:hAnsi="Courier New"/>
                <w:sz w:val="14"/>
                <w:szCs w:val="14"/>
                <w:color w:val="auto"/>
              </w:rPr>
              <w:t>As reported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0.67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1.86</w:t>
            </w:r>
          </w:p>
        </w:tc>
        <w:tc>
          <w:tcPr>
            <w:tcW w:w="880" w:type="dxa"/>
            <w:vAlign w:val="bottom"/>
          </w:tcPr>
          <w:p>
            <w:pPr>
              <w:ind w:left="54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769"/>
              <w:spacing w:after="0"/>
              <w:rPr>
                <w:sz w:val="20"/>
                <w:szCs w:val="20"/>
                <w:color w:val="auto"/>
              </w:rPr>
            </w:pPr>
            <w:r>
              <w:rPr>
                <w:rFonts w:ascii="Courier New" w:cs="Courier New" w:eastAsia="Courier New" w:hAnsi="Courier New"/>
                <w:sz w:val="14"/>
                <w:szCs w:val="14"/>
                <w:color w:val="auto"/>
              </w:rPr>
              <w:t>2.57</w:t>
            </w:r>
          </w:p>
        </w:tc>
      </w:tr>
      <w:tr>
        <w:trPr>
          <w:trHeight w:val="163"/>
        </w:trPr>
        <w:tc>
          <w:tcPr>
            <w:tcW w:w="3440" w:type="dxa"/>
            <w:vAlign w:val="bottom"/>
          </w:tcPr>
          <w:p>
            <w:pPr>
              <w:ind w:left="780"/>
              <w:spacing w:after="0"/>
              <w:rPr>
                <w:sz w:val="20"/>
                <w:szCs w:val="20"/>
                <w:color w:val="auto"/>
              </w:rPr>
            </w:pPr>
            <w:r>
              <w:rPr>
                <w:rFonts w:ascii="Courier New" w:cs="Courier New" w:eastAsia="Courier New" w:hAnsi="Courier New"/>
                <w:sz w:val="14"/>
                <w:szCs w:val="14"/>
                <w:color w:val="auto"/>
              </w:rPr>
              <w:t>Pro forma</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0.47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1.62</w:t>
            </w:r>
          </w:p>
        </w:tc>
        <w:tc>
          <w:tcPr>
            <w:tcW w:w="880" w:type="dxa"/>
            <w:vAlign w:val="bottom"/>
          </w:tcPr>
          <w:p>
            <w:pPr>
              <w:ind w:left="54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769"/>
              <w:spacing w:after="0"/>
              <w:rPr>
                <w:sz w:val="20"/>
                <w:szCs w:val="20"/>
                <w:color w:val="auto"/>
              </w:rPr>
            </w:pPr>
            <w:r>
              <w:rPr>
                <w:rFonts w:ascii="Courier New" w:cs="Courier New" w:eastAsia="Courier New" w:hAnsi="Courier New"/>
                <w:sz w:val="14"/>
                <w:szCs w:val="14"/>
                <w:color w:val="auto"/>
              </w:rPr>
              <w:t>2.44</w:t>
            </w:r>
          </w:p>
        </w:tc>
      </w:tr>
      <w:tr>
        <w:trPr>
          <w:trHeight w:val="326"/>
        </w:trPr>
        <w:tc>
          <w:tcPr>
            <w:tcW w:w="3440" w:type="dxa"/>
            <w:vAlign w:val="bottom"/>
          </w:tcPr>
          <w:p>
            <w:pPr>
              <w:spacing w:after="0"/>
              <w:rPr>
                <w:sz w:val="20"/>
                <w:szCs w:val="20"/>
                <w:color w:val="auto"/>
              </w:rPr>
            </w:pPr>
            <w:r>
              <w:rPr>
                <w:rFonts w:ascii="Courier New" w:cs="Courier New" w:eastAsia="Courier New" w:hAnsi="Courier New"/>
                <w:sz w:val="14"/>
                <w:szCs w:val="14"/>
                <w:color w:val="auto"/>
              </w:rPr>
              <w:t>Diluted earnings</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3"/>
        </w:trPr>
        <w:tc>
          <w:tcPr>
            <w:tcW w:w="3440" w:type="dxa"/>
            <w:vAlign w:val="bottom"/>
          </w:tcPr>
          <w:p>
            <w:pPr>
              <w:ind w:left="260"/>
              <w:spacing w:after="0"/>
              <w:rPr>
                <w:sz w:val="20"/>
                <w:szCs w:val="20"/>
                <w:color w:val="auto"/>
              </w:rPr>
            </w:pPr>
            <w:r>
              <w:rPr>
                <w:rFonts w:ascii="Courier New" w:cs="Courier New" w:eastAsia="Courier New" w:hAnsi="Courier New"/>
                <w:sz w:val="14"/>
                <w:szCs w:val="14"/>
                <w:color w:val="auto"/>
              </w:rPr>
              <w:t>per share</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3"/>
        </w:trPr>
        <w:tc>
          <w:tcPr>
            <w:tcW w:w="3440" w:type="dxa"/>
            <w:vAlign w:val="bottom"/>
          </w:tcPr>
          <w:p>
            <w:pPr>
              <w:ind w:left="780"/>
              <w:spacing w:after="0"/>
              <w:rPr>
                <w:sz w:val="20"/>
                <w:szCs w:val="20"/>
                <w:color w:val="auto"/>
              </w:rPr>
            </w:pPr>
            <w:r>
              <w:rPr>
                <w:rFonts w:ascii="Courier New" w:cs="Courier New" w:eastAsia="Courier New" w:hAnsi="Courier New"/>
                <w:sz w:val="14"/>
                <w:szCs w:val="14"/>
                <w:color w:val="auto"/>
              </w:rPr>
              <w:t>As reported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0.65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c>
          <w:tcPr>
            <w:tcW w:w="880" w:type="dxa"/>
            <w:vAlign w:val="bottom"/>
          </w:tcPr>
          <w:p>
            <w:pPr>
              <w:ind w:left="54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769"/>
              <w:spacing w:after="0"/>
              <w:rPr>
                <w:sz w:val="20"/>
                <w:szCs w:val="20"/>
                <w:color w:val="auto"/>
              </w:rPr>
            </w:pPr>
            <w:r>
              <w:rPr>
                <w:rFonts w:ascii="Courier New" w:cs="Courier New" w:eastAsia="Courier New" w:hAnsi="Courier New"/>
                <w:sz w:val="14"/>
                <w:szCs w:val="14"/>
                <w:color w:val="auto"/>
              </w:rPr>
              <w:t>2.47</w:t>
            </w:r>
          </w:p>
        </w:tc>
      </w:tr>
      <w:tr>
        <w:trPr>
          <w:trHeight w:val="163"/>
        </w:trPr>
        <w:tc>
          <w:tcPr>
            <w:tcW w:w="3440" w:type="dxa"/>
            <w:vAlign w:val="bottom"/>
          </w:tcPr>
          <w:p>
            <w:pPr>
              <w:ind w:left="780"/>
              <w:spacing w:after="0"/>
              <w:rPr>
                <w:sz w:val="20"/>
                <w:szCs w:val="20"/>
                <w:color w:val="auto"/>
              </w:rPr>
            </w:pPr>
            <w:r>
              <w:rPr>
                <w:rFonts w:ascii="Courier New" w:cs="Courier New" w:eastAsia="Courier New" w:hAnsi="Courier New"/>
                <w:sz w:val="14"/>
                <w:szCs w:val="14"/>
                <w:color w:val="auto"/>
              </w:rPr>
              <w:t>Pro forma</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0.46</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1.57</w:t>
            </w:r>
          </w:p>
        </w:tc>
        <w:tc>
          <w:tcPr>
            <w:tcW w:w="880" w:type="dxa"/>
            <w:vAlign w:val="bottom"/>
          </w:tcPr>
          <w:p>
            <w:pPr>
              <w:ind w:left="54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769"/>
              <w:spacing w:after="0"/>
              <w:rPr>
                <w:sz w:val="20"/>
                <w:szCs w:val="20"/>
                <w:color w:val="auto"/>
              </w:rPr>
            </w:pPr>
            <w:r>
              <w:rPr>
                <w:rFonts w:ascii="Courier New" w:cs="Courier New" w:eastAsia="Courier New" w:hAnsi="Courier New"/>
                <w:sz w:val="14"/>
                <w:szCs w:val="14"/>
                <w:color w:val="auto"/>
              </w:rPr>
              <w:t>2.35</w:t>
            </w:r>
          </w:p>
        </w:tc>
      </w:tr>
      <w:tr>
        <w:trPr>
          <w:trHeight w:val="489"/>
        </w:trPr>
        <w:tc>
          <w:tcPr>
            <w:tcW w:w="3440" w:type="dxa"/>
            <w:vAlign w:val="bottom"/>
          </w:tcPr>
          <w:p>
            <w:pPr>
              <w:spacing w:after="0"/>
              <w:rPr>
                <w:sz w:val="20"/>
                <w:szCs w:val="20"/>
                <w:color w:val="auto"/>
              </w:rPr>
            </w:pPr>
            <w:r>
              <w:rPr>
                <w:rFonts w:ascii="Courier New" w:cs="Courier New" w:eastAsia="Courier New" w:hAnsi="Courier New"/>
                <w:sz w:val="14"/>
                <w:szCs w:val="14"/>
                <w:color w:val="auto"/>
              </w:rPr>
              <w:t>Stock Options Plans</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3"/>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rPr>
              <w:t>During 1999, 1998, 1997 and in prior years,</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officers and</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key employees were</w:t>
            </w:r>
          </w:p>
        </w:tc>
        <w:tc>
          <w:tcPr>
            <w:tcW w:w="1280" w:type="dxa"/>
            <w:vAlign w:val="bottom"/>
          </w:tcPr>
          <w:p>
            <w:pPr>
              <w:spacing w:after="0"/>
              <w:rPr>
                <w:sz w:val="14"/>
                <w:szCs w:val="14"/>
                <w:color w:val="auto"/>
              </w:rPr>
            </w:pPr>
          </w:p>
        </w:tc>
      </w:tr>
      <w:tr>
        <w:trPr>
          <w:trHeight w:val="163"/>
        </w:trPr>
        <w:tc>
          <w:tcPr>
            <w:tcW w:w="3440" w:type="dxa"/>
            <w:vAlign w:val="bottom"/>
          </w:tcPr>
          <w:p>
            <w:pPr>
              <w:spacing w:after="0"/>
              <w:rPr>
                <w:sz w:val="20"/>
                <w:szCs w:val="20"/>
                <w:color w:val="auto"/>
              </w:rPr>
            </w:pPr>
            <w:r>
              <w:rPr>
                <w:rFonts w:ascii="Courier New" w:cs="Courier New" w:eastAsia="Courier New" w:hAnsi="Courier New"/>
                <w:sz w:val="14"/>
                <w:szCs w:val="14"/>
                <w:color w:val="auto"/>
              </w:rPr>
              <w:t>granted stock options under Schlumberger</w:t>
            </w:r>
          </w:p>
        </w:tc>
        <w:tc>
          <w:tcPr>
            <w:tcW w:w="20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stock option plans. For</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all of the</w:t>
            </w:r>
          </w:p>
        </w:tc>
        <w:tc>
          <w:tcPr>
            <w:tcW w:w="1280" w:type="dxa"/>
            <w:vAlign w:val="bottom"/>
          </w:tcPr>
          <w:p>
            <w:pPr>
              <w:spacing w:after="0"/>
              <w:rPr>
                <w:sz w:val="14"/>
                <w:szCs w:val="14"/>
                <w:color w:val="auto"/>
              </w:rPr>
            </w:pPr>
          </w:p>
        </w:tc>
      </w:tr>
      <w:tr>
        <w:trPr>
          <w:trHeight w:val="163"/>
        </w:trPr>
        <w:tc>
          <w:tcPr>
            <w:tcW w:w="4800" w:type="dxa"/>
            <w:vAlign w:val="bottom"/>
            <w:gridSpan w:val="4"/>
          </w:tcPr>
          <w:p>
            <w:pPr>
              <w:spacing w:after="0"/>
              <w:rPr>
                <w:sz w:val="20"/>
                <w:szCs w:val="20"/>
                <w:color w:val="auto"/>
              </w:rPr>
            </w:pPr>
            <w:r>
              <w:rPr>
                <w:rFonts w:ascii="Courier New" w:cs="Courier New" w:eastAsia="Courier New" w:hAnsi="Courier New"/>
                <w:sz w:val="14"/>
                <w:szCs w:val="14"/>
                <w:color w:val="auto"/>
              </w:rPr>
              <w:t>stock options granted, the exercise price of each option</w:t>
            </w:r>
          </w:p>
        </w:tc>
        <w:tc>
          <w:tcPr>
            <w:tcW w:w="28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equals the market price</w:t>
            </w:r>
          </w:p>
        </w:tc>
      </w:tr>
      <w:tr>
        <w:trPr>
          <w:trHeight w:val="163"/>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rPr>
              <w:t>of Schlumberger stock on the date of grant;</w:t>
            </w:r>
          </w:p>
        </w:tc>
        <w:tc>
          <w:tcPr>
            <w:tcW w:w="26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an option's maximum term is ten</w:t>
            </w:r>
          </w:p>
        </w:tc>
        <w:tc>
          <w:tcPr>
            <w:tcW w:w="1280" w:type="dxa"/>
            <w:vAlign w:val="bottom"/>
          </w:tcPr>
          <w:p>
            <w:pPr>
              <w:spacing w:after="0"/>
              <w:rPr>
                <w:sz w:val="14"/>
                <w:szCs w:val="14"/>
                <w:color w:val="auto"/>
              </w:rPr>
            </w:pPr>
          </w:p>
        </w:tc>
      </w:tr>
      <w:tr>
        <w:trPr>
          <w:trHeight w:val="163"/>
        </w:trPr>
        <w:tc>
          <w:tcPr>
            <w:tcW w:w="3440" w:type="dxa"/>
            <w:vAlign w:val="bottom"/>
          </w:tcPr>
          <w:p>
            <w:pPr>
              <w:spacing w:after="0"/>
              <w:rPr>
                <w:sz w:val="20"/>
                <w:szCs w:val="20"/>
                <w:color w:val="auto"/>
              </w:rPr>
            </w:pPr>
            <w:r>
              <w:rPr>
                <w:rFonts w:ascii="Courier New" w:cs="Courier New" w:eastAsia="Courier New" w:hAnsi="Courier New"/>
                <w:sz w:val="14"/>
                <w:szCs w:val="14"/>
                <w:color w:val="auto"/>
              </w:rPr>
              <w:t>years, and options generally vest in 20%</w:t>
            </w:r>
          </w:p>
        </w:tc>
        <w:tc>
          <w:tcPr>
            <w:tcW w:w="13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increments over</w:t>
            </w:r>
          </w:p>
        </w:tc>
        <w:tc>
          <w:tcPr>
            <w:tcW w:w="1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five years.</w:t>
            </w:r>
          </w:p>
        </w:tc>
        <w:tc>
          <w:tcPr>
            <w:tcW w:w="1280" w:type="dxa"/>
            <w:vAlign w:val="bottom"/>
          </w:tcPr>
          <w:p>
            <w:pPr>
              <w:spacing w:after="0"/>
              <w:rPr>
                <w:sz w:val="14"/>
                <w:szCs w:val="14"/>
                <w:color w:val="auto"/>
              </w:rPr>
            </w:pPr>
          </w:p>
        </w:tc>
      </w:tr>
    </w:tbl>
    <w:p>
      <w:pPr>
        <w:spacing w:after="0" w:line="166"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As required by SFAS 123, the fair value of each grant is estimated on the date of grant using the multiple option Black-Scholes option-pricing model with the following weighted-average assumptions used for 1999, 1998 and 1997: Dividend of $0.75; expected volatility of 25%-29% for 1999 grants, 21%-25% for 1998 grants and 21% for 1997 grants; risk-free interest rates for the 1999 grants of</w:t>
      </w:r>
    </w:p>
    <w:p>
      <w:pPr>
        <w:spacing w:after="0" w:line="3" w:lineRule="exact"/>
        <w:rPr>
          <w:sz w:val="20"/>
          <w:szCs w:val="20"/>
          <w:color w:val="auto"/>
        </w:rPr>
      </w:pPr>
    </w:p>
    <w:p>
      <w:pPr>
        <w:ind w:right="3959"/>
        <w:spacing w:after="0" w:line="246" w:lineRule="auto"/>
        <w:rPr>
          <w:sz w:val="20"/>
          <w:szCs w:val="20"/>
          <w:color w:val="auto"/>
        </w:rPr>
      </w:pPr>
      <w:r>
        <w:rPr>
          <w:rFonts w:ascii="Courier New" w:cs="Courier New" w:eastAsia="Courier New" w:hAnsi="Courier New"/>
          <w:sz w:val="14"/>
          <w:szCs w:val="14"/>
          <w:color w:val="auto"/>
        </w:rPr>
        <w:t>4.92%-5.29% for officers and 4.80%-6.25% for the 1999 grants to all other employees; risk-free interest rates for the 1998 grant to officers of</w:t>
      </w:r>
    </w:p>
    <w:p>
      <w:pPr>
        <w:spacing w:after="0" w:line="1"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5.59%-5.68% and 4.35%-5.62% for the 1998 grants to all other employees; risk-free interest rates for 1997 grants of 6.19% for officers and 5.80%-6.77% for all other employees; and expected option lives of 7.14 years for officers and 5.28 years for other employees for 1999 grants, 6.98 years for officers and 5.02 years for other employees for 1998 grants and 7.27 years for officers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5.09 years for other employees for 1997 grants.</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609" w:right="1440" w:bottom="1440" w:gutter="0" w:footer="0" w:header="0"/>
        </w:sectPr>
      </w:pPr>
    </w:p>
    <w:bookmarkStart w:id="35" w:name="page36"/>
    <w:bookmarkEnd w:id="35"/>
    <w:p>
      <w:pPr>
        <w:ind w:right="4420"/>
        <w:spacing w:after="0" w:line="247" w:lineRule="auto"/>
        <w:rPr>
          <w:sz w:val="20"/>
          <w:szCs w:val="20"/>
          <w:color w:val="auto"/>
        </w:rPr>
      </w:pPr>
      <w:r>
        <w:rPr>
          <w:rFonts w:ascii="Courier New" w:cs="Courier New" w:eastAsia="Courier New" w:hAnsi="Courier New"/>
          <w:sz w:val="14"/>
          <w:szCs w:val="14"/>
          <w:color w:val="auto"/>
        </w:rPr>
        <w:t>A summary of the status of the Schlumberger stock option plans as of December 31, 1999, 1998 and 1997, and changes during the years ending on those dates is presented below:</w:t>
      </w:r>
    </w:p>
    <w:p>
      <w:pPr>
        <w:sectPr>
          <w:pgSz w:w="11900" w:h="16838" w:orient="portrait"/>
          <w:cols w:equalWidth="0" w:num="1">
            <w:col w:w="11040"/>
          </w:cols>
          <w:pgMar w:left="300" w:top="60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1999/1/</w:t>
      </w:r>
    </w:p>
    <w:p>
      <w:pPr>
        <w:spacing w:after="0" w:line="4"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1998/1/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ectPr>
          <w:pgSz w:w="11900" w:h="16838" w:orient="portrait"/>
          <w:cols w:equalWidth="0" w:num="3">
            <w:col w:w="6500" w:space="720"/>
            <w:col w:w="1980" w:space="720"/>
            <w:col w:w="1120"/>
          </w:cols>
          <w:pgMar w:left="300" w:top="609" w:right="559" w:bottom="1440" w:gutter="0" w:footer="0" w:header="0"/>
          <w:type w:val="continuous"/>
        </w:sectPr>
      </w:pPr>
    </w:p>
    <w:p>
      <w:pPr>
        <w:ind w:left="5100"/>
        <w:spacing w:after="0"/>
        <w:tabs>
          <w:tab w:leader="none" w:pos="7700" w:val="left"/>
          <w:tab w:leader="none" w:pos="10240" w:val="left"/>
        </w:tabs>
        <w:rPr>
          <w:sz w:val="20"/>
          <w:szCs w:val="20"/>
          <w:color w:val="auto"/>
        </w:rPr>
      </w:pPr>
      <w:r>
        <w:rPr>
          <w:rFonts w:ascii="Courier New" w:cs="Courier New" w:eastAsia="Courier New" w:hAnsi="Courier New"/>
          <w:sz w:val="14"/>
          <w:szCs w:val="14"/>
          <w:color w:val="auto"/>
        </w:rPr>
        <w:t>WEIGHTED-</w:t>
      </w:r>
      <w:r>
        <w:rPr>
          <w:sz w:val="20"/>
          <w:szCs w:val="20"/>
          <w:color w:val="auto"/>
        </w:rPr>
        <w:tab/>
      </w:r>
      <w:r>
        <w:rPr>
          <w:rFonts w:ascii="Courier New" w:cs="Courier New" w:eastAsia="Courier New" w:hAnsi="Courier New"/>
          <w:sz w:val="14"/>
          <w:szCs w:val="14"/>
          <w:color w:val="auto"/>
        </w:rPr>
        <w:t>WEIGHTED-</w:t>
      </w:r>
      <w:r>
        <w:rPr>
          <w:sz w:val="20"/>
          <w:szCs w:val="20"/>
          <w:color w:val="auto"/>
        </w:rPr>
        <w:tab/>
      </w:r>
      <w:r>
        <w:rPr>
          <w:rFonts w:ascii="Courier New" w:cs="Courier New" w:eastAsia="Courier New" w:hAnsi="Courier New"/>
          <w:sz w:val="14"/>
          <w:szCs w:val="14"/>
          <w:color w:val="auto"/>
        </w:rPr>
        <w:t>WEIGHTED-</w:t>
      </w:r>
    </w:p>
    <w:p>
      <w:pPr>
        <w:spacing w:after="0" w:line="4" w:lineRule="exact"/>
        <w:rPr>
          <w:sz w:val="20"/>
          <w:szCs w:val="20"/>
          <w:color w:val="auto"/>
        </w:rPr>
      </w:pPr>
    </w:p>
    <w:p>
      <w:pPr>
        <w:ind w:left="5100"/>
        <w:spacing w:after="0"/>
        <w:tabs>
          <w:tab w:leader="none" w:pos="7700" w:val="left"/>
          <w:tab w:leader="none" w:pos="10240" w:val="left"/>
        </w:tabs>
        <w:rPr>
          <w:sz w:val="20"/>
          <w:szCs w:val="20"/>
          <w:color w:val="auto"/>
        </w:rPr>
      </w:pP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AVERAGE</w:t>
      </w:r>
    </w:p>
    <w:p>
      <w:pPr>
        <w:spacing w:after="0" w:line="4" w:lineRule="exact"/>
        <w:rPr>
          <w:sz w:val="20"/>
          <w:szCs w:val="20"/>
          <w:color w:val="auto"/>
        </w:rPr>
      </w:pPr>
    </w:p>
    <w:p>
      <w:pPr>
        <w:ind w:left="5100"/>
        <w:spacing w:after="0"/>
        <w:tabs>
          <w:tab w:leader="none" w:pos="7700" w:val="left"/>
          <w:tab w:leader="none" w:pos="10240" w:val="left"/>
        </w:tabs>
        <w:rPr>
          <w:sz w:val="20"/>
          <w:szCs w:val="20"/>
          <w:color w:val="auto"/>
        </w:rPr>
      </w:pPr>
      <w:r>
        <w:rPr>
          <w:rFonts w:ascii="Courier New" w:cs="Courier New" w:eastAsia="Courier New" w:hAnsi="Courier New"/>
          <w:sz w:val="14"/>
          <w:szCs w:val="14"/>
          <w:color w:val="auto"/>
        </w:rPr>
        <w:t>EXERCISE</w:t>
      </w:r>
      <w:r>
        <w:rPr>
          <w:sz w:val="20"/>
          <w:szCs w:val="20"/>
          <w:color w:val="auto"/>
        </w:rPr>
        <w:tab/>
      </w:r>
      <w:r>
        <w:rPr>
          <w:rFonts w:ascii="Courier New" w:cs="Courier New" w:eastAsia="Courier New" w:hAnsi="Courier New"/>
          <w:sz w:val="14"/>
          <w:szCs w:val="14"/>
          <w:color w:val="auto"/>
        </w:rPr>
        <w:t>EXERCISE</w:t>
      </w:r>
      <w:r>
        <w:rPr>
          <w:sz w:val="20"/>
          <w:szCs w:val="20"/>
          <w:color w:val="auto"/>
        </w:rPr>
        <w:tab/>
      </w:r>
      <w:r>
        <w:rPr>
          <w:rFonts w:ascii="Courier New" w:cs="Courier New" w:eastAsia="Courier New" w:hAnsi="Courier New"/>
          <w:sz w:val="14"/>
          <w:szCs w:val="14"/>
          <w:color w:val="auto"/>
        </w:rPr>
        <w:t>EXERCISE</w:t>
      </w:r>
    </w:p>
    <w:p>
      <w:pPr>
        <w:spacing w:after="0" w:line="4" w:lineRule="exact"/>
        <w:rPr>
          <w:sz w:val="20"/>
          <w:szCs w:val="20"/>
          <w:color w:val="auto"/>
        </w:rPr>
      </w:pPr>
    </w:p>
    <w:p>
      <w:pPr>
        <w:spacing w:after="0"/>
        <w:tabs>
          <w:tab w:leader="none" w:pos="3720" w:val="left"/>
          <w:tab w:leader="none" w:pos="5160" w:val="left"/>
          <w:tab w:leader="none" w:pos="6340" w:val="left"/>
          <w:tab w:leader="none" w:pos="7780" w:val="left"/>
          <w:tab w:leader="none" w:pos="9400" w:val="left"/>
          <w:tab w:leader="none" w:pos="10420" w:val="left"/>
        </w:tabs>
        <w:rPr>
          <w:sz w:val="20"/>
          <w:szCs w:val="20"/>
          <w:color w:val="auto"/>
        </w:rPr>
      </w:pPr>
      <w:r>
        <w:rPr>
          <w:rFonts w:ascii="Courier New" w:cs="Courier New" w:eastAsia="Courier New" w:hAnsi="Courier New"/>
          <w:sz w:val="14"/>
          <w:szCs w:val="14"/>
          <w:color w:val="auto"/>
        </w:rPr>
        <w:t>FIXED OPTIONS</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PRICE</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PRICE</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PRICE</w:t>
      </w:r>
    </w:p>
    <w:p>
      <w:pPr>
        <w:sectPr>
          <w:pgSz w:w="11900" w:h="16838" w:orient="portrait"/>
          <w:cols w:equalWidth="0" w:num="1">
            <w:col w:w="11040"/>
          </w:cols>
          <w:pgMar w:left="300" w:top="609" w:right="55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720" w:type="dxa"/>
            <w:vAlign w:val="bottom"/>
          </w:tcPr>
          <w:p>
            <w:pPr>
              <w:spacing w:after="0"/>
              <w:rPr>
                <w:sz w:val="20"/>
                <w:szCs w:val="20"/>
                <w:color w:val="auto"/>
              </w:rPr>
            </w:pPr>
            <w:r>
              <w:rPr>
                <w:rFonts w:ascii="Courier New" w:cs="Courier New" w:eastAsia="Courier New" w:hAnsi="Courier New"/>
                <w:sz w:val="14"/>
                <w:szCs w:val="14"/>
                <w:color w:val="auto"/>
              </w:rPr>
              <w:t>Outstanding at</w:t>
            </w:r>
          </w:p>
        </w:tc>
        <w:tc>
          <w:tcPr>
            <w:tcW w:w="1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63"/>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beginning of year</w:t>
            </w:r>
          </w:p>
        </w:tc>
        <w:tc>
          <w:tcPr>
            <w:tcW w:w="1900" w:type="dxa"/>
            <w:vAlign w:val="bottom"/>
          </w:tcPr>
          <w:p>
            <w:pPr>
              <w:ind w:left="680"/>
              <w:spacing w:after="0"/>
              <w:rPr>
                <w:sz w:val="20"/>
                <w:szCs w:val="20"/>
                <w:color w:val="auto"/>
              </w:rPr>
            </w:pPr>
            <w:r>
              <w:rPr>
                <w:rFonts w:ascii="Courier New" w:cs="Courier New" w:eastAsia="Courier New" w:hAnsi="Courier New"/>
                <w:sz w:val="14"/>
                <w:szCs w:val="14"/>
                <w:color w:val="auto"/>
              </w:rPr>
              <w:t>30,310,579</w:t>
            </w:r>
          </w:p>
        </w:tc>
        <w:tc>
          <w:tcPr>
            <w:tcW w:w="5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42.50</w:t>
            </w:r>
          </w:p>
        </w:tc>
        <w:tc>
          <w:tcPr>
            <w:tcW w:w="13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31,542,758</w:t>
            </w:r>
          </w:p>
        </w:tc>
        <w:tc>
          <w:tcPr>
            <w:tcW w:w="5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39.81</w:t>
            </w: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28,904,607</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28.57</w:t>
            </w:r>
          </w:p>
        </w:tc>
      </w:tr>
      <w:tr>
        <w:trPr>
          <w:trHeight w:val="326"/>
        </w:trPr>
        <w:tc>
          <w:tcPr>
            <w:tcW w:w="272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900" w:type="dxa"/>
            <w:vAlign w:val="bottom"/>
          </w:tcPr>
          <w:p>
            <w:pPr>
              <w:ind w:left="760"/>
              <w:spacing w:after="0"/>
              <w:rPr>
                <w:sz w:val="20"/>
                <w:szCs w:val="20"/>
                <w:color w:val="auto"/>
              </w:rPr>
            </w:pPr>
            <w:r>
              <w:rPr>
                <w:rFonts w:ascii="Courier New" w:cs="Courier New" w:eastAsia="Courier New" w:hAnsi="Courier New"/>
                <w:sz w:val="14"/>
                <w:szCs w:val="14"/>
                <w:color w:val="auto"/>
              </w:rPr>
              <w:t>6,012,168</w:t>
            </w:r>
          </w:p>
        </w:tc>
        <w:tc>
          <w:tcPr>
            <w:tcW w:w="5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54.04</w:t>
            </w:r>
          </w:p>
        </w:tc>
        <w:tc>
          <w:tcPr>
            <w:tcW w:w="13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2,027,812</w:t>
            </w:r>
          </w:p>
        </w:tc>
        <w:tc>
          <w:tcPr>
            <w:tcW w:w="5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62.57</w:t>
            </w: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7,497,432</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73.09</w:t>
            </w:r>
          </w:p>
        </w:tc>
      </w:tr>
      <w:tr>
        <w:trPr>
          <w:trHeight w:val="326"/>
        </w:trPr>
        <w:tc>
          <w:tcPr>
            <w:tcW w:w="272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900" w:type="dxa"/>
            <w:vAlign w:val="bottom"/>
          </w:tcPr>
          <w:p>
            <w:pPr>
              <w:ind w:left="680"/>
              <w:spacing w:after="0"/>
              <w:rPr>
                <w:sz w:val="20"/>
                <w:szCs w:val="20"/>
                <w:color w:val="auto"/>
              </w:rPr>
            </w:pPr>
            <w:r>
              <w:rPr>
                <w:rFonts w:ascii="Courier New" w:cs="Courier New" w:eastAsia="Courier New" w:hAnsi="Courier New"/>
                <w:sz w:val="14"/>
                <w:szCs w:val="14"/>
                <w:color w:val="auto"/>
              </w:rPr>
              <w:t>(3,634,790)</w:t>
            </w:r>
          </w:p>
        </w:tc>
        <w:tc>
          <w:tcPr>
            <w:tcW w:w="5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28.68</w:t>
            </w:r>
          </w:p>
        </w:tc>
        <w:tc>
          <w:tcPr>
            <w:tcW w:w="13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(2,527,380)</w:t>
            </w:r>
          </w:p>
        </w:tc>
        <w:tc>
          <w:tcPr>
            <w:tcW w:w="5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24.15</w:t>
            </w:r>
          </w:p>
        </w:tc>
        <w:tc>
          <w:tcPr>
            <w:tcW w:w="13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(4,238,496)</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24.77</w:t>
            </w:r>
          </w:p>
        </w:tc>
      </w:tr>
      <w:tr>
        <w:trPr>
          <w:trHeight w:val="326"/>
        </w:trPr>
        <w:tc>
          <w:tcPr>
            <w:tcW w:w="272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1900" w:type="dxa"/>
            <w:vAlign w:val="bottom"/>
          </w:tcPr>
          <w:p>
            <w:pPr>
              <w:ind w:left="680"/>
              <w:spacing w:after="0"/>
              <w:rPr>
                <w:sz w:val="20"/>
                <w:szCs w:val="20"/>
                <w:color w:val="auto"/>
              </w:rPr>
            </w:pPr>
            <w:r>
              <w:rPr>
                <w:rFonts w:ascii="Courier New" w:cs="Courier New" w:eastAsia="Courier New" w:hAnsi="Courier New"/>
                <w:sz w:val="14"/>
                <w:szCs w:val="14"/>
                <w:color w:val="auto"/>
              </w:rPr>
              <w:t>(1,074,033)</w:t>
            </w:r>
          </w:p>
        </w:tc>
        <w:tc>
          <w:tcPr>
            <w:tcW w:w="5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52.50</w:t>
            </w:r>
          </w:p>
        </w:tc>
        <w:tc>
          <w:tcPr>
            <w:tcW w:w="13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(732,611)</w:t>
            </w:r>
          </w:p>
        </w:tc>
        <w:tc>
          <w:tcPr>
            <w:tcW w:w="5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47.61</w:t>
            </w:r>
          </w:p>
        </w:tc>
        <w:tc>
          <w:tcPr>
            <w:tcW w:w="13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(620,785)</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32.55</w:t>
            </w:r>
          </w:p>
        </w:tc>
      </w:tr>
      <w:tr>
        <w:trPr>
          <w:trHeight w:val="163"/>
        </w:trPr>
        <w:tc>
          <w:tcPr>
            <w:tcW w:w="2720" w:type="dxa"/>
            <w:vAlign w:val="bottom"/>
          </w:tcPr>
          <w:p>
            <w:pPr>
              <w:spacing w:after="0"/>
              <w:rPr>
                <w:sz w:val="14"/>
                <w:szCs w:val="14"/>
                <w:color w:val="auto"/>
              </w:rPr>
            </w:pPr>
          </w:p>
        </w:tc>
        <w:tc>
          <w:tcPr>
            <w:tcW w:w="190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Outstanding at</w:t>
            </w:r>
          </w:p>
        </w:tc>
        <w:tc>
          <w:tcPr>
            <w:tcW w:w="1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3"/>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year-end</w:t>
            </w:r>
          </w:p>
        </w:tc>
        <w:tc>
          <w:tcPr>
            <w:tcW w:w="1900" w:type="dxa"/>
            <w:vAlign w:val="bottom"/>
          </w:tcPr>
          <w:p>
            <w:pPr>
              <w:ind w:left="680"/>
              <w:spacing w:after="0"/>
              <w:rPr>
                <w:sz w:val="20"/>
                <w:szCs w:val="20"/>
                <w:color w:val="auto"/>
              </w:rPr>
            </w:pPr>
            <w:r>
              <w:rPr>
                <w:rFonts w:ascii="Courier New" w:cs="Courier New" w:eastAsia="Courier New" w:hAnsi="Courier New"/>
                <w:sz w:val="14"/>
                <w:szCs w:val="14"/>
                <w:color w:val="auto"/>
              </w:rPr>
              <w:t>31,613,924</w:t>
            </w:r>
          </w:p>
        </w:tc>
        <w:tc>
          <w:tcPr>
            <w:tcW w:w="5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37.91</w:t>
            </w:r>
          </w:p>
        </w:tc>
        <w:tc>
          <w:tcPr>
            <w:tcW w:w="13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30,310,579</w:t>
            </w:r>
          </w:p>
        </w:tc>
        <w:tc>
          <w:tcPr>
            <w:tcW w:w="5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42.50</w:t>
            </w: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31,542,758</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39.81</w:t>
            </w:r>
          </w:p>
        </w:tc>
      </w:tr>
      <w:tr>
        <w:trPr>
          <w:trHeight w:val="163"/>
        </w:trPr>
        <w:tc>
          <w:tcPr>
            <w:tcW w:w="2720" w:type="dxa"/>
            <w:vAlign w:val="bottom"/>
          </w:tcPr>
          <w:p>
            <w:pPr>
              <w:spacing w:after="0"/>
              <w:rPr>
                <w:sz w:val="14"/>
                <w:szCs w:val="14"/>
                <w:color w:val="auto"/>
              </w:rPr>
            </w:pPr>
          </w:p>
        </w:tc>
        <w:tc>
          <w:tcPr>
            <w:tcW w:w="190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Options exercisable</w:t>
            </w:r>
          </w:p>
        </w:tc>
        <w:tc>
          <w:tcPr>
            <w:tcW w:w="1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3"/>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at year-end</w:t>
            </w:r>
          </w:p>
        </w:tc>
        <w:tc>
          <w:tcPr>
            <w:tcW w:w="1900" w:type="dxa"/>
            <w:vAlign w:val="bottom"/>
          </w:tcPr>
          <w:p>
            <w:pPr>
              <w:ind w:left="680"/>
              <w:spacing w:after="0"/>
              <w:rPr>
                <w:sz w:val="20"/>
                <w:szCs w:val="20"/>
                <w:color w:val="auto"/>
              </w:rPr>
            </w:pPr>
            <w:r>
              <w:rPr>
                <w:rFonts w:ascii="Courier New" w:cs="Courier New" w:eastAsia="Courier New" w:hAnsi="Courier New"/>
                <w:sz w:val="14"/>
                <w:szCs w:val="14"/>
                <w:color w:val="auto"/>
              </w:rPr>
              <w:t>16,396,821</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15,914,440</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12,754,955</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Weighted-average</w:t>
            </w:r>
          </w:p>
        </w:tc>
        <w:tc>
          <w:tcPr>
            <w:tcW w:w="1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3"/>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fair value of options</w:t>
            </w:r>
          </w:p>
        </w:tc>
        <w:tc>
          <w:tcPr>
            <w:tcW w:w="1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granted during the year</w:t>
            </w:r>
          </w:p>
        </w:tc>
        <w:tc>
          <w:tcPr>
            <w:tcW w:w="1900" w:type="dxa"/>
            <w:vAlign w:val="bottom"/>
          </w:tcPr>
          <w:p>
            <w:pPr>
              <w:ind w:left="760"/>
              <w:spacing w:after="0"/>
              <w:rPr>
                <w:sz w:val="20"/>
                <w:szCs w:val="20"/>
                <w:color w:val="auto"/>
              </w:rPr>
            </w:pPr>
            <w:r>
              <w:rPr>
                <w:rFonts w:ascii="Courier New" w:cs="Courier New" w:eastAsia="Courier New" w:hAnsi="Courier New"/>
                <w:sz w:val="14"/>
                <w:szCs w:val="14"/>
                <w:color w:val="auto"/>
              </w:rPr>
              <w:t>$   17.72</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22.24</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23.02</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bl>
    <w:p>
      <w:pPr>
        <w:spacing w:after="0" w:line="330" w:lineRule="exact"/>
        <w:rPr>
          <w:sz w:val="20"/>
          <w:szCs w:val="20"/>
          <w:color w:val="auto"/>
        </w:rPr>
      </w:pPr>
    </w:p>
    <w:p>
      <w:pPr>
        <w:ind w:right="4240"/>
        <w:spacing w:after="0" w:line="247" w:lineRule="auto"/>
        <w:rPr>
          <w:sz w:val="20"/>
          <w:szCs w:val="20"/>
          <w:color w:val="auto"/>
        </w:rPr>
      </w:pPr>
      <w:r>
        <w:rPr>
          <w:rFonts w:ascii="Courier New" w:cs="Courier New" w:eastAsia="Courier New" w:hAnsi="Courier New"/>
          <w:sz w:val="14"/>
          <w:szCs w:val="14"/>
          <w:color w:val="auto"/>
        </w:rPr>
        <w:t>/1/Shares and exercise price have been restated to reflect adjustments made as a result of the spin-off of Sedco Forex, in accordance with EITF Issue 90-9, "Changes to Fixed Employee Stock Option Plans as Result of Equity Restructuring."</w:t>
      </w:r>
    </w:p>
    <w:p>
      <w:pPr>
        <w:spacing w:after="0" w:line="162" w:lineRule="exact"/>
        <w:rPr>
          <w:sz w:val="20"/>
          <w:szCs w:val="20"/>
          <w:color w:val="auto"/>
        </w:rPr>
      </w:pPr>
    </w:p>
    <w:p>
      <w:pPr>
        <w:ind w:right="4340"/>
        <w:spacing w:after="0" w:line="248" w:lineRule="auto"/>
        <w:rPr>
          <w:sz w:val="20"/>
          <w:szCs w:val="20"/>
          <w:color w:val="auto"/>
        </w:rPr>
      </w:pPr>
      <w:r>
        <w:rPr>
          <w:rFonts w:ascii="Courier New" w:cs="Courier New" w:eastAsia="Courier New" w:hAnsi="Courier New"/>
          <w:sz w:val="14"/>
          <w:szCs w:val="14"/>
          <w:color w:val="auto"/>
        </w:rPr>
        <w:t>The following table summarizes information concerning currently outstanding and exercisable options by three ranges of exercise prices on December 31, 1999:</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OPTIONS OUTSTANDING</w:t>
            </w:r>
          </w:p>
        </w:tc>
        <w:tc>
          <w:tcPr>
            <w:tcW w:w="1600" w:type="dxa"/>
            <w:vAlign w:val="bottom"/>
          </w:tcPr>
          <w:p>
            <w:pPr>
              <w:spacing w:after="0"/>
              <w:rPr>
                <w:sz w:val="13"/>
                <w:szCs w:val="13"/>
                <w:color w:val="auto"/>
              </w:rPr>
            </w:pPr>
          </w:p>
        </w:tc>
        <w:tc>
          <w:tcPr>
            <w:tcW w:w="2940" w:type="dxa"/>
            <w:vAlign w:val="bottom"/>
            <w:gridSpan w:val="2"/>
          </w:tcPr>
          <w:p>
            <w:pPr>
              <w:jc w:val="right"/>
              <w:ind w:right="609"/>
              <w:spacing w:after="0"/>
              <w:rPr>
                <w:sz w:val="20"/>
                <w:szCs w:val="20"/>
                <w:color w:val="auto"/>
              </w:rPr>
            </w:pPr>
            <w:r>
              <w:rPr>
                <w:rFonts w:ascii="Courier New" w:cs="Courier New" w:eastAsia="Courier New" w:hAnsi="Courier New"/>
                <w:sz w:val="14"/>
                <w:szCs w:val="14"/>
                <w:color w:val="auto"/>
              </w:rPr>
              <w:t>OPTIONS EXERCISABLE</w:t>
            </w:r>
          </w:p>
        </w:tc>
      </w:tr>
      <w:tr>
        <w:trPr>
          <w:trHeight w:val="326"/>
        </w:trPr>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Number</w:t>
            </w:r>
          </w:p>
        </w:tc>
        <w:tc>
          <w:tcPr>
            <w:tcW w:w="17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Weighted-average</w:t>
            </w:r>
          </w:p>
        </w:tc>
        <w:tc>
          <w:tcPr>
            <w:tcW w:w="1600" w:type="dxa"/>
            <w:vAlign w:val="bottom"/>
          </w:tcPr>
          <w:p>
            <w:pPr>
              <w:spacing w:after="0"/>
              <w:rPr>
                <w:sz w:val="24"/>
                <w:szCs w:val="24"/>
                <w:color w:val="auto"/>
              </w:rPr>
            </w:pPr>
          </w:p>
        </w:tc>
        <w:tc>
          <w:tcPr>
            <w:tcW w:w="146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Number</w:t>
            </w:r>
          </w:p>
        </w:tc>
        <w:tc>
          <w:tcPr>
            <w:tcW w:w="1480" w:type="dxa"/>
            <w:vAlign w:val="bottom"/>
          </w:tcPr>
          <w:p>
            <w:pPr>
              <w:spacing w:after="0"/>
              <w:rPr>
                <w:sz w:val="24"/>
                <w:szCs w:val="24"/>
                <w:color w:val="auto"/>
              </w:rPr>
            </w:pPr>
          </w:p>
        </w:tc>
      </w:tr>
      <w:tr>
        <w:trPr>
          <w:trHeight w:val="163"/>
        </w:trPr>
        <w:tc>
          <w:tcPr>
            <w:tcW w:w="680" w:type="dxa"/>
            <w:vAlign w:val="bottom"/>
          </w:tcPr>
          <w:p>
            <w:pPr>
              <w:spacing w:after="0"/>
              <w:rPr>
                <w:sz w:val="20"/>
                <w:szCs w:val="20"/>
                <w:color w:val="auto"/>
              </w:rPr>
            </w:pPr>
            <w:r>
              <w:rPr>
                <w:rFonts w:ascii="Courier New" w:cs="Courier New" w:eastAsia="Courier New" w:hAnsi="Courier New"/>
                <w:sz w:val="14"/>
                <w:szCs w:val="14"/>
                <w:color w:val="auto"/>
                <w:w w:val="98"/>
              </w:rPr>
              <w:t>Range of</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outstanding</w:t>
            </w:r>
          </w:p>
        </w:tc>
        <w:tc>
          <w:tcPr>
            <w:tcW w:w="17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remaining</w:t>
            </w:r>
          </w:p>
        </w:tc>
        <w:tc>
          <w:tcPr>
            <w:tcW w:w="16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Weighted-average</w:t>
            </w:r>
          </w:p>
        </w:tc>
        <w:tc>
          <w:tcPr>
            <w:tcW w:w="14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exercisable</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Weighted-average</w:t>
            </w:r>
          </w:p>
        </w:tc>
      </w:tr>
      <w:tr>
        <w:trPr>
          <w:trHeight w:val="163"/>
        </w:trPr>
        <w:tc>
          <w:tcPr>
            <w:tcW w:w="1700" w:type="dxa"/>
            <w:vAlign w:val="bottom"/>
            <w:gridSpan w:val="3"/>
          </w:tcPr>
          <w:p>
            <w:pPr>
              <w:spacing w:after="0"/>
              <w:rPr>
                <w:sz w:val="20"/>
                <w:szCs w:val="20"/>
                <w:color w:val="auto"/>
              </w:rPr>
            </w:pPr>
            <w:r>
              <w:rPr>
                <w:rFonts w:ascii="Courier New" w:cs="Courier New" w:eastAsia="Courier New" w:hAnsi="Courier New"/>
                <w:sz w:val="14"/>
                <w:szCs w:val="14"/>
                <w:color w:val="auto"/>
              </w:rPr>
              <w:t>exercise prices</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as of 12/31/99</w:t>
            </w:r>
          </w:p>
        </w:tc>
        <w:tc>
          <w:tcPr>
            <w:tcW w:w="17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contractual life</w:t>
            </w:r>
          </w:p>
        </w:tc>
        <w:tc>
          <w:tcPr>
            <w:tcW w:w="16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exercise price</w:t>
            </w:r>
          </w:p>
        </w:tc>
        <w:tc>
          <w:tcPr>
            <w:tcW w:w="14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as of 12/31/99</w:t>
            </w:r>
          </w:p>
        </w:tc>
        <w:tc>
          <w:tcPr>
            <w:tcW w:w="14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exercise price</w:t>
            </w:r>
          </w:p>
        </w:tc>
      </w:tr>
      <w:tr>
        <w:trPr>
          <w:trHeight w:val="163"/>
        </w:trPr>
        <w:tc>
          <w:tcPr>
            <w:tcW w:w="860" w:type="dxa"/>
            <w:vAlign w:val="bottom"/>
            <w:gridSpan w:val="2"/>
          </w:tcPr>
          <w:p>
            <w:pPr>
              <w:spacing w:after="0"/>
              <w:rPr>
                <w:sz w:val="20"/>
                <w:szCs w:val="20"/>
                <w:color w:val="auto"/>
              </w:rPr>
            </w:pPr>
            <w:r>
              <w:rPr>
                <w:rFonts w:ascii="Courier New" w:cs="Courier New" w:eastAsia="Courier New" w:hAnsi="Courier New"/>
                <w:sz w:val="11"/>
                <w:szCs w:val="11"/>
                <w:color w:val="auto"/>
                <w:w w:val="74"/>
              </w:rPr>
              <w:t>- ---------------</w:t>
            </w:r>
          </w:p>
        </w:tc>
        <w:tc>
          <w:tcPr>
            <w:tcW w:w="840" w:type="dxa"/>
            <w:vAlign w:val="bottom"/>
          </w:tcPr>
          <w:p>
            <w:pPr>
              <w:spacing w:after="0"/>
              <w:rPr>
                <w:sz w:val="14"/>
                <w:szCs w:val="14"/>
                <w:color w:val="auto"/>
              </w:rPr>
            </w:pPr>
          </w:p>
        </w:tc>
        <w:tc>
          <w:tcPr>
            <w:tcW w:w="3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680" w:type="dxa"/>
            <w:vAlign w:val="bottom"/>
          </w:tcPr>
          <w:p>
            <w:pPr>
              <w:spacing w:after="0"/>
              <w:rPr>
                <w:sz w:val="20"/>
                <w:szCs w:val="20"/>
                <w:color w:val="auto"/>
              </w:rPr>
            </w:pPr>
            <w:r>
              <w:rPr>
                <w:rFonts w:ascii="Courier New" w:cs="Courier New" w:eastAsia="Courier New" w:hAnsi="Courier New"/>
                <w:sz w:val="14"/>
                <w:szCs w:val="14"/>
                <w:color w:val="auto"/>
              </w:rPr>
              <w:t>$ 3.831</w:t>
            </w:r>
          </w:p>
        </w:tc>
        <w:tc>
          <w:tcPr>
            <w:tcW w:w="180" w:type="dxa"/>
            <w:vAlign w:val="bottom"/>
          </w:tcPr>
          <w:p>
            <w:pPr>
              <w:jc w:val="right"/>
              <w:ind w:right="9"/>
              <w:spacing w:after="0"/>
              <w:rPr>
                <w:sz w:val="20"/>
                <w:szCs w:val="20"/>
                <w:color w:val="auto"/>
              </w:rPr>
            </w:pPr>
            <w:r>
              <w:rPr>
                <w:rFonts w:ascii="Courier New" w:cs="Courier New" w:eastAsia="Courier New" w:hAnsi="Courier New"/>
                <w:sz w:val="14"/>
                <w:szCs w:val="14"/>
                <w:color w:val="auto"/>
                <w:w w:val="94"/>
              </w:rPr>
              <w:t>-</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$30.710</w:t>
            </w:r>
          </w:p>
        </w:tc>
        <w:tc>
          <w:tcPr>
            <w:tcW w:w="14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12,692,062</w:t>
            </w:r>
          </w:p>
        </w:tc>
        <w:tc>
          <w:tcPr>
            <w:tcW w:w="170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4.21</w:t>
            </w:r>
          </w:p>
        </w:tc>
        <w:tc>
          <w:tcPr>
            <w:tcW w:w="16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$27.403</w:t>
            </w:r>
          </w:p>
        </w:tc>
        <w:tc>
          <w:tcPr>
            <w:tcW w:w="14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10,985,705</w:t>
            </w:r>
          </w:p>
        </w:tc>
        <w:tc>
          <w:tcPr>
            <w:tcW w:w="14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$27.061</w:t>
            </w:r>
          </w:p>
        </w:tc>
      </w:tr>
      <w:tr>
        <w:trPr>
          <w:trHeight w:val="163"/>
        </w:trPr>
        <w:tc>
          <w:tcPr>
            <w:tcW w:w="680" w:type="dxa"/>
            <w:vAlign w:val="bottom"/>
          </w:tcPr>
          <w:p>
            <w:pPr>
              <w:spacing w:after="0"/>
              <w:rPr>
                <w:sz w:val="20"/>
                <w:szCs w:val="20"/>
                <w:color w:val="auto"/>
              </w:rPr>
            </w:pPr>
            <w:r>
              <w:rPr>
                <w:rFonts w:ascii="Courier New" w:cs="Courier New" w:eastAsia="Courier New" w:hAnsi="Courier New"/>
                <w:sz w:val="14"/>
                <w:szCs w:val="14"/>
                <w:color w:val="auto"/>
              </w:rPr>
              <w:t>$30.795</w:t>
            </w:r>
          </w:p>
        </w:tc>
        <w:tc>
          <w:tcPr>
            <w:tcW w:w="180" w:type="dxa"/>
            <w:vAlign w:val="bottom"/>
          </w:tcPr>
          <w:p>
            <w:pPr>
              <w:jc w:val="right"/>
              <w:ind w:right="9"/>
              <w:spacing w:after="0"/>
              <w:rPr>
                <w:sz w:val="20"/>
                <w:szCs w:val="20"/>
                <w:color w:val="auto"/>
              </w:rPr>
            </w:pPr>
            <w:r>
              <w:rPr>
                <w:rFonts w:ascii="Courier New" w:cs="Courier New" w:eastAsia="Courier New" w:hAnsi="Courier New"/>
                <w:sz w:val="14"/>
                <w:szCs w:val="14"/>
                <w:color w:val="auto"/>
                <w:w w:val="94"/>
              </w:rPr>
              <w:t>-</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$55.619</w:t>
            </w:r>
          </w:p>
        </w:tc>
        <w:tc>
          <w:tcPr>
            <w:tcW w:w="14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12,062,599</w:t>
            </w:r>
          </w:p>
        </w:tc>
        <w:tc>
          <w:tcPr>
            <w:tcW w:w="170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7.87</w:t>
            </w:r>
          </w:p>
        </w:tc>
        <w:tc>
          <w:tcPr>
            <w:tcW w:w="16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$46.746</w:t>
            </w:r>
          </w:p>
        </w:tc>
        <w:tc>
          <w:tcPr>
            <w:tcW w:w="14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3,262,756</w:t>
            </w:r>
          </w:p>
        </w:tc>
        <w:tc>
          <w:tcPr>
            <w:tcW w:w="14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$39.519</w:t>
            </w:r>
          </w:p>
        </w:tc>
      </w:tr>
      <w:tr>
        <w:trPr>
          <w:trHeight w:val="163"/>
        </w:trPr>
        <w:tc>
          <w:tcPr>
            <w:tcW w:w="680" w:type="dxa"/>
            <w:vAlign w:val="bottom"/>
          </w:tcPr>
          <w:p>
            <w:pPr>
              <w:spacing w:after="0"/>
              <w:rPr>
                <w:sz w:val="20"/>
                <w:szCs w:val="20"/>
                <w:color w:val="auto"/>
              </w:rPr>
            </w:pPr>
            <w:r>
              <w:rPr>
                <w:rFonts w:ascii="Courier New" w:cs="Courier New" w:eastAsia="Courier New" w:hAnsi="Courier New"/>
                <w:sz w:val="14"/>
                <w:szCs w:val="14"/>
                <w:color w:val="auto"/>
              </w:rPr>
              <w:t>$55.875</w:t>
            </w:r>
          </w:p>
        </w:tc>
        <w:tc>
          <w:tcPr>
            <w:tcW w:w="180" w:type="dxa"/>
            <w:vAlign w:val="bottom"/>
          </w:tcPr>
          <w:p>
            <w:pPr>
              <w:jc w:val="right"/>
              <w:ind w:right="9"/>
              <w:spacing w:after="0"/>
              <w:rPr>
                <w:sz w:val="20"/>
                <w:szCs w:val="20"/>
                <w:color w:val="auto"/>
              </w:rPr>
            </w:pPr>
            <w:r>
              <w:rPr>
                <w:rFonts w:ascii="Courier New" w:cs="Courier New" w:eastAsia="Courier New" w:hAnsi="Courier New"/>
                <w:sz w:val="14"/>
                <w:szCs w:val="14"/>
                <w:color w:val="auto"/>
                <w:w w:val="94"/>
              </w:rPr>
              <w:t>-</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$82.348</w:t>
            </w:r>
          </w:p>
        </w:tc>
        <w:tc>
          <w:tcPr>
            <w:tcW w:w="14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6,859,263</w:t>
            </w:r>
          </w:p>
        </w:tc>
        <w:tc>
          <w:tcPr>
            <w:tcW w:w="170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7.94</w:t>
            </w:r>
          </w:p>
        </w:tc>
        <w:tc>
          <w:tcPr>
            <w:tcW w:w="16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$78.828</w:t>
            </w:r>
          </w:p>
        </w:tc>
        <w:tc>
          <w:tcPr>
            <w:tcW w:w="14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2,148,360</w:t>
            </w:r>
          </w:p>
        </w:tc>
        <w:tc>
          <w:tcPr>
            <w:tcW w:w="14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$84.037</w:t>
            </w:r>
          </w:p>
        </w:tc>
      </w:tr>
      <w:tr>
        <w:trPr>
          <w:trHeight w:val="163"/>
        </w:trPr>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14"/>
                <w:szCs w:val="14"/>
                <w:color w:val="auto"/>
              </w:rPr>
            </w:pPr>
          </w:p>
        </w:tc>
      </w:tr>
      <w:tr>
        <w:trPr>
          <w:trHeight w:val="163"/>
        </w:trPr>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31,613,924</w:t>
            </w:r>
          </w:p>
        </w:tc>
        <w:tc>
          <w:tcPr>
            <w:tcW w:w="170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6.42</w:t>
            </w:r>
          </w:p>
        </w:tc>
        <w:tc>
          <w:tcPr>
            <w:tcW w:w="16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$45.942</w:t>
            </w:r>
          </w:p>
        </w:tc>
        <w:tc>
          <w:tcPr>
            <w:tcW w:w="14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16,396,821</w:t>
            </w:r>
          </w:p>
        </w:tc>
        <w:tc>
          <w:tcPr>
            <w:tcW w:w="14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$37.005</w:t>
            </w:r>
          </w:p>
        </w:tc>
      </w:tr>
      <w:tr>
        <w:trPr>
          <w:trHeight w:val="163"/>
        </w:trPr>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14"/>
                <w:szCs w:val="14"/>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Stock Purchase Plan</w:t>
      </w:r>
    </w:p>
    <w:p>
      <w:pPr>
        <w:spacing w:after="0" w:line="4" w:lineRule="exact"/>
        <w:rPr>
          <w:sz w:val="20"/>
          <w:szCs w:val="20"/>
          <w:color w:val="auto"/>
        </w:rPr>
      </w:pPr>
    </w:p>
    <w:p>
      <w:pPr>
        <w:ind w:right="4240"/>
        <w:spacing w:after="0" w:line="246" w:lineRule="auto"/>
        <w:rPr>
          <w:sz w:val="20"/>
          <w:szCs w:val="20"/>
          <w:color w:val="auto"/>
        </w:rPr>
      </w:pPr>
      <w:r>
        <w:rPr>
          <w:rFonts w:ascii="Courier New" w:cs="Courier New" w:eastAsia="Courier New" w:hAnsi="Courier New"/>
          <w:sz w:val="14"/>
          <w:szCs w:val="14"/>
          <w:color w:val="auto"/>
        </w:rPr>
        <w:t>Under the Schlumberger Discounted Stock Purchase Plan, Schlumberger is authorized to issue up to 22,012,245 shares of common stock to its employees. Under the terms of the Plan, employees can choose each year to have up to 10% of their annual earnings withheld to purchase Schlumberger common stock. The purchase price of the stock is 85% of the lower of its beginning or end of the Plan year market price. Under the Plan, Schlumberger sold 1,324,848, 1,266,840 and 1,399,623 shares to employees in 1999, 1998 and 1997, respectively. Compensation cost has been computed for the fair value of the employees' purchase rights, which was estimated using the Black-Scholes model with the following assumptions for 1999, 1998 and 1997: Dividend of $0.75; expected life of one year; expected volatility of 40% for 1999, 34% for 1998 and 28% for 1997; and risk-free interest rates of 5.33% for 1999, 4.44% for 1998 and 5.64% for 1997. The weighted-average fair value of those purchase rights granted in 1999, 1998 and 1997, was $19.829, $19.817 and $17.845, respectively.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 Expense</w:t>
      </w:r>
    </w:p>
    <w:p>
      <w:pPr>
        <w:spacing w:after="0" w:line="4" w:lineRule="exact"/>
        <w:rPr>
          <w:sz w:val="20"/>
          <w:szCs w:val="20"/>
          <w:color w:val="auto"/>
        </w:rPr>
      </w:pPr>
    </w:p>
    <w:p>
      <w:pPr>
        <w:ind w:right="4340"/>
        <w:spacing w:after="0" w:line="248" w:lineRule="auto"/>
        <w:rPr>
          <w:sz w:val="20"/>
          <w:szCs w:val="20"/>
          <w:color w:val="auto"/>
        </w:rPr>
      </w:pPr>
      <w:r>
        <w:rPr>
          <w:rFonts w:ascii="Courier New" w:cs="Courier New" w:eastAsia="Courier New" w:hAnsi="Courier New"/>
          <w:sz w:val="14"/>
          <w:szCs w:val="14"/>
          <w:color w:val="auto"/>
        </w:rPr>
        <w:t>Schlumberger and its subsidiaries operate in more than 100 taxing jurisdictions where statutory tax rates generally vary from 0% to 50%.</w:t>
      </w:r>
    </w:p>
    <w:p>
      <w:pPr>
        <w:spacing w:after="0" w:line="16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1040"/>
          </w:cols>
          <w:pgMar w:left="300" w:top="609" w:right="559" w:bottom="1440" w:gutter="0" w:footer="0" w:header="0"/>
          <w:type w:val="continuous"/>
        </w:sectPr>
      </w:pPr>
    </w:p>
    <w:bookmarkStart w:id="36" w:name="page37"/>
    <w:bookmarkEnd w:id="36"/>
    <w:p>
      <w:pPr>
        <w:ind w:right="3619"/>
        <w:spacing w:after="0" w:line="248" w:lineRule="auto"/>
        <w:rPr>
          <w:sz w:val="20"/>
          <w:szCs w:val="20"/>
          <w:color w:val="auto"/>
        </w:rPr>
      </w:pPr>
      <w:r>
        <w:rPr>
          <w:rFonts w:ascii="Courier New" w:cs="Courier New" w:eastAsia="Courier New" w:hAnsi="Courier New"/>
          <w:sz w:val="14"/>
          <w:szCs w:val="14"/>
          <w:color w:val="auto"/>
        </w:rPr>
        <w:t>Pretax book income from continuing operations subject to US and non-US income taxes for each of the three years ending December 31, was as follows: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9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w w:val="99"/>
              </w:rPr>
              <w:t>(Stated in millions)</w:t>
            </w:r>
          </w:p>
        </w:tc>
        <w:tc>
          <w:tcPr>
            <w:tcW w:w="1020" w:type="dxa"/>
            <w:vAlign w:val="bottom"/>
          </w:tcPr>
          <w:p>
            <w:pPr>
              <w:spacing w:after="0"/>
              <w:rPr>
                <w:sz w:val="13"/>
                <w:szCs w:val="13"/>
                <w:color w:val="auto"/>
              </w:rPr>
            </w:pPr>
          </w:p>
        </w:tc>
      </w:tr>
      <w:tr>
        <w:trPr>
          <w:trHeight w:val="163"/>
        </w:trPr>
        <w:tc>
          <w:tcPr>
            <w:tcW w:w="2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1999</w:t>
            </w:r>
          </w:p>
        </w:tc>
        <w:tc>
          <w:tcPr>
            <w:tcW w:w="900" w:type="dxa"/>
            <w:vAlign w:val="bottom"/>
          </w:tcPr>
          <w:p>
            <w:pPr>
              <w:spacing w:after="0"/>
              <w:rPr>
                <w:sz w:val="14"/>
                <w:szCs w:val="14"/>
                <w:color w:val="auto"/>
              </w:rPr>
            </w:pPr>
          </w:p>
        </w:tc>
        <w:tc>
          <w:tcPr>
            <w:tcW w:w="10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1998</w:t>
            </w:r>
          </w:p>
        </w:tc>
        <w:tc>
          <w:tcPr>
            <w:tcW w:w="1020" w:type="dxa"/>
            <w:vAlign w:val="bottom"/>
          </w:tcPr>
          <w:p>
            <w:pPr>
              <w:jc w:val="center"/>
              <w:ind w:left="8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2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0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center"/>
              <w:ind w:left="89"/>
              <w:spacing w:after="0"/>
              <w:rPr>
                <w:sz w:val="20"/>
                <w:szCs w:val="20"/>
                <w:color w:val="auto"/>
              </w:rPr>
            </w:pPr>
            <w:r>
              <w:rPr>
                <w:rFonts w:ascii="Courier New" w:cs="Courier New" w:eastAsia="Courier New" w:hAnsi="Courier New"/>
                <w:sz w:val="14"/>
                <w:szCs w:val="14"/>
                <w:color w:val="auto"/>
              </w:rPr>
              <w:t>----</w:t>
            </w:r>
          </w:p>
        </w:tc>
      </w:tr>
      <w:tr>
        <w:trPr>
          <w:trHeight w:val="326"/>
        </w:trPr>
        <w:tc>
          <w:tcPr>
            <w:tcW w:w="2720" w:type="dxa"/>
            <w:vAlign w:val="bottom"/>
          </w:tcPr>
          <w:p>
            <w:pPr>
              <w:spacing w:after="0"/>
              <w:rPr>
                <w:sz w:val="20"/>
                <w:szCs w:val="20"/>
                <w:color w:val="auto"/>
              </w:rPr>
            </w:pPr>
            <w:r>
              <w:rPr>
                <w:rFonts w:ascii="Courier New" w:cs="Courier New" w:eastAsia="Courier New" w:hAnsi="Courier New"/>
                <w:sz w:val="14"/>
                <w:szCs w:val="14"/>
                <w:color w:val="auto"/>
              </w:rPr>
              <w:t>United States</w:t>
            </w:r>
          </w:p>
        </w:tc>
        <w:tc>
          <w:tcPr>
            <w:tcW w:w="1180" w:type="dxa"/>
            <w:vAlign w:val="bottom"/>
          </w:tcPr>
          <w:p>
            <w:pPr>
              <w:ind w:left="10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(172)</w:t>
            </w:r>
          </w:p>
        </w:tc>
        <w:tc>
          <w:tcPr>
            <w:tcW w:w="90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24</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482</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Outside United States</w:t>
            </w:r>
          </w:p>
        </w:tc>
        <w:tc>
          <w:tcPr>
            <w:tcW w:w="1180" w:type="dxa"/>
            <w:vAlign w:val="bottom"/>
          </w:tcPr>
          <w:p>
            <w:pPr>
              <w:spacing w:after="0"/>
              <w:rPr>
                <w:sz w:val="14"/>
                <w:szCs w:val="14"/>
                <w:color w:val="auto"/>
              </w:rPr>
            </w:pPr>
          </w:p>
        </w:tc>
        <w:tc>
          <w:tcPr>
            <w:tcW w:w="6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642</w:t>
            </w:r>
          </w:p>
        </w:tc>
        <w:tc>
          <w:tcPr>
            <w:tcW w:w="900" w:type="dxa"/>
            <w:vAlign w:val="bottom"/>
          </w:tcPr>
          <w:p>
            <w:pPr>
              <w:spacing w:after="0"/>
              <w:rPr>
                <w:sz w:val="14"/>
                <w:szCs w:val="14"/>
                <w:color w:val="auto"/>
              </w:rPr>
            </w:pPr>
          </w:p>
        </w:tc>
        <w:tc>
          <w:tcPr>
            <w:tcW w:w="10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870</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994</w:t>
            </w:r>
          </w:p>
        </w:tc>
      </w:tr>
      <w:tr>
        <w:trPr>
          <w:trHeight w:val="163"/>
        </w:trPr>
        <w:tc>
          <w:tcPr>
            <w:tcW w:w="2720" w:type="dxa"/>
            <w:vAlign w:val="bottom"/>
          </w:tcPr>
          <w:p>
            <w:pPr>
              <w:spacing w:after="0"/>
              <w:rPr>
                <w:sz w:val="14"/>
                <w:szCs w:val="14"/>
                <w:color w:val="auto"/>
              </w:rPr>
            </w:pPr>
          </w:p>
        </w:tc>
        <w:tc>
          <w:tcPr>
            <w:tcW w:w="1860" w:type="dxa"/>
            <w:vAlign w:val="bottom"/>
            <w:gridSpan w:val="2"/>
          </w:tcPr>
          <w:p>
            <w:pPr>
              <w:ind w:left="1020"/>
              <w:spacing w:after="0"/>
              <w:rPr>
                <w:sz w:val="20"/>
                <w:szCs w:val="20"/>
                <w:color w:val="auto"/>
              </w:rPr>
            </w:pPr>
            <w:r>
              <w:rPr>
                <w:rFonts w:ascii="Courier New" w:cs="Courier New" w:eastAsia="Courier New" w:hAnsi="Courier New"/>
                <w:sz w:val="14"/>
                <w:szCs w:val="14"/>
                <w:color w:val="auto"/>
                <w:w w:val="97"/>
              </w:rPr>
              <w:t>----------</w:t>
            </w:r>
          </w:p>
        </w:tc>
        <w:tc>
          <w:tcPr>
            <w:tcW w:w="196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Pretax income</w:t>
            </w:r>
          </w:p>
        </w:tc>
        <w:tc>
          <w:tcPr>
            <w:tcW w:w="1180" w:type="dxa"/>
            <w:vAlign w:val="bottom"/>
          </w:tcPr>
          <w:p>
            <w:pPr>
              <w:ind w:left="10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470</w:t>
            </w:r>
          </w:p>
        </w:tc>
        <w:tc>
          <w:tcPr>
            <w:tcW w:w="90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894</w:t>
            </w:r>
          </w:p>
        </w:tc>
        <w:tc>
          <w:tcPr>
            <w:tcW w:w="1020" w:type="dxa"/>
            <w:vAlign w:val="bottom"/>
          </w:tcPr>
          <w:p>
            <w:pPr>
              <w:jc w:val="center"/>
              <w:ind w:left="89"/>
              <w:spacing w:after="0"/>
              <w:rPr>
                <w:sz w:val="20"/>
                <w:szCs w:val="20"/>
                <w:color w:val="auto"/>
              </w:rPr>
            </w:pPr>
            <w:r>
              <w:rPr>
                <w:rFonts w:ascii="Courier New" w:cs="Courier New" w:eastAsia="Courier New" w:hAnsi="Courier New"/>
                <w:sz w:val="14"/>
                <w:szCs w:val="14"/>
                <w:color w:val="auto"/>
                <w:w w:val="99"/>
              </w:rPr>
              <w:t>$1,476</w:t>
            </w:r>
          </w:p>
        </w:tc>
      </w:tr>
      <w:tr>
        <w:trPr>
          <w:trHeight w:val="163"/>
        </w:trPr>
        <w:tc>
          <w:tcPr>
            <w:tcW w:w="272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center"/>
              <w:ind w:left="89"/>
              <w:spacing w:after="0"/>
              <w:rPr>
                <w:sz w:val="20"/>
                <w:szCs w:val="20"/>
                <w:color w:val="auto"/>
              </w:rPr>
            </w:pPr>
            <w:r>
              <w:rPr>
                <w:rFonts w:ascii="Courier New" w:cs="Courier New" w:eastAsia="Courier New" w:hAnsi="Courier New"/>
                <w:sz w:val="14"/>
                <w:szCs w:val="14"/>
                <w:color w:val="auto"/>
                <w:w w:val="98"/>
              </w:rPr>
              <w:t>========</w:t>
            </w:r>
          </w:p>
        </w:tc>
      </w:tr>
    </w:tbl>
    <w:p>
      <w:pPr>
        <w:spacing w:after="0" w:line="166"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Schlumberger had net deductible temporary differences of $1.1 billion on December 31, 1999 and $1.2 billion on December 31, 1998. Significant temporary differences pertain to postretirement medical benefits, fixed assets, employee benefits and inventory.</w:t>
      </w:r>
    </w:p>
    <w:p>
      <w:pPr>
        <w:spacing w:after="0" w:line="162" w:lineRule="exact"/>
        <w:rPr>
          <w:sz w:val="20"/>
          <w:szCs w:val="20"/>
          <w:color w:val="auto"/>
        </w:rPr>
      </w:pPr>
    </w:p>
    <w:p>
      <w:pPr>
        <w:ind w:right="3699"/>
        <w:spacing w:after="0" w:line="248" w:lineRule="auto"/>
        <w:rPr>
          <w:sz w:val="20"/>
          <w:szCs w:val="20"/>
          <w:color w:val="auto"/>
        </w:rPr>
      </w:pPr>
      <w:r>
        <w:rPr>
          <w:rFonts w:ascii="Courier New" w:cs="Courier New" w:eastAsia="Courier New" w:hAnsi="Courier New"/>
          <w:sz w:val="14"/>
          <w:szCs w:val="14"/>
          <w:color w:val="auto"/>
        </w:rPr>
        <w:t>The components of consolidated income tax expense from continuing operations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(Stated</w:t>
            </w:r>
          </w:p>
        </w:tc>
        <w:tc>
          <w:tcPr>
            <w:tcW w:w="1360" w:type="dxa"/>
            <w:vAlign w:val="bottom"/>
            <w:gridSpan w:val="3"/>
          </w:tcPr>
          <w:p>
            <w:pPr>
              <w:jc w:val="right"/>
              <w:ind w:right="189"/>
              <w:spacing w:after="0"/>
              <w:rPr>
                <w:sz w:val="20"/>
                <w:szCs w:val="20"/>
                <w:color w:val="auto"/>
              </w:rPr>
            </w:pPr>
            <w:r>
              <w:rPr>
                <w:rFonts w:ascii="Courier New" w:cs="Courier New" w:eastAsia="Courier New" w:hAnsi="Courier New"/>
                <w:sz w:val="14"/>
                <w:szCs w:val="14"/>
                <w:color w:val="auto"/>
              </w:rPr>
              <w:t>in millions)</w:t>
            </w:r>
          </w:p>
        </w:tc>
      </w:tr>
      <w:tr>
        <w:trPr>
          <w:trHeight w:val="163"/>
        </w:trPr>
        <w:tc>
          <w:tcPr>
            <w:tcW w:w="2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jc w:val="right"/>
              <w:ind w:right="209"/>
              <w:spacing w:after="0"/>
              <w:rPr>
                <w:sz w:val="20"/>
                <w:szCs w:val="20"/>
                <w:color w:val="auto"/>
              </w:rPr>
            </w:pPr>
            <w:r>
              <w:rPr>
                <w:rFonts w:ascii="Courier New" w:cs="Courier New" w:eastAsia="Courier New" w:hAnsi="Courier New"/>
                <w:sz w:val="14"/>
                <w:szCs w:val="14"/>
                <w:color w:val="auto"/>
                <w:w w:val="95"/>
              </w:rPr>
              <w:t>1999</w:t>
            </w:r>
          </w:p>
        </w:tc>
        <w:tc>
          <w:tcPr>
            <w:tcW w:w="300" w:type="dxa"/>
            <w:vAlign w:val="bottom"/>
          </w:tcPr>
          <w:p>
            <w:pPr>
              <w:spacing w:after="0"/>
              <w:rPr>
                <w:sz w:val="14"/>
                <w:szCs w:val="14"/>
                <w:color w:val="auto"/>
              </w:rPr>
            </w:pPr>
          </w:p>
        </w:tc>
        <w:tc>
          <w:tcPr>
            <w:tcW w:w="64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5"/>
              </w:rPr>
              <w:t>1998</w:t>
            </w:r>
          </w:p>
        </w:tc>
        <w:tc>
          <w:tcPr>
            <w:tcW w:w="300" w:type="dxa"/>
            <w:vAlign w:val="bottom"/>
          </w:tcPr>
          <w:p>
            <w:pPr>
              <w:spacing w:after="0"/>
              <w:rPr>
                <w:sz w:val="14"/>
                <w:szCs w:val="14"/>
                <w:color w:val="auto"/>
              </w:rPr>
            </w:pP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1997</w:t>
            </w:r>
          </w:p>
        </w:tc>
      </w:tr>
      <w:tr>
        <w:trPr>
          <w:trHeight w:val="163"/>
        </w:trPr>
        <w:tc>
          <w:tcPr>
            <w:tcW w:w="2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jc w:val="right"/>
              <w:ind w:right="209"/>
              <w:spacing w:after="0"/>
              <w:rPr>
                <w:sz w:val="20"/>
                <w:szCs w:val="20"/>
                <w:color w:val="auto"/>
              </w:rPr>
            </w:pPr>
            <w:r>
              <w:rPr>
                <w:rFonts w:ascii="Courier New" w:cs="Courier New" w:eastAsia="Courier New" w:hAnsi="Courier New"/>
                <w:sz w:val="14"/>
                <w:szCs w:val="14"/>
                <w:color w:val="auto"/>
                <w:w w:val="95"/>
              </w:rPr>
              <w:t>----</w:t>
            </w:r>
          </w:p>
        </w:tc>
        <w:tc>
          <w:tcPr>
            <w:tcW w:w="300" w:type="dxa"/>
            <w:vAlign w:val="bottom"/>
          </w:tcPr>
          <w:p>
            <w:pPr>
              <w:spacing w:after="0"/>
              <w:rPr>
                <w:sz w:val="14"/>
                <w:szCs w:val="14"/>
                <w:color w:val="auto"/>
              </w:rPr>
            </w:pPr>
          </w:p>
        </w:tc>
        <w:tc>
          <w:tcPr>
            <w:tcW w:w="64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5"/>
              </w:rPr>
              <w:t>----</w:t>
            </w:r>
          </w:p>
        </w:tc>
        <w:tc>
          <w:tcPr>
            <w:tcW w:w="7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3"/>
        </w:trPr>
        <w:tc>
          <w:tcPr>
            <w:tcW w:w="2980" w:type="dxa"/>
            <w:vAlign w:val="bottom"/>
          </w:tcPr>
          <w:p>
            <w:pPr>
              <w:ind w:left="340"/>
              <w:spacing w:after="0"/>
              <w:rPr>
                <w:sz w:val="20"/>
                <w:szCs w:val="20"/>
                <w:color w:val="auto"/>
              </w:rPr>
            </w:pPr>
            <w:r>
              <w:rPr>
                <w:rFonts w:ascii="Courier New" w:cs="Courier New" w:eastAsia="Courier New" w:hAnsi="Courier New"/>
                <w:sz w:val="14"/>
                <w:szCs w:val="14"/>
                <w:color w:val="auto"/>
              </w:rPr>
              <w:t>United States--Federal</w:t>
            </w:r>
          </w:p>
        </w:tc>
        <w:tc>
          <w:tcPr>
            <w:tcW w:w="13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 (74)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93</w:t>
            </w:r>
          </w:p>
        </w:tc>
      </w:tr>
      <w:tr>
        <w:trPr>
          <w:trHeight w:val="163"/>
        </w:trPr>
        <w:tc>
          <w:tcPr>
            <w:tcW w:w="2980" w:type="dxa"/>
            <w:vAlign w:val="bottom"/>
          </w:tcPr>
          <w:p>
            <w:pPr>
              <w:ind w:left="340"/>
              <w:spacing w:after="0"/>
              <w:rPr>
                <w:sz w:val="20"/>
                <w:szCs w:val="20"/>
                <w:color w:val="auto"/>
              </w:rPr>
            </w:pPr>
            <w:r>
              <w:rPr>
                <w:rFonts w:ascii="Courier New" w:cs="Courier New" w:eastAsia="Courier New" w:hAnsi="Courier New"/>
                <w:sz w:val="14"/>
                <w:szCs w:val="14"/>
                <w:color w:val="auto"/>
              </w:rPr>
              <w:t>United States--State</w:t>
            </w:r>
          </w:p>
        </w:tc>
        <w:tc>
          <w:tcPr>
            <w:tcW w:w="68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w:t>
            </w:r>
          </w:p>
        </w:tc>
        <w:tc>
          <w:tcPr>
            <w:tcW w:w="300" w:type="dxa"/>
            <w:vAlign w:val="bottom"/>
          </w:tcPr>
          <w:p>
            <w:pPr>
              <w:spacing w:after="0"/>
              <w:rPr>
                <w:sz w:val="14"/>
                <w:szCs w:val="14"/>
                <w:color w:val="auto"/>
              </w:rPr>
            </w:pPr>
          </w:p>
        </w:tc>
        <w:tc>
          <w:tcPr>
            <w:tcW w:w="6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w:t>
            </w:r>
          </w:p>
        </w:tc>
        <w:tc>
          <w:tcPr>
            <w:tcW w:w="300" w:type="dxa"/>
            <w:vAlign w:val="bottom"/>
          </w:tcPr>
          <w:p>
            <w:pPr>
              <w:spacing w:after="0"/>
              <w:rPr>
                <w:sz w:val="14"/>
                <w:szCs w:val="14"/>
                <w:color w:val="auto"/>
              </w:rPr>
            </w:pP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w:t>
            </w:r>
          </w:p>
        </w:tc>
      </w:tr>
      <w:tr>
        <w:trPr>
          <w:trHeight w:val="163"/>
        </w:trPr>
        <w:tc>
          <w:tcPr>
            <w:tcW w:w="2980" w:type="dxa"/>
            <w:vAlign w:val="bottom"/>
          </w:tcPr>
          <w:p>
            <w:pPr>
              <w:ind w:left="340"/>
              <w:spacing w:after="0"/>
              <w:rPr>
                <w:sz w:val="20"/>
                <w:szCs w:val="20"/>
                <w:color w:val="auto"/>
              </w:rPr>
            </w:pPr>
            <w:r>
              <w:rPr>
                <w:rFonts w:ascii="Courier New" w:cs="Courier New" w:eastAsia="Courier New" w:hAnsi="Courier New"/>
                <w:sz w:val="14"/>
                <w:szCs w:val="14"/>
                <w:color w:val="auto"/>
              </w:rPr>
              <w:t>Outside United States</w:t>
            </w:r>
          </w:p>
        </w:tc>
        <w:tc>
          <w:tcPr>
            <w:tcW w:w="680" w:type="dxa"/>
            <w:vAlign w:val="bottom"/>
          </w:tcPr>
          <w:p>
            <w:pPr>
              <w:spacing w:after="0"/>
              <w:rPr>
                <w:sz w:val="14"/>
                <w:szCs w:val="14"/>
                <w:color w:val="auto"/>
              </w:rPr>
            </w:pPr>
          </w:p>
        </w:tc>
        <w:tc>
          <w:tcPr>
            <w:tcW w:w="6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206</w:t>
            </w:r>
          </w:p>
        </w:tc>
        <w:tc>
          <w:tcPr>
            <w:tcW w:w="300" w:type="dxa"/>
            <w:vAlign w:val="bottom"/>
          </w:tcPr>
          <w:p>
            <w:pPr>
              <w:spacing w:after="0"/>
              <w:rPr>
                <w:sz w:val="14"/>
                <w:szCs w:val="14"/>
                <w:color w:val="auto"/>
              </w:rPr>
            </w:pPr>
          </w:p>
        </w:tc>
        <w:tc>
          <w:tcPr>
            <w:tcW w:w="6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225</w:t>
            </w:r>
          </w:p>
        </w:tc>
        <w:tc>
          <w:tcPr>
            <w:tcW w:w="300" w:type="dxa"/>
            <w:vAlign w:val="bottom"/>
          </w:tcPr>
          <w:p>
            <w:pPr>
              <w:spacing w:after="0"/>
              <w:rPr>
                <w:sz w:val="14"/>
                <w:szCs w:val="14"/>
                <w:color w:val="auto"/>
              </w:rPr>
            </w:pP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244</w:t>
            </w:r>
          </w:p>
        </w:tc>
      </w:tr>
      <w:tr>
        <w:trPr>
          <w:trHeight w:val="163"/>
        </w:trPr>
        <w:tc>
          <w:tcPr>
            <w:tcW w:w="2980" w:type="dxa"/>
            <w:vAlign w:val="bottom"/>
          </w:tcPr>
          <w:p>
            <w:pPr>
              <w:spacing w:after="0"/>
              <w:rPr>
                <w:sz w:val="14"/>
                <w:szCs w:val="14"/>
                <w:color w:val="auto"/>
              </w:rPr>
            </w:pPr>
          </w:p>
        </w:tc>
        <w:tc>
          <w:tcPr>
            <w:tcW w:w="130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7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980" w:type="dxa"/>
            <w:vAlign w:val="bottom"/>
          </w:tcPr>
          <w:p>
            <w:pPr>
              <w:spacing w:after="0"/>
              <w:rPr>
                <w:sz w:val="14"/>
                <w:szCs w:val="14"/>
                <w:color w:val="auto"/>
              </w:rPr>
            </w:pPr>
          </w:p>
        </w:tc>
        <w:tc>
          <w:tcPr>
            <w:tcW w:w="130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$ 125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364</w:t>
            </w:r>
          </w:p>
        </w:tc>
        <w:tc>
          <w:tcPr>
            <w:tcW w:w="7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$ 356</w:t>
            </w:r>
          </w:p>
        </w:tc>
      </w:tr>
      <w:tr>
        <w:trPr>
          <w:trHeight w:val="163"/>
        </w:trPr>
        <w:tc>
          <w:tcPr>
            <w:tcW w:w="2980" w:type="dxa"/>
            <w:vAlign w:val="bottom"/>
          </w:tcPr>
          <w:p>
            <w:pPr>
              <w:spacing w:after="0"/>
              <w:rPr>
                <w:sz w:val="14"/>
                <w:szCs w:val="14"/>
                <w:color w:val="auto"/>
              </w:rPr>
            </w:pPr>
          </w:p>
        </w:tc>
        <w:tc>
          <w:tcPr>
            <w:tcW w:w="130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7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489"/>
        </w:trPr>
        <w:tc>
          <w:tcPr>
            <w:tcW w:w="298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63"/>
        </w:trPr>
        <w:tc>
          <w:tcPr>
            <w:tcW w:w="2980" w:type="dxa"/>
            <w:vAlign w:val="bottom"/>
          </w:tcPr>
          <w:p>
            <w:pPr>
              <w:ind w:left="340"/>
              <w:spacing w:after="0"/>
              <w:rPr>
                <w:sz w:val="20"/>
                <w:szCs w:val="20"/>
                <w:color w:val="auto"/>
              </w:rPr>
            </w:pPr>
            <w:r>
              <w:rPr>
                <w:rFonts w:ascii="Courier New" w:cs="Courier New" w:eastAsia="Courier New" w:hAnsi="Courier New"/>
                <w:sz w:val="14"/>
                <w:szCs w:val="14"/>
                <w:color w:val="auto"/>
              </w:rPr>
              <w:t>United States--Federal</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(68)</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w:t>
            </w:r>
          </w:p>
        </w:tc>
      </w:tr>
      <w:tr>
        <w:trPr>
          <w:trHeight w:val="163"/>
        </w:trPr>
        <w:tc>
          <w:tcPr>
            <w:tcW w:w="2980" w:type="dxa"/>
            <w:vAlign w:val="bottom"/>
          </w:tcPr>
          <w:p>
            <w:pPr>
              <w:ind w:left="340"/>
              <w:spacing w:after="0"/>
              <w:rPr>
                <w:sz w:val="20"/>
                <w:szCs w:val="20"/>
                <w:color w:val="auto"/>
              </w:rPr>
            </w:pPr>
            <w:r>
              <w:rPr>
                <w:rFonts w:ascii="Courier New" w:cs="Courier New" w:eastAsia="Courier New" w:hAnsi="Courier New"/>
                <w:sz w:val="14"/>
                <w:szCs w:val="14"/>
                <w:color w:val="auto"/>
              </w:rPr>
              <w:t>United States--State</w:t>
            </w:r>
          </w:p>
        </w:tc>
        <w:tc>
          <w:tcPr>
            <w:tcW w:w="680" w:type="dxa"/>
            <w:vAlign w:val="bottom"/>
          </w:tcPr>
          <w:p>
            <w:pPr>
              <w:spacing w:after="0"/>
              <w:rPr>
                <w:sz w:val="14"/>
                <w:szCs w:val="14"/>
                <w:color w:val="auto"/>
              </w:rPr>
            </w:pPr>
          </w:p>
        </w:tc>
        <w:tc>
          <w:tcPr>
            <w:tcW w:w="6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w:t>
            </w:r>
          </w:p>
        </w:tc>
        <w:tc>
          <w:tcPr>
            <w:tcW w:w="300" w:type="dxa"/>
            <w:vAlign w:val="bottom"/>
          </w:tcPr>
          <w:p>
            <w:pPr>
              <w:spacing w:after="0"/>
              <w:rPr>
                <w:sz w:val="14"/>
                <w:szCs w:val="14"/>
                <w:color w:val="auto"/>
              </w:rPr>
            </w:pPr>
          </w:p>
        </w:tc>
        <w:tc>
          <w:tcPr>
            <w:tcW w:w="6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w:t>
            </w: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3"/>
        </w:trPr>
        <w:tc>
          <w:tcPr>
            <w:tcW w:w="2980" w:type="dxa"/>
            <w:vAlign w:val="bottom"/>
          </w:tcPr>
          <w:p>
            <w:pPr>
              <w:ind w:left="340"/>
              <w:spacing w:after="0"/>
              <w:rPr>
                <w:sz w:val="20"/>
                <w:szCs w:val="20"/>
                <w:color w:val="auto"/>
              </w:rPr>
            </w:pPr>
            <w:r>
              <w:rPr>
                <w:rFonts w:ascii="Courier New" w:cs="Courier New" w:eastAsia="Courier New" w:hAnsi="Courier New"/>
                <w:sz w:val="14"/>
                <w:szCs w:val="14"/>
                <w:color w:val="auto"/>
              </w:rPr>
              <w:t>Outside United States</w:t>
            </w:r>
          </w:p>
        </w:tc>
        <w:tc>
          <w:tcPr>
            <w:tcW w:w="680" w:type="dxa"/>
            <w:vAlign w:val="bottom"/>
          </w:tcPr>
          <w:p>
            <w:pPr>
              <w:spacing w:after="0"/>
              <w:rPr>
                <w:sz w:val="14"/>
                <w:szCs w:val="14"/>
                <w:color w:val="auto"/>
              </w:rPr>
            </w:pPr>
          </w:p>
        </w:tc>
        <w:tc>
          <w:tcPr>
            <w:tcW w:w="6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w:t>
            </w:r>
          </w:p>
        </w:tc>
        <w:tc>
          <w:tcPr>
            <w:tcW w:w="300" w:type="dxa"/>
            <w:vAlign w:val="bottom"/>
          </w:tcPr>
          <w:p>
            <w:pPr>
              <w:spacing w:after="0"/>
              <w:rPr>
                <w:sz w:val="14"/>
                <w:szCs w:val="14"/>
                <w:color w:val="auto"/>
              </w:rPr>
            </w:pPr>
          </w:p>
        </w:tc>
        <w:tc>
          <w:tcPr>
            <w:tcW w:w="6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w:t>
            </w:r>
          </w:p>
        </w:tc>
        <w:tc>
          <w:tcPr>
            <w:tcW w:w="300" w:type="dxa"/>
            <w:vAlign w:val="bottom"/>
          </w:tcPr>
          <w:p>
            <w:pPr>
              <w:spacing w:after="0"/>
              <w:rPr>
                <w:sz w:val="14"/>
                <w:szCs w:val="14"/>
                <w:color w:val="auto"/>
              </w:rPr>
            </w:pP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w:t>
            </w:r>
          </w:p>
        </w:tc>
      </w:tr>
      <w:tr>
        <w:trPr>
          <w:trHeight w:val="163"/>
        </w:trPr>
        <w:tc>
          <w:tcPr>
            <w:tcW w:w="2980" w:type="dxa"/>
            <w:vAlign w:val="bottom"/>
          </w:tcPr>
          <w:p>
            <w:pPr>
              <w:spacing w:after="0"/>
              <w:rPr>
                <w:sz w:val="14"/>
                <w:szCs w:val="14"/>
                <w:color w:val="auto"/>
              </w:rPr>
            </w:pPr>
          </w:p>
        </w:tc>
        <w:tc>
          <w:tcPr>
            <w:tcW w:w="130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7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9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(88)</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w:t>
            </w:r>
          </w:p>
        </w:tc>
      </w:tr>
      <w:tr>
        <w:trPr>
          <w:trHeight w:val="163"/>
        </w:trPr>
        <w:tc>
          <w:tcPr>
            <w:tcW w:w="2980" w:type="dxa"/>
            <w:vAlign w:val="bottom"/>
          </w:tcPr>
          <w:p>
            <w:pPr>
              <w:spacing w:after="0"/>
              <w:rPr>
                <w:sz w:val="14"/>
                <w:szCs w:val="14"/>
                <w:color w:val="auto"/>
              </w:rPr>
            </w:pPr>
          </w:p>
        </w:tc>
        <w:tc>
          <w:tcPr>
            <w:tcW w:w="130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7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Consolidated taxes on income</w:t>
            </w:r>
          </w:p>
        </w:tc>
        <w:tc>
          <w:tcPr>
            <w:tcW w:w="130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$ 141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276</w:t>
            </w:r>
          </w:p>
        </w:tc>
        <w:tc>
          <w:tcPr>
            <w:tcW w:w="7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$ 388</w:t>
            </w:r>
          </w:p>
        </w:tc>
      </w:tr>
      <w:tr>
        <w:trPr>
          <w:trHeight w:val="163"/>
        </w:trPr>
        <w:tc>
          <w:tcPr>
            <w:tcW w:w="2980" w:type="dxa"/>
            <w:vAlign w:val="bottom"/>
          </w:tcPr>
          <w:p>
            <w:pPr>
              <w:spacing w:after="0"/>
              <w:rPr>
                <w:sz w:val="14"/>
                <w:szCs w:val="14"/>
                <w:color w:val="auto"/>
              </w:rPr>
            </w:pPr>
          </w:p>
        </w:tc>
        <w:tc>
          <w:tcPr>
            <w:tcW w:w="130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7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Effective tax rate</w:t>
            </w:r>
          </w:p>
        </w:tc>
        <w:tc>
          <w:tcPr>
            <w:tcW w:w="68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30%</w:t>
            </w:r>
          </w:p>
        </w:tc>
        <w:tc>
          <w:tcPr>
            <w:tcW w:w="300" w:type="dxa"/>
            <w:vAlign w:val="bottom"/>
          </w:tcPr>
          <w:p>
            <w:pPr>
              <w:spacing w:after="0"/>
              <w:rPr>
                <w:sz w:val="14"/>
                <w:szCs w:val="14"/>
                <w:color w:val="auto"/>
              </w:rPr>
            </w:pPr>
          </w:p>
        </w:tc>
        <w:tc>
          <w:tcPr>
            <w:tcW w:w="6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31%</w:t>
            </w: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3"/>
        </w:trPr>
        <w:tc>
          <w:tcPr>
            <w:tcW w:w="2980" w:type="dxa"/>
            <w:vAlign w:val="bottom"/>
          </w:tcPr>
          <w:p>
            <w:pPr>
              <w:spacing w:after="0"/>
              <w:rPr>
                <w:sz w:val="14"/>
                <w:szCs w:val="14"/>
                <w:color w:val="auto"/>
              </w:rPr>
            </w:pPr>
          </w:p>
        </w:tc>
        <w:tc>
          <w:tcPr>
            <w:tcW w:w="130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7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For the three years, the variations from the US statutory federal tax rate (35%) and Schlumberger effective tax rates were due to several factors, including the effect of the US operating loss carryforward in 1997 and a substantial proportion of operations in countries where taxation on income is lower than in the US.</w:t>
      </w:r>
    </w:p>
    <w:p>
      <w:pPr>
        <w:spacing w:after="0" w:line="16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In the third quarter of 1996, with increasing profitability and a strong outlook in the US, Schlumberger recognized 50% of the US income tax benefit related to its US subsidiary's tax loss carryforward and all temporary differences. This resulted in a credit of $360 million. In the second quarter of 1997, Schlumberger released the remaining valuation allowance related to its US subsidiary's tax loss carryforward and all temporary differences. The resulting reduction in income tax expense was not significant.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 and Lease Commitments</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Total rental expense was $303 million in 1999, $304 million in 1998 and $265 million in 1997. Future minimum rental commitments under noncancelable leases for years ending December 31 are: $111 million in 2000; $99 million in 2001; $86 million in 2002; $62 million in 2003; and $52 million in 2004. For the ensuing three five-year periods, these commitments decrease from $79 million to $4 million. The minimum rentals over the remaining terms of the leases aggregate to $43 million.</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609"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Contingencies</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liquidity, financial position or future results of operations.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 Information</w:t>
      </w:r>
    </w:p>
    <w:p>
      <w:pPr>
        <w:spacing w:after="0" w:line="168" w:lineRule="exact"/>
        <w:rPr>
          <w:sz w:val="20"/>
          <w:szCs w:val="20"/>
          <w:color w:val="auto"/>
        </w:rPr>
      </w:pPr>
    </w:p>
    <w:p>
      <w:pPr>
        <w:ind w:right="3959"/>
        <w:spacing w:after="0" w:line="248" w:lineRule="auto"/>
        <w:rPr>
          <w:sz w:val="20"/>
          <w:szCs w:val="20"/>
          <w:color w:val="auto"/>
        </w:rPr>
      </w:pPr>
      <w:r>
        <w:rPr>
          <w:rFonts w:ascii="Courier New" w:cs="Courier New" w:eastAsia="Courier New" w:hAnsi="Courier New"/>
          <w:sz w:val="14"/>
          <w:szCs w:val="14"/>
          <w:color w:val="auto"/>
        </w:rPr>
        <w:t>Schlumberger operates three reportable segments: Oilfield Services (OFS), Resource Management Services (RMS) and Test &amp; Transactions (T&amp;T).</w:t>
      </w:r>
    </w:p>
    <w:p>
      <w:pPr>
        <w:spacing w:after="0" w:line="161"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 Schlumberger OFS segment falls into four clearly defined economic and geographical areas and is evaluated on the following basis: First, North America (NAM) is a major self-contained market. Second, Latin America (LAM) comprises regional markets that share a common dependence on the United States. Third, Europe is another major self-contained market that includes West Africa and the CIS, whose economy is increasingly linked to that of Europe. Fourth, Other Eastern includes the remainder of the Eastern Hemisphere, which consists of many countries at different stages of economic development that share a common dependence on the oil and gas industry. Camco is managed as a separate unit within OFS.</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 OFS segment provides virtually all exploration and production services required during the life of an oil and gas reservoir. Schlumberger believes that all the products/services are interrelated and expects similar performance from each. The RMS segment is essentially a global provider of measurement solutions, products and systems for electricity, gas and water utilities worldwide. The T&amp;T segment supplies technology products, services and system solutions to the semiconductor, banking, telecommunications, transportation and health care industries. The segment consists of Automated Test Equipment, Smart Cards &amp; Terminals and Omnes. Services and products are described in more detail on page xx of this report.</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609" w:right="1440" w:bottom="1440" w:gutter="0" w:footer="0" w:header="0"/>
        </w:sectPr>
      </w:pPr>
    </w:p>
    <w:bookmarkStart w:id="38" w:name="page39"/>
    <w:bookmarkEnd w:id="38"/>
    <w:p>
      <w:pPr>
        <w:ind w:right="4740"/>
        <w:spacing w:after="0" w:line="248" w:lineRule="auto"/>
        <w:rPr>
          <w:sz w:val="20"/>
          <w:szCs w:val="20"/>
          <w:color w:val="auto"/>
        </w:rPr>
      </w:pPr>
      <w:r>
        <w:rPr>
          <w:rFonts w:ascii="Courier New" w:cs="Courier New" w:eastAsia="Courier New" w:hAnsi="Courier New"/>
          <w:sz w:val="14"/>
          <w:szCs w:val="14"/>
          <w:color w:val="auto"/>
        </w:rPr>
        <w:t>Financial information for the years ended December 31, 1999, 1998 and 1997, by segment, is as follows:</w:t>
      </w:r>
    </w:p>
    <w:p>
      <w:pPr>
        <w:sectPr>
          <w:pgSz w:w="11900" w:h="16838" w:orient="portrait"/>
          <w:cols w:equalWidth="0" w:num="1">
            <w:col w:w="11360"/>
          </w:cols>
          <w:pgMar w:left="300" w:top="60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(stated in millions)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480"/>
        <w:spacing w:after="0"/>
        <w:tabs>
          <w:tab w:leader="none" w:pos="4740" w:val="left"/>
          <w:tab w:leader="none" w:pos="7200" w:val="left"/>
        </w:tabs>
        <w:rPr>
          <w:sz w:val="20"/>
          <w:szCs w:val="20"/>
          <w:color w:val="auto"/>
        </w:rPr>
      </w:pPr>
      <w:r>
        <w:rPr>
          <w:rFonts w:ascii="Courier New" w:cs="Courier New" w:eastAsia="Courier New" w:hAnsi="Courier New"/>
          <w:sz w:val="14"/>
          <w:szCs w:val="14"/>
          <w:color w:val="auto"/>
        </w:rPr>
        <w:t>Europe/</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3"/>
          <w:szCs w:val="13"/>
          <w:color w:val="auto"/>
        </w:rPr>
        <w:t>Elims/</w:t>
      </w:r>
    </w:p>
    <w:p>
      <w:pPr>
        <w:spacing w:after="0" w:line="4" w:lineRule="exact"/>
        <w:rPr>
          <w:sz w:val="20"/>
          <w:szCs w:val="20"/>
          <w:color w:val="auto"/>
        </w:rPr>
      </w:pPr>
    </w:p>
    <w:p>
      <w:pPr>
        <w:ind w:left="1120"/>
        <w:spacing w:after="0"/>
        <w:tabs>
          <w:tab w:leader="none" w:pos="2280" w:val="left"/>
          <w:tab w:leader="none" w:pos="3120" w:val="left"/>
          <w:tab w:leader="none" w:pos="4660" w:val="left"/>
          <w:tab w:leader="none" w:pos="6020" w:val="left"/>
          <w:tab w:leader="none" w:pos="7280" w:val="left"/>
        </w:tabs>
        <w:rPr>
          <w:sz w:val="20"/>
          <w:szCs w:val="20"/>
          <w:color w:val="auto"/>
        </w:rPr>
      </w:pPr>
      <w:r>
        <w:rPr>
          <w:rFonts w:ascii="Courier New" w:cs="Courier New" w:eastAsia="Courier New" w:hAnsi="Courier New"/>
          <w:sz w:val="14"/>
          <w:szCs w:val="14"/>
          <w:color w:val="auto"/>
        </w:rPr>
        <w:t>NAM</w:t>
      </w:r>
      <w:r>
        <w:rPr>
          <w:sz w:val="20"/>
          <w:szCs w:val="20"/>
          <w:color w:val="auto"/>
        </w:rPr>
        <w:tab/>
      </w:r>
      <w:r>
        <w:rPr>
          <w:rFonts w:ascii="Courier New" w:cs="Courier New" w:eastAsia="Courier New" w:hAnsi="Courier New"/>
          <w:sz w:val="14"/>
          <w:szCs w:val="14"/>
          <w:color w:val="auto"/>
        </w:rPr>
        <w:t>LAM</w:t>
      </w:r>
      <w:r>
        <w:rPr>
          <w:sz w:val="20"/>
          <w:szCs w:val="20"/>
          <w:color w:val="auto"/>
        </w:rPr>
        <w:tab/>
      </w:r>
      <w:r>
        <w:rPr>
          <w:rFonts w:ascii="Courier New" w:cs="Courier New" w:eastAsia="Courier New" w:hAnsi="Courier New"/>
          <w:sz w:val="14"/>
          <w:szCs w:val="14"/>
          <w:color w:val="auto"/>
        </w:rPr>
        <w:t>CIS / W. Afr.</w:t>
      </w:r>
      <w:r>
        <w:rPr>
          <w:sz w:val="20"/>
          <w:szCs w:val="20"/>
          <w:color w:val="auto"/>
        </w:rPr>
        <w:tab/>
      </w:r>
      <w:r>
        <w:rPr>
          <w:rFonts w:ascii="Courier New" w:cs="Courier New" w:eastAsia="Courier New" w:hAnsi="Courier New"/>
          <w:sz w:val="14"/>
          <w:szCs w:val="14"/>
          <w:color w:val="auto"/>
        </w:rPr>
        <w:t>Eastern</w:t>
      </w:r>
      <w:r>
        <w:rPr>
          <w:sz w:val="20"/>
          <w:szCs w:val="20"/>
          <w:color w:val="auto"/>
        </w:rPr>
        <w:tab/>
      </w:r>
      <w:r>
        <w:rPr>
          <w:rFonts w:ascii="Courier New" w:cs="Courier New" w:eastAsia="Courier New" w:hAnsi="Courier New"/>
          <w:sz w:val="14"/>
          <w:szCs w:val="14"/>
          <w:color w:val="auto"/>
        </w:rPr>
        <w:t>Camco</w:t>
      </w:r>
      <w:r>
        <w:rPr>
          <w:sz w:val="20"/>
          <w:szCs w:val="20"/>
          <w:color w:val="auto"/>
        </w:rPr>
        <w:tab/>
      </w:r>
      <w:r>
        <w:rPr>
          <w:rFonts w:ascii="Courier New" w:cs="Courier New" w:eastAsia="Courier New" w:hAnsi="Courier New"/>
          <w:sz w:val="14"/>
          <w:szCs w:val="14"/>
          <w:color w:val="auto"/>
        </w:rPr>
        <w:t>Other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ectPr>
          <w:pgSz w:w="11900" w:h="16838" w:orient="portrait"/>
          <w:cols w:equalWidth="0" w:num="2">
            <w:col w:w="2500" w:space="720"/>
            <w:col w:w="8140"/>
          </w:cols>
          <w:pgMar w:left="300" w:top="609" w:right="239" w:bottom="1440" w:gutter="0" w:footer="0" w:header="0"/>
          <w:type w:val="continuous"/>
        </w:sectPr>
      </w:pPr>
    </w:p>
    <w:p>
      <w:pPr>
        <w:spacing w:after="0"/>
        <w:tabs>
          <w:tab w:leader="none" w:pos="4060" w:val="left"/>
          <w:tab w:leader="none" w:pos="4320" w:val="left"/>
          <w:tab w:leader="none" w:pos="5320" w:val="left"/>
          <w:tab w:leader="none" w:pos="5760" w:val="left"/>
          <w:tab w:leader="none" w:pos="6600" w:val="left"/>
          <w:tab w:leader="none" w:pos="6860" w:val="left"/>
          <w:tab w:leader="none" w:pos="7880" w:val="left"/>
          <w:tab w:leader="none" w:pos="8120" w:val="left"/>
          <w:tab w:leader="none" w:pos="9140" w:val="left"/>
          <w:tab w:leader="none" w:pos="9560" w:val="left"/>
          <w:tab w:leader="none" w:pos="10420" w:val="left"/>
          <w:tab w:leader="none" w:pos="10920" w:val="left"/>
        </w:tabs>
        <w:rPr>
          <w:sz w:val="20"/>
          <w:szCs w:val="20"/>
          <w:color w:val="auto"/>
        </w:rPr>
      </w:pPr>
      <w:r>
        <w:rPr>
          <w:rFonts w:ascii="Courier New" w:cs="Courier New" w:eastAsia="Courier New" w:hAnsi="Courier New"/>
          <w:sz w:val="14"/>
          <w:szCs w:val="14"/>
          <w:color w:val="auto"/>
        </w:rPr>
        <w:t>Revenue ..................................</w:t>
      </w:r>
      <w:r>
        <w:rPr>
          <w:sz w:val="20"/>
          <w:szCs w:val="20"/>
          <w:color w:val="auto"/>
        </w:rPr>
        <w:tab/>
      </w:r>
      <w:r>
        <w:rPr>
          <w:rFonts w:ascii="Courier New" w:cs="Courier New" w:eastAsia="Courier New" w:hAnsi="Courier New"/>
          <w:sz w:val="14"/>
          <w:szCs w:val="14"/>
          <w:color w:val="auto"/>
        </w:rPr>
        <w:t>$</w:t>
        <w:tab/>
        <w:t>1,470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850</w:t>
      </w:r>
      <w:r>
        <w:rPr>
          <w:sz w:val="20"/>
          <w:szCs w:val="20"/>
          <w:color w:val="auto"/>
        </w:rPr>
        <w:tab/>
      </w:r>
      <w:r>
        <w:rPr>
          <w:rFonts w:ascii="Courier New" w:cs="Courier New" w:eastAsia="Courier New" w:hAnsi="Courier New"/>
          <w:sz w:val="14"/>
          <w:szCs w:val="14"/>
          <w:color w:val="auto"/>
        </w:rPr>
        <w:t>$</w:t>
        <w:tab/>
        <w:t>1,360</w:t>
      </w:r>
      <w:r>
        <w:rPr>
          <w:sz w:val="20"/>
          <w:szCs w:val="20"/>
          <w:color w:val="auto"/>
        </w:rPr>
        <w:tab/>
      </w:r>
      <w:r>
        <w:rPr>
          <w:rFonts w:ascii="Courier New" w:cs="Courier New" w:eastAsia="Courier New" w:hAnsi="Courier New"/>
          <w:sz w:val="14"/>
          <w:szCs w:val="14"/>
          <w:color w:val="auto"/>
        </w:rPr>
        <w:t>$</w:t>
        <w:tab/>
        <w:t>1,394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749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46</w:t>
      </w:r>
    </w:p>
    <w:p>
      <w:pPr>
        <w:sectPr>
          <w:pgSz w:w="11900" w:h="16838" w:orient="portrait"/>
          <w:cols w:equalWidth="0" w:num="1">
            <w:col w:w="11360"/>
          </w:cols>
          <w:pgMar w:left="300" w:top="609" w:right="239" w:bottom="1440" w:gutter="0" w:footer="0" w:header="0"/>
          <w:type w:val="continuous"/>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20" w:type="dxa"/>
            <w:vAlign w:val="bottom"/>
            <w:gridSpan w:val="1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820" w:type="dxa"/>
            <w:vAlign w:val="bottom"/>
            <w:gridSpan w:val="2"/>
          </w:tcPr>
          <w:p>
            <w:pPr>
              <w:spacing w:after="0"/>
              <w:rPr>
                <w:sz w:val="20"/>
                <w:szCs w:val="20"/>
                <w:color w:val="auto"/>
              </w:rPr>
            </w:pPr>
            <w:r>
              <w:rPr>
                <w:rFonts w:ascii="Courier New" w:cs="Courier New" w:eastAsia="Courier New" w:hAnsi="Courier New"/>
                <w:sz w:val="14"/>
                <w:szCs w:val="14"/>
                <w:color w:val="auto"/>
              </w:rPr>
              <w:t>Segment Income ...........................</w:t>
            </w:r>
          </w:p>
        </w:tc>
        <w:tc>
          <w:tcPr>
            <w:tcW w:w="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68</w:t>
            </w:r>
          </w:p>
        </w:tc>
        <w:tc>
          <w:tcPr>
            <w:tcW w:w="5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w:t>
            </w:r>
          </w:p>
        </w:tc>
        <w:tc>
          <w:tcPr>
            <w:tcW w:w="6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67</w:t>
            </w:r>
          </w:p>
        </w:tc>
        <w:tc>
          <w:tcPr>
            <w:tcW w:w="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215</w:t>
            </w:r>
          </w:p>
        </w:tc>
        <w:tc>
          <w:tcPr>
            <w:tcW w:w="5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74</w:t>
            </w:r>
          </w:p>
        </w:tc>
        <w:tc>
          <w:tcPr>
            <w:tcW w:w="5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(27)</w:t>
            </w:r>
          </w:p>
        </w:tc>
      </w:tr>
      <w:tr>
        <w:trPr>
          <w:trHeight w:val="163"/>
        </w:trPr>
        <w:tc>
          <w:tcPr>
            <w:tcW w:w="3820" w:type="dxa"/>
            <w:vAlign w:val="bottom"/>
            <w:gridSpan w:val="2"/>
          </w:tcPr>
          <w:p>
            <w:pPr>
              <w:spacing w:after="0"/>
              <w:rPr>
                <w:sz w:val="20"/>
                <w:szCs w:val="20"/>
                <w:color w:val="auto"/>
              </w:rPr>
            </w:pPr>
            <w:r>
              <w:rPr>
                <w:rFonts w:ascii="Courier New" w:cs="Courier New" w:eastAsia="Courier New" w:hAnsi="Courier New"/>
                <w:sz w:val="14"/>
                <w:szCs w:val="14"/>
                <w:color w:val="auto"/>
              </w:rPr>
              <w:t>Income Tax Expense (1) ...................</w:t>
            </w:r>
          </w:p>
        </w:tc>
        <w:tc>
          <w:tcPr>
            <w:tcW w:w="520" w:type="dxa"/>
            <w:vAlign w:val="bottom"/>
          </w:tcPr>
          <w:p>
            <w:pPr>
              <w:spacing w:after="0"/>
              <w:rPr>
                <w:sz w:val="14"/>
                <w:szCs w:val="14"/>
                <w:color w:val="auto"/>
              </w:rPr>
            </w:pPr>
          </w:p>
        </w:tc>
        <w:tc>
          <w:tcPr>
            <w:tcW w:w="7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35</w:t>
            </w:r>
          </w:p>
        </w:tc>
        <w:tc>
          <w:tcPr>
            <w:tcW w:w="580" w:type="dxa"/>
            <w:vAlign w:val="bottom"/>
          </w:tcPr>
          <w:p>
            <w:pPr>
              <w:spacing w:after="0"/>
              <w:rPr>
                <w:sz w:val="14"/>
                <w:szCs w:val="14"/>
                <w:color w:val="auto"/>
              </w:rPr>
            </w:pPr>
          </w:p>
        </w:tc>
        <w:tc>
          <w:tcPr>
            <w:tcW w:w="6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22</w:t>
            </w:r>
          </w:p>
        </w:tc>
        <w:tc>
          <w:tcPr>
            <w:tcW w:w="600" w:type="dxa"/>
            <w:vAlign w:val="bottom"/>
          </w:tcPr>
          <w:p>
            <w:pPr>
              <w:spacing w:after="0"/>
              <w:rPr>
                <w:sz w:val="14"/>
                <w:szCs w:val="14"/>
                <w:color w:val="auto"/>
              </w:rPr>
            </w:pPr>
          </w:p>
        </w:tc>
        <w:tc>
          <w:tcPr>
            <w:tcW w:w="6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32</w:t>
            </w:r>
          </w:p>
        </w:tc>
        <w:tc>
          <w:tcPr>
            <w:tcW w:w="540" w:type="dxa"/>
            <w:vAlign w:val="bottom"/>
          </w:tcPr>
          <w:p>
            <w:pPr>
              <w:spacing w:after="0"/>
              <w:rPr>
                <w:sz w:val="14"/>
                <w:szCs w:val="14"/>
                <w:color w:val="auto"/>
              </w:rPr>
            </w:pPr>
          </w:p>
        </w:tc>
        <w:tc>
          <w:tcPr>
            <w:tcW w:w="7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45</w:t>
            </w:r>
          </w:p>
        </w:tc>
        <w:tc>
          <w:tcPr>
            <w:tcW w:w="560" w:type="dxa"/>
            <w:vAlign w:val="bottom"/>
          </w:tcPr>
          <w:p>
            <w:pPr>
              <w:spacing w:after="0"/>
              <w:rPr>
                <w:sz w:val="14"/>
                <w:szCs w:val="14"/>
                <w:color w:val="auto"/>
              </w:rPr>
            </w:pPr>
          </w:p>
        </w:tc>
        <w:tc>
          <w:tcPr>
            <w:tcW w:w="7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38</w:t>
            </w:r>
          </w:p>
        </w:tc>
        <w:tc>
          <w:tcPr>
            <w:tcW w:w="560" w:type="dxa"/>
            <w:vAlign w:val="bottom"/>
          </w:tcPr>
          <w:p>
            <w:pPr>
              <w:spacing w:after="0"/>
              <w:rPr>
                <w:sz w:val="14"/>
                <w:szCs w:val="14"/>
                <w:color w:val="auto"/>
              </w:rPr>
            </w:pPr>
          </w:p>
        </w:tc>
        <w:tc>
          <w:tcPr>
            <w:tcW w:w="6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w:t>
            </w:r>
          </w:p>
        </w:tc>
      </w:tr>
      <w:tr>
        <w:trPr>
          <w:trHeight w:val="163"/>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20" w:type="dxa"/>
            <w:vAlign w:val="bottom"/>
            <w:gridSpan w:val="1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820" w:type="dxa"/>
            <w:vAlign w:val="bottom"/>
            <w:gridSpan w:val="2"/>
          </w:tcPr>
          <w:p>
            <w:pPr>
              <w:spacing w:after="0"/>
              <w:rPr>
                <w:sz w:val="20"/>
                <w:szCs w:val="20"/>
                <w:color w:val="auto"/>
              </w:rPr>
            </w:pPr>
            <w:r>
              <w:rPr>
                <w:rFonts w:ascii="Courier New" w:cs="Courier New" w:eastAsia="Courier New" w:hAnsi="Courier New"/>
                <w:sz w:val="14"/>
                <w:szCs w:val="14"/>
                <w:color w:val="auto"/>
              </w:rPr>
              <w:t>Pretax Segment Income ....................</w:t>
            </w:r>
          </w:p>
        </w:tc>
        <w:tc>
          <w:tcPr>
            <w:tcW w:w="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103</w:t>
            </w:r>
          </w:p>
        </w:tc>
        <w:tc>
          <w:tcPr>
            <w:tcW w:w="5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27</w:t>
            </w:r>
          </w:p>
        </w:tc>
        <w:tc>
          <w:tcPr>
            <w:tcW w:w="6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99</w:t>
            </w:r>
          </w:p>
        </w:tc>
        <w:tc>
          <w:tcPr>
            <w:tcW w:w="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260</w:t>
            </w:r>
          </w:p>
        </w:tc>
        <w:tc>
          <w:tcPr>
            <w:tcW w:w="5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112</w:t>
            </w:r>
          </w:p>
        </w:tc>
        <w:tc>
          <w:tcPr>
            <w:tcW w:w="5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(25)</w:t>
            </w:r>
          </w:p>
        </w:tc>
      </w:tr>
    </w:tbl>
    <w:p>
      <w:pPr>
        <w:spacing w:after="0" w:line="3" w:lineRule="exact"/>
        <w:rPr>
          <w:sz w:val="20"/>
          <w:szCs w:val="20"/>
          <w:color w:val="auto"/>
        </w:rPr>
      </w:pPr>
    </w:p>
    <w:p>
      <w:pPr>
        <w:ind w:left="180" w:hanging="173"/>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Income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420" w:type="dxa"/>
            <w:vAlign w:val="bottom"/>
          </w:tcPr>
          <w:p>
            <w:pPr>
              <w:spacing w:after="0"/>
              <w:rPr>
                <w:sz w:val="20"/>
                <w:szCs w:val="20"/>
                <w:color w:val="auto"/>
              </w:rPr>
            </w:pPr>
            <w:r>
              <w:rPr>
                <w:rFonts w:ascii="Courier New" w:cs="Courier New" w:eastAsia="Courier New" w:hAnsi="Courier New"/>
                <w:sz w:val="14"/>
                <w:szCs w:val="14"/>
                <w:color w:val="auto"/>
              </w:rPr>
              <w:t>Interest Expense .........................</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w:t>
            </w:r>
          </w:p>
        </w:tc>
        <w:tc>
          <w:tcPr>
            <w:tcW w:w="5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3"/>
        </w:trPr>
        <w:tc>
          <w:tcPr>
            <w:tcW w:w="4420" w:type="dxa"/>
            <w:vAlign w:val="bottom"/>
          </w:tcPr>
          <w:p>
            <w:pPr>
              <w:spacing w:after="0"/>
              <w:rPr>
                <w:sz w:val="20"/>
                <w:szCs w:val="20"/>
                <w:color w:val="auto"/>
              </w:rPr>
            </w:pPr>
            <w:r>
              <w:rPr>
                <w:rFonts w:ascii="Courier New" w:cs="Courier New" w:eastAsia="Courier New" w:hAnsi="Courier New"/>
                <w:sz w:val="14"/>
                <w:szCs w:val="14"/>
                <w:color w:val="auto"/>
              </w:rPr>
              <w:t>First &amp; Fourth Quarter Charges ...........</w:t>
            </w: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r>
    </w:tbl>
    <w:p>
      <w:pPr>
        <w:spacing w:after="0" w:line="3" w:lineRule="exact"/>
        <w:rPr>
          <w:sz w:val="20"/>
          <w:szCs w:val="20"/>
          <w:color w:val="auto"/>
        </w:rPr>
      </w:pPr>
    </w:p>
    <w:p>
      <w:pPr>
        <w:ind w:left="180" w:hanging="173"/>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Pretax Income ............................</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820" w:type="dxa"/>
            <w:vAlign w:val="bottom"/>
          </w:tcPr>
          <w:p>
            <w:pPr>
              <w:spacing w:after="0"/>
              <w:rPr>
                <w:sz w:val="20"/>
                <w:szCs w:val="20"/>
                <w:color w:val="auto"/>
              </w:rPr>
            </w:pPr>
            <w:r>
              <w:rPr>
                <w:rFonts w:ascii="Courier New" w:cs="Courier New" w:eastAsia="Courier New" w:hAnsi="Courier New"/>
                <w:sz w:val="14"/>
                <w:szCs w:val="14"/>
                <w:color w:val="auto"/>
              </w:rPr>
              <w:t>Segment Assets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1,354</w:t>
            </w:r>
          </w:p>
        </w:tc>
        <w:tc>
          <w:tcPr>
            <w:tcW w:w="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884</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1,348</w:t>
            </w:r>
          </w:p>
        </w:tc>
        <w:tc>
          <w:tcPr>
            <w:tcW w:w="12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  1,217</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1,168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1,434</w:t>
            </w: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Corporate Assets .........................</w:t>
            </w: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3" w:lineRule="exact"/>
        <w:rPr>
          <w:sz w:val="20"/>
          <w:szCs w:val="20"/>
          <w:color w:val="auto"/>
        </w:rPr>
      </w:pPr>
    </w:p>
    <w:p>
      <w:pPr>
        <w:ind w:left="180" w:hanging="173"/>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 .............................</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tabs>
          <w:tab w:leader="none" w:pos="4060" w:val="left"/>
          <w:tab w:leader="none" w:pos="4480" w:val="left"/>
          <w:tab w:leader="none" w:pos="5320" w:val="left"/>
          <w:tab w:leader="none" w:pos="5760" w:val="left"/>
          <w:tab w:leader="none" w:pos="6600" w:val="left"/>
          <w:tab w:leader="none" w:pos="7020" w:val="left"/>
          <w:tab w:leader="none" w:pos="7880" w:val="left"/>
          <w:tab w:leader="none" w:pos="8300" w:val="left"/>
          <w:tab w:leader="none" w:pos="9140" w:val="left"/>
          <w:tab w:leader="none" w:pos="9660" w:val="left"/>
          <w:tab w:leader="none" w:pos="10420" w:val="left"/>
          <w:tab w:leader="none" w:pos="10920" w:val="left"/>
        </w:tabs>
        <w:rPr>
          <w:sz w:val="20"/>
          <w:szCs w:val="20"/>
          <w:color w:val="auto"/>
        </w:rPr>
      </w:pPr>
      <w:r>
        <w:rPr>
          <w:rFonts w:ascii="Courier New" w:cs="Courier New" w:eastAsia="Courier New" w:hAnsi="Courier New"/>
          <w:sz w:val="14"/>
          <w:szCs w:val="14"/>
          <w:color w:val="auto"/>
        </w:rPr>
        <w:t>Depreciation /Amortization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193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134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216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217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4060" w:val="left"/>
          <w:tab w:leader="none" w:pos="4480" w:val="left"/>
          <w:tab w:leader="none" w:pos="5320" w:val="left"/>
          <w:tab w:leader="none" w:pos="5760" w:val="left"/>
          <w:tab w:leader="none" w:pos="6600" w:val="left"/>
          <w:tab w:leader="none" w:pos="7020" w:val="left"/>
          <w:tab w:leader="none" w:pos="7880" w:val="left"/>
          <w:tab w:leader="none" w:pos="8300" w:val="left"/>
          <w:tab w:leader="none" w:pos="9140" w:val="left"/>
          <w:tab w:leader="none" w:pos="9560" w:val="left"/>
          <w:tab w:leader="none" w:pos="10420" w:val="left"/>
          <w:tab w:leader="none" w:pos="10920" w:val="left"/>
        </w:tabs>
        <w:rPr>
          <w:sz w:val="20"/>
          <w:szCs w:val="20"/>
          <w:color w:val="auto"/>
        </w:rPr>
      </w:pPr>
      <w:r>
        <w:rPr>
          <w:rFonts w:ascii="Courier New" w:cs="Courier New" w:eastAsia="Courier New" w:hAnsi="Courier New"/>
          <w:sz w:val="14"/>
          <w:szCs w:val="14"/>
          <w:color w:val="auto"/>
        </w:rPr>
        <w:t>Capital Expenditures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160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118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121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133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ind w:left="4840"/>
        <w:spacing w:after="0"/>
        <w:tabs>
          <w:tab w:leader="none" w:pos="924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Elims/</w:t>
      </w:r>
    </w:p>
    <w:p>
      <w:pPr>
        <w:spacing w:after="0" w:line="4" w:lineRule="exact"/>
        <w:rPr>
          <w:sz w:val="20"/>
          <w:szCs w:val="20"/>
          <w:color w:val="auto"/>
        </w:rPr>
      </w:pPr>
    </w:p>
    <w:p>
      <w:pPr>
        <w:ind w:left="4920"/>
        <w:spacing w:after="0"/>
        <w:tabs>
          <w:tab w:leader="none" w:pos="6340" w:val="left"/>
          <w:tab w:leader="none" w:pos="7620" w:val="left"/>
          <w:tab w:leader="none" w:pos="9240" w:val="left"/>
          <w:tab w:leader="none" w:pos="10080" w:val="left"/>
        </w:tabs>
        <w:rPr>
          <w:sz w:val="20"/>
          <w:szCs w:val="20"/>
          <w:color w:val="auto"/>
        </w:rPr>
      </w:pPr>
      <w:r>
        <w:rPr>
          <w:rFonts w:ascii="Courier New" w:cs="Courier New" w:eastAsia="Courier New" w:hAnsi="Courier New"/>
          <w:sz w:val="14"/>
          <w:szCs w:val="14"/>
          <w:color w:val="auto"/>
        </w:rPr>
        <w:t>OFS</w:t>
      </w:r>
      <w:r>
        <w:rPr>
          <w:sz w:val="20"/>
          <w:szCs w:val="20"/>
          <w:color w:val="auto"/>
        </w:rPr>
        <w:tab/>
      </w:r>
      <w:r>
        <w:rPr>
          <w:rFonts w:ascii="Courier New" w:cs="Courier New" w:eastAsia="Courier New" w:hAnsi="Courier New"/>
          <w:sz w:val="14"/>
          <w:szCs w:val="14"/>
          <w:color w:val="auto"/>
        </w:rPr>
        <w:t>RMS</w:t>
      </w:r>
      <w:r>
        <w:rPr>
          <w:sz w:val="20"/>
          <w:szCs w:val="20"/>
          <w:color w:val="auto"/>
        </w:rPr>
        <w:tab/>
      </w:r>
      <w:r>
        <w:rPr>
          <w:rFonts w:ascii="Courier New" w:cs="Courier New" w:eastAsia="Courier New" w:hAnsi="Courier New"/>
          <w:sz w:val="14"/>
          <w:szCs w:val="14"/>
          <w:color w:val="auto"/>
        </w:rPr>
        <w:t>T&amp;T</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Consolidated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240" w:type="dxa"/>
            <w:vAlign w:val="bottom"/>
          </w:tcPr>
          <w:p>
            <w:pPr>
              <w:spacing w:after="0"/>
              <w:rPr>
                <w:sz w:val="20"/>
                <w:szCs w:val="20"/>
                <w:color w:val="auto"/>
              </w:rPr>
            </w:pPr>
            <w:r>
              <w:rPr>
                <w:rFonts w:ascii="Courier New" w:cs="Courier New" w:eastAsia="Courier New" w:hAnsi="Courier New"/>
                <w:sz w:val="14"/>
                <w:szCs w:val="14"/>
                <w:color w:val="auto"/>
              </w:rPr>
              <w:t>Revenue .....................................</w:t>
            </w:r>
          </w:p>
        </w:tc>
        <w:tc>
          <w:tcPr>
            <w:tcW w:w="14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$ 5,869</w:t>
            </w:r>
          </w:p>
        </w:tc>
        <w:tc>
          <w:tcPr>
            <w:tcW w:w="14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$ 1,375</w:t>
            </w:r>
          </w:p>
        </w:tc>
        <w:tc>
          <w:tcPr>
            <w:tcW w:w="14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$ 1,183</w:t>
            </w:r>
          </w:p>
        </w:tc>
        <w:tc>
          <w:tcPr>
            <w:tcW w:w="15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(32)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$ 8,395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240" w:type="dxa"/>
            <w:vAlign w:val="bottom"/>
          </w:tcPr>
          <w:p>
            <w:pPr>
              <w:spacing w:after="0"/>
              <w:rPr>
                <w:sz w:val="20"/>
                <w:szCs w:val="20"/>
                <w:color w:val="auto"/>
              </w:rPr>
            </w:pPr>
            <w:r>
              <w:rPr>
                <w:rFonts w:ascii="Courier New" w:cs="Courier New" w:eastAsia="Courier New" w:hAnsi="Courier New"/>
                <w:sz w:val="14"/>
                <w:szCs w:val="14"/>
                <w:color w:val="auto"/>
              </w:rPr>
              <w:t>Segment Income ..............................</w:t>
            </w:r>
          </w:p>
        </w:tc>
        <w:tc>
          <w:tcPr>
            <w:tcW w:w="14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402</w:t>
            </w: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6</w:t>
            </w:r>
          </w:p>
        </w:tc>
        <w:tc>
          <w:tcPr>
            <w:tcW w:w="6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30</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(25)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413</w:t>
            </w:r>
          </w:p>
        </w:tc>
      </w:tr>
      <w:tr>
        <w:trPr>
          <w:trHeight w:val="163"/>
        </w:trPr>
        <w:tc>
          <w:tcPr>
            <w:tcW w:w="4240" w:type="dxa"/>
            <w:vAlign w:val="bottom"/>
          </w:tcPr>
          <w:p>
            <w:pPr>
              <w:spacing w:after="0"/>
              <w:rPr>
                <w:sz w:val="20"/>
                <w:szCs w:val="20"/>
                <w:color w:val="auto"/>
              </w:rPr>
            </w:pPr>
            <w:r>
              <w:rPr>
                <w:rFonts w:ascii="Courier New" w:cs="Courier New" w:eastAsia="Courier New" w:hAnsi="Courier New"/>
                <w:sz w:val="14"/>
                <w:szCs w:val="14"/>
                <w:color w:val="auto"/>
              </w:rPr>
              <w:t>Income Tax Expense (1) ......................</w:t>
            </w:r>
          </w:p>
        </w:tc>
        <w:tc>
          <w:tcPr>
            <w:tcW w:w="14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174</w:t>
            </w:r>
          </w:p>
        </w:tc>
        <w:tc>
          <w:tcPr>
            <w:tcW w:w="720" w:type="dxa"/>
            <w:vAlign w:val="bottom"/>
          </w:tcPr>
          <w:p>
            <w:pPr>
              <w:spacing w:after="0"/>
              <w:rPr>
                <w:sz w:val="14"/>
                <w:szCs w:val="14"/>
                <w:color w:val="auto"/>
              </w:rPr>
            </w:pPr>
          </w:p>
        </w:tc>
        <w:tc>
          <w:tcPr>
            <w:tcW w:w="7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9</w:t>
            </w:r>
          </w:p>
        </w:tc>
        <w:tc>
          <w:tcPr>
            <w:tcW w:w="66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(3)</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133</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4660" w:val="left"/>
          <w:tab w:leader="none" w:pos="5000" w:val="left"/>
          <w:tab w:leader="none" w:pos="6100" w:val="left"/>
          <w:tab w:leader="none" w:pos="6520" w:val="left"/>
          <w:tab w:leader="none" w:pos="7540" w:val="left"/>
          <w:tab w:leader="none" w:pos="7960" w:val="left"/>
          <w:tab w:leader="none" w:pos="9060" w:val="left"/>
          <w:tab w:leader="none" w:pos="9400" w:val="left"/>
          <w:tab w:leader="none" w:pos="10580" w:val="left"/>
          <w:tab w:leader="none" w:pos="10920" w:val="left"/>
        </w:tabs>
        <w:rPr>
          <w:sz w:val="20"/>
          <w:szCs w:val="20"/>
          <w:color w:val="auto"/>
        </w:rPr>
      </w:pPr>
      <w:r>
        <w:rPr>
          <w:rFonts w:ascii="Courier New" w:cs="Courier New" w:eastAsia="Courier New" w:hAnsi="Courier New"/>
          <w:sz w:val="14"/>
          <w:szCs w:val="14"/>
          <w:color w:val="auto"/>
        </w:rPr>
        <w:t>Pretax Segment Income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576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w:t>
        <w:tab/>
        <w:t>546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340" w:type="dxa"/>
            <w:vAlign w:val="bottom"/>
          </w:tcPr>
          <w:p>
            <w:pPr>
              <w:spacing w:after="0"/>
              <w:rPr>
                <w:sz w:val="20"/>
                <w:szCs w:val="20"/>
                <w:color w:val="auto"/>
              </w:rPr>
            </w:pPr>
            <w:r>
              <w:rPr>
                <w:rFonts w:ascii="Courier New" w:cs="Courier New" w:eastAsia="Courier New" w:hAnsi="Courier New"/>
                <w:sz w:val="14"/>
                <w:szCs w:val="14"/>
                <w:color w:val="auto"/>
              </w:rPr>
              <w:t>Interest Income ..............</w:t>
            </w:r>
          </w:p>
        </w:tc>
        <w:tc>
          <w:tcPr>
            <w:tcW w:w="2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7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228</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Interest Expense .............</w:t>
            </w:r>
          </w:p>
        </w:tc>
        <w:tc>
          <w:tcPr>
            <w:tcW w:w="27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  (1)</w:t>
            </w:r>
          </w:p>
        </w:tc>
        <w:tc>
          <w:tcPr>
            <w:tcW w:w="7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1189"/>
              <w:spacing w:after="0"/>
              <w:rPr>
                <w:sz w:val="20"/>
                <w:szCs w:val="20"/>
                <w:color w:val="auto"/>
              </w:rPr>
            </w:pPr>
            <w:r>
              <w:rPr>
                <w:rFonts w:ascii="Courier New" w:cs="Courier New" w:eastAsia="Courier New" w:hAnsi="Courier New"/>
                <w:sz w:val="14"/>
                <w:szCs w:val="14"/>
                <w:color w:val="auto"/>
              </w:rPr>
              <w:t>(1)</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(184)</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First &amp; Fourth Quarter Charges</w:t>
            </w:r>
          </w:p>
        </w:tc>
        <w:tc>
          <w:tcPr>
            <w:tcW w:w="2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(720)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580" w:type="dxa"/>
            <w:vAlign w:val="bottom"/>
          </w:tcPr>
          <w:p>
            <w:pPr>
              <w:spacing w:after="0"/>
              <w:rPr>
                <w:sz w:val="20"/>
                <w:szCs w:val="20"/>
                <w:color w:val="auto"/>
              </w:rPr>
            </w:pPr>
            <w:r>
              <w:rPr>
                <w:rFonts w:ascii="Courier New" w:cs="Courier New" w:eastAsia="Courier New" w:hAnsi="Courier New"/>
                <w:sz w:val="14"/>
                <w:szCs w:val="14"/>
                <w:color w:val="auto"/>
              </w:rPr>
              <w:t>Pretax Income ................</w:t>
            </w:r>
          </w:p>
        </w:tc>
        <w:tc>
          <w:tcPr>
            <w:tcW w:w="4540" w:type="dxa"/>
            <w:vAlign w:val="bottom"/>
          </w:tcPr>
          <w:p>
            <w:pPr>
              <w:jc w:val="right"/>
              <w:spacing w:after="0"/>
              <w:rPr>
                <w:sz w:val="20"/>
                <w:szCs w:val="20"/>
                <w:color w:val="auto"/>
              </w:rPr>
            </w:pPr>
            <w:r>
              <w:rPr>
                <w:rFonts w:ascii="Courier New" w:cs="Courier New" w:eastAsia="Courier New" w:hAnsi="Courier New"/>
                <w:sz w:val="14"/>
                <w:szCs w:val="14"/>
                <w:color w:val="auto"/>
              </w:rPr>
              <w:t>$  470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560" w:type="dxa"/>
            <w:vAlign w:val="bottom"/>
          </w:tcPr>
          <w:p>
            <w:pPr>
              <w:spacing w:after="0"/>
              <w:rPr>
                <w:sz w:val="20"/>
                <w:szCs w:val="20"/>
                <w:color w:val="auto"/>
              </w:rPr>
            </w:pPr>
            <w:r>
              <w:rPr>
                <w:rFonts w:ascii="Courier New" w:cs="Courier New" w:eastAsia="Courier New" w:hAnsi="Courier New"/>
                <w:sz w:val="14"/>
                <w:szCs w:val="14"/>
                <w:color w:val="auto"/>
              </w:rPr>
              <w:t>Segment Assets ...............</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7,405</w:t>
            </w:r>
          </w:p>
        </w:tc>
        <w:tc>
          <w:tcPr>
            <w:tcW w:w="5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1,006</w:t>
            </w:r>
          </w:p>
        </w:tc>
        <w:tc>
          <w:tcPr>
            <w:tcW w:w="6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989</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9,400</w:t>
            </w:r>
          </w:p>
        </w:tc>
      </w:tr>
      <w:tr>
        <w:trPr>
          <w:trHeight w:val="163"/>
        </w:trPr>
        <w:tc>
          <w:tcPr>
            <w:tcW w:w="3560" w:type="dxa"/>
            <w:vAlign w:val="bottom"/>
          </w:tcPr>
          <w:p>
            <w:pPr>
              <w:spacing w:after="0"/>
              <w:rPr>
                <w:sz w:val="20"/>
                <w:szCs w:val="20"/>
                <w:color w:val="auto"/>
              </w:rPr>
            </w:pPr>
            <w:r>
              <w:rPr>
                <w:rFonts w:ascii="Courier New" w:cs="Courier New" w:eastAsia="Courier New" w:hAnsi="Courier New"/>
                <w:sz w:val="14"/>
                <w:szCs w:val="14"/>
                <w:color w:val="auto"/>
              </w:rPr>
              <w:t>Corporate Assets .............</w:t>
            </w: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5.681</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540" w:type="dxa"/>
            <w:vAlign w:val="bottom"/>
          </w:tcPr>
          <w:p>
            <w:pPr>
              <w:spacing w:after="0"/>
              <w:rPr>
                <w:sz w:val="20"/>
                <w:szCs w:val="20"/>
                <w:color w:val="auto"/>
              </w:rPr>
            </w:pPr>
            <w:r>
              <w:rPr>
                <w:rFonts w:ascii="Courier New" w:cs="Courier New" w:eastAsia="Courier New" w:hAnsi="Courier New"/>
                <w:sz w:val="14"/>
                <w:szCs w:val="14"/>
                <w:color w:val="auto"/>
              </w:rPr>
              <w:t>Total Assets .................</w:t>
            </w:r>
          </w:p>
        </w:tc>
        <w:tc>
          <w:tcPr>
            <w:tcW w:w="4660" w:type="dxa"/>
            <w:vAlign w:val="bottom"/>
          </w:tcPr>
          <w:p>
            <w:pPr>
              <w:jc w:val="right"/>
              <w:spacing w:after="0"/>
              <w:rPr>
                <w:sz w:val="20"/>
                <w:szCs w:val="20"/>
                <w:color w:val="auto"/>
              </w:rPr>
            </w:pPr>
            <w:r>
              <w:rPr>
                <w:rFonts w:ascii="Courier New" w:cs="Courier New" w:eastAsia="Courier New" w:hAnsi="Courier New"/>
                <w:sz w:val="14"/>
                <w:szCs w:val="14"/>
                <w:color w:val="auto"/>
              </w:rPr>
              <w:t>$ 15,081</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line="248" w:lineRule="auto"/>
        <w:rPr>
          <w:sz w:val="20"/>
          <w:szCs w:val="20"/>
          <w:color w:val="auto"/>
        </w:rPr>
      </w:pPr>
      <w:r>
        <w:rPr>
          <w:rFonts w:ascii="Courier New" w:cs="Courier New" w:eastAsia="Courier New" w:hAnsi="Courier New"/>
          <w:sz w:val="14"/>
          <w:szCs w:val="14"/>
          <w:color w:val="auto"/>
        </w:rPr>
        <w:t>Depreciation /Amortization ... $ 871 $ 88 $ 48 $ 14 $ 1,021 - ------------------------------------------------------------------------------------------------------------------------------------ Capital Expenditures ......... $ 689 $ 49 $ 44 $ 10 $ 792 - ------------------------------------------------------------------------------------------------------------------------------------</w:t>
      </w:r>
    </w:p>
    <w:p>
      <w:pPr>
        <w:spacing w:after="0" w:line="200" w:lineRule="exact"/>
        <w:rPr>
          <w:sz w:val="20"/>
          <w:szCs w:val="20"/>
          <w:color w:val="auto"/>
        </w:rPr>
      </w:pPr>
    </w:p>
    <w:p>
      <w:pPr>
        <w:spacing w:after="0" w:line="287" w:lineRule="exact"/>
        <w:rPr>
          <w:sz w:val="20"/>
          <w:szCs w:val="20"/>
          <w:color w:val="auto"/>
        </w:rPr>
      </w:pPr>
    </w:p>
    <w:p>
      <w:pPr>
        <w:ind w:left="340" w:right="4560" w:hanging="333"/>
        <w:spacing w:after="0" w:line="248" w:lineRule="auto"/>
        <w:tabs>
          <w:tab w:leader="none" w:pos="3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1999 Income tax expense excludes a credit of $8 million related to the First &amp; Fourth Quarter Changes.</w:t>
      </w:r>
    </w:p>
    <w:p>
      <w:pPr>
        <w:spacing w:after="0" w:line="16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1360"/>
          </w:cols>
          <w:pgMar w:left="300" w:top="609" w:right="239" w:bottom="1440" w:gutter="0" w:footer="0" w:header="0"/>
          <w:type w:val="continuous"/>
        </w:sectPr>
      </w:pPr>
    </w:p>
    <w:bookmarkStart w:id="39" w:name="page40"/>
    <w:bookmarkEnd w:id="39"/>
    <w:p>
      <w:pPr>
        <w:spacing w:after="0" w:line="326"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1998</w:t>
      </w:r>
    </w:p>
    <w:p>
      <w:pPr>
        <w:spacing w:after="0" w:line="20" w:lineRule="exact"/>
        <w:rPr>
          <w:sz w:val="20"/>
          <w:szCs w:val="20"/>
          <w:color w:val="auto"/>
        </w:rPr>
      </w:pPr>
      <w:r>
        <w:rPr>
          <w:sz w:val="20"/>
          <w:szCs w:val="20"/>
          <w:color w:val="auto"/>
        </w:rPr>
        <w:br w:type="column"/>
      </w:r>
    </w:p>
    <w:p>
      <w:pPr>
        <w:ind w:left="5580"/>
        <w:spacing w:after="0"/>
        <w:rPr>
          <w:sz w:val="20"/>
          <w:szCs w:val="20"/>
          <w:color w:val="auto"/>
        </w:rPr>
      </w:pPr>
      <w:r>
        <w:rPr>
          <w:rFonts w:ascii="Courier New" w:cs="Courier New" w:eastAsia="Courier New" w:hAnsi="Courier New"/>
          <w:sz w:val="14"/>
          <w:szCs w:val="14"/>
          <w:color w:val="auto"/>
        </w:rPr>
        <w:t>(stated in millions)</w:t>
      </w:r>
    </w:p>
    <w:p>
      <w:pPr>
        <w:spacing w:after="0" w:line="4" w:lineRule="exact"/>
        <w:rPr>
          <w:sz w:val="20"/>
          <w:szCs w:val="20"/>
          <w:color w:val="auto"/>
        </w:rPr>
      </w:pPr>
    </w:p>
    <w:p>
      <w:pPr>
        <w:ind w:left="2540"/>
        <w:spacing w:after="0"/>
        <w:tabs>
          <w:tab w:leader="none" w:pos="4120" w:val="left"/>
          <w:tab w:leader="none" w:pos="7000" w:val="left"/>
        </w:tabs>
        <w:rPr>
          <w:sz w:val="20"/>
          <w:szCs w:val="20"/>
          <w:color w:val="auto"/>
        </w:rPr>
      </w:pPr>
      <w:r>
        <w:rPr>
          <w:rFonts w:ascii="Courier New" w:cs="Courier New" w:eastAsia="Courier New" w:hAnsi="Courier New"/>
          <w:sz w:val="14"/>
          <w:szCs w:val="14"/>
          <w:color w:val="auto"/>
        </w:rPr>
        <w:t>Europe</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Elims/</w:t>
      </w:r>
    </w:p>
    <w:p>
      <w:pPr>
        <w:spacing w:after="0" w:line="4" w:lineRule="exact"/>
        <w:rPr>
          <w:sz w:val="20"/>
          <w:szCs w:val="20"/>
          <w:color w:val="auto"/>
        </w:rPr>
      </w:pPr>
    </w:p>
    <w:p>
      <w:pPr>
        <w:ind w:left="240"/>
        <w:spacing w:after="0"/>
        <w:tabs>
          <w:tab w:leader="none" w:pos="1580" w:val="left"/>
          <w:tab w:leader="none" w:pos="2520" w:val="left"/>
          <w:tab w:leader="none" w:pos="4120" w:val="left"/>
          <w:tab w:leader="none" w:pos="5560" w:val="left"/>
          <w:tab w:leader="none" w:pos="7000" w:val="left"/>
        </w:tabs>
        <w:rPr>
          <w:sz w:val="20"/>
          <w:szCs w:val="20"/>
          <w:color w:val="auto"/>
        </w:rPr>
      </w:pPr>
      <w:r>
        <w:rPr>
          <w:rFonts w:ascii="Courier New" w:cs="Courier New" w:eastAsia="Courier New" w:hAnsi="Courier New"/>
          <w:sz w:val="14"/>
          <w:szCs w:val="14"/>
          <w:color w:val="auto"/>
        </w:rPr>
        <w:t>NAM</w:t>
      </w:r>
      <w:r>
        <w:rPr>
          <w:sz w:val="20"/>
          <w:szCs w:val="20"/>
          <w:color w:val="auto"/>
        </w:rPr>
        <w:tab/>
      </w:r>
      <w:r>
        <w:rPr>
          <w:rFonts w:ascii="Courier New" w:cs="Courier New" w:eastAsia="Courier New" w:hAnsi="Courier New"/>
          <w:sz w:val="14"/>
          <w:szCs w:val="14"/>
          <w:color w:val="auto"/>
        </w:rPr>
        <w:t>LAM</w:t>
      </w:r>
      <w:r>
        <w:rPr>
          <w:sz w:val="20"/>
          <w:szCs w:val="20"/>
          <w:color w:val="auto"/>
        </w:rPr>
        <w:tab/>
      </w:r>
      <w:r>
        <w:rPr>
          <w:rFonts w:ascii="Courier New" w:cs="Courier New" w:eastAsia="Courier New" w:hAnsi="Courier New"/>
          <w:sz w:val="14"/>
          <w:szCs w:val="14"/>
          <w:color w:val="auto"/>
        </w:rPr>
        <w:t>CIS / W. Afr.</w:t>
      </w:r>
      <w:r>
        <w:rPr>
          <w:sz w:val="20"/>
          <w:szCs w:val="20"/>
          <w:color w:val="auto"/>
        </w:rPr>
        <w:tab/>
      </w:r>
      <w:r>
        <w:rPr>
          <w:rFonts w:ascii="Courier New" w:cs="Courier New" w:eastAsia="Courier New" w:hAnsi="Courier New"/>
          <w:sz w:val="14"/>
          <w:szCs w:val="14"/>
          <w:color w:val="auto"/>
        </w:rPr>
        <w:t>Eastern</w:t>
      </w:r>
      <w:r>
        <w:rPr>
          <w:sz w:val="20"/>
          <w:szCs w:val="20"/>
          <w:color w:val="auto"/>
        </w:rPr>
        <w:tab/>
      </w:r>
      <w:r>
        <w:rPr>
          <w:rFonts w:ascii="Courier New" w:cs="Courier New" w:eastAsia="Courier New" w:hAnsi="Courier New"/>
          <w:sz w:val="14"/>
          <w:szCs w:val="14"/>
          <w:color w:val="auto"/>
        </w:rPr>
        <w:t>Camco</w:t>
      </w:r>
      <w:r>
        <w:rPr>
          <w:sz w:val="20"/>
          <w:szCs w:val="20"/>
          <w:color w:val="auto"/>
        </w:rPr>
        <w:tab/>
      </w:r>
      <w:r>
        <w:rPr>
          <w:rFonts w:ascii="Courier New" w:cs="Courier New" w:eastAsia="Courier New" w:hAnsi="Courier New"/>
          <w:sz w:val="14"/>
          <w:szCs w:val="14"/>
          <w:color w:val="auto"/>
        </w:rPr>
        <w:t>Other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ectPr>
          <w:pgSz w:w="11900" w:h="16838" w:orient="portrait"/>
          <w:cols w:equalWidth="0" w:num="2">
            <w:col w:w="2180" w:space="720"/>
            <w:col w:w="8040"/>
          </w:cols>
          <w:pgMar w:left="300" w:top="1261" w:right="659" w:bottom="0" w:gutter="0" w:footer="0" w:header="0"/>
        </w:sectPr>
      </w:pPr>
    </w:p>
    <w:p>
      <w:pPr>
        <w:spacing w:after="0"/>
        <w:tabs>
          <w:tab w:leader="none" w:pos="2780" w:val="left"/>
          <w:tab w:leader="none" w:pos="3040" w:val="left"/>
          <w:tab w:leader="none" w:pos="4140" w:val="left"/>
          <w:tab w:leader="none" w:pos="4400" w:val="left"/>
          <w:tab w:leader="none" w:pos="5580" w:val="left"/>
          <w:tab w:leader="none" w:pos="5840" w:val="left"/>
          <w:tab w:leader="none" w:pos="7020" w:val="left"/>
          <w:tab w:leader="none" w:pos="7280" w:val="left"/>
          <w:tab w:leader="none" w:pos="8380" w:val="left"/>
          <w:tab w:leader="none" w:pos="8800" w:val="left"/>
          <w:tab w:leader="none" w:pos="9740" w:val="left"/>
          <w:tab w:leader="none" w:pos="10240" w:val="left"/>
        </w:tabs>
        <w:rPr>
          <w:sz w:val="20"/>
          <w:szCs w:val="20"/>
          <w:color w:val="auto"/>
        </w:rPr>
      </w:pPr>
      <w:r>
        <w:rPr>
          <w:rFonts w:ascii="Courier New" w:cs="Courier New" w:eastAsia="Courier New" w:hAnsi="Courier New"/>
          <w:sz w:val="14"/>
          <w:szCs w:val="14"/>
          <w:color w:val="auto"/>
        </w:rPr>
        <w:t>Revenue ......................</w:t>
        <w:tab/>
        <w:t>$</w:t>
        <w:tab/>
        <w:t>2,035</w:t>
      </w:r>
      <w:r>
        <w:rPr>
          <w:sz w:val="20"/>
          <w:szCs w:val="20"/>
          <w:color w:val="auto"/>
        </w:rPr>
        <w:tab/>
      </w:r>
      <w:r>
        <w:rPr>
          <w:rFonts w:ascii="Courier New" w:cs="Courier New" w:eastAsia="Courier New" w:hAnsi="Courier New"/>
          <w:sz w:val="14"/>
          <w:szCs w:val="14"/>
          <w:color w:val="auto"/>
        </w:rPr>
        <w:t>$</w:t>
        <w:tab/>
        <w:t>1,113</w:t>
      </w:r>
      <w:r>
        <w:rPr>
          <w:sz w:val="20"/>
          <w:szCs w:val="20"/>
          <w:color w:val="auto"/>
        </w:rPr>
        <w:tab/>
      </w:r>
      <w:r>
        <w:rPr>
          <w:rFonts w:ascii="Courier New" w:cs="Courier New" w:eastAsia="Courier New" w:hAnsi="Courier New"/>
          <w:sz w:val="14"/>
          <w:szCs w:val="14"/>
          <w:color w:val="auto"/>
        </w:rPr>
        <w:t>$</w:t>
        <w:tab/>
        <w:t>1,907</w:t>
      </w:r>
      <w:r>
        <w:rPr>
          <w:sz w:val="20"/>
          <w:szCs w:val="20"/>
          <w:color w:val="auto"/>
        </w:rPr>
        <w:tab/>
      </w:r>
      <w:r>
        <w:rPr>
          <w:rFonts w:ascii="Courier New" w:cs="Courier New" w:eastAsia="Courier New" w:hAnsi="Courier New"/>
          <w:sz w:val="14"/>
          <w:szCs w:val="14"/>
          <w:color w:val="auto"/>
        </w:rPr>
        <w:t>$</w:t>
        <w:tab/>
        <w:t>1,826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896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19</w:t>
      </w:r>
    </w:p>
    <w:p>
      <w:pPr>
        <w:sectPr>
          <w:pgSz w:w="11900" w:h="16838" w:orient="portrait"/>
          <w:cols w:equalWidth="0" w:num="1">
            <w:col w:w="10940"/>
          </w:cols>
          <w:pgMar w:left="300" w:top="1261" w:right="659" w:bottom="0" w:gutter="0" w:footer="0" w:header="0"/>
          <w:type w:val="continuous"/>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560" w:type="dxa"/>
            <w:vAlign w:val="bottom"/>
            <w:gridSpan w:val="1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Segment Income ...............</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165</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115</w:t>
            </w:r>
          </w:p>
        </w:tc>
        <w:tc>
          <w:tcPr>
            <w:tcW w:w="6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211</w:t>
            </w:r>
          </w:p>
        </w:tc>
        <w:tc>
          <w:tcPr>
            <w:tcW w:w="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402</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116</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(55)</w:t>
            </w:r>
          </w:p>
        </w:tc>
      </w:tr>
      <w:tr>
        <w:trPr>
          <w:trHeight w:val="163"/>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Income Tax Expense (2) .......</w:t>
            </w:r>
          </w:p>
        </w:tc>
        <w:tc>
          <w:tcPr>
            <w:tcW w:w="38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93</w:t>
            </w:r>
          </w:p>
        </w:tc>
        <w:tc>
          <w:tcPr>
            <w:tcW w:w="600" w:type="dxa"/>
            <w:vAlign w:val="bottom"/>
          </w:tcPr>
          <w:p>
            <w:pPr>
              <w:spacing w:after="0"/>
              <w:rPr>
                <w:sz w:val="14"/>
                <w:szCs w:val="14"/>
                <w:color w:val="auto"/>
              </w:rPr>
            </w:pPr>
          </w:p>
        </w:tc>
        <w:tc>
          <w:tcPr>
            <w:tcW w:w="8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44</w:t>
            </w:r>
          </w:p>
        </w:tc>
        <w:tc>
          <w:tcPr>
            <w:tcW w:w="640" w:type="dxa"/>
            <w:vAlign w:val="bottom"/>
          </w:tcPr>
          <w:p>
            <w:pPr>
              <w:spacing w:after="0"/>
              <w:rPr>
                <w:sz w:val="14"/>
                <w:szCs w:val="14"/>
                <w:color w:val="auto"/>
              </w:rPr>
            </w:pPr>
          </w:p>
        </w:tc>
        <w:tc>
          <w:tcPr>
            <w:tcW w:w="8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58</w:t>
            </w:r>
          </w:p>
        </w:tc>
        <w:tc>
          <w:tcPr>
            <w:tcW w:w="64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92</w:t>
            </w:r>
          </w:p>
        </w:tc>
        <w:tc>
          <w:tcPr>
            <w:tcW w:w="60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62</w:t>
            </w:r>
          </w:p>
        </w:tc>
        <w:tc>
          <w:tcPr>
            <w:tcW w:w="600" w:type="dxa"/>
            <w:vAlign w:val="bottom"/>
          </w:tcPr>
          <w:p>
            <w:pPr>
              <w:spacing w:after="0"/>
              <w:rPr>
                <w:sz w:val="14"/>
                <w:szCs w:val="14"/>
                <w:color w:val="auto"/>
              </w:rPr>
            </w:pPr>
          </w:p>
        </w:tc>
        <w:tc>
          <w:tcPr>
            <w:tcW w:w="6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w:t>
            </w:r>
          </w:p>
        </w:tc>
      </w:tr>
      <w:tr>
        <w:trPr>
          <w:trHeight w:val="163"/>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560" w:type="dxa"/>
            <w:vAlign w:val="bottom"/>
            <w:gridSpan w:val="1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Pretax Segment Income ........</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258</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159</w:t>
            </w:r>
          </w:p>
        </w:tc>
        <w:tc>
          <w:tcPr>
            <w:tcW w:w="6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269</w:t>
            </w:r>
          </w:p>
        </w:tc>
        <w:tc>
          <w:tcPr>
            <w:tcW w:w="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494</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178</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(52)</w:t>
            </w:r>
          </w:p>
        </w:tc>
      </w:tr>
    </w:tbl>
    <w:p>
      <w:pPr>
        <w:spacing w:after="0" w:line="3" w:lineRule="exact"/>
        <w:rPr>
          <w:sz w:val="20"/>
          <w:szCs w:val="20"/>
          <w:color w:val="auto"/>
        </w:rPr>
      </w:pPr>
    </w:p>
    <w:p>
      <w:pPr>
        <w:ind w:left="180" w:hanging="173"/>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Income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Interest Expense .............</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3"/>
        </w:trPr>
        <w:tc>
          <w:tcPr>
            <w:tcW w:w="3320" w:type="dxa"/>
            <w:vAlign w:val="bottom"/>
          </w:tcPr>
          <w:p>
            <w:pPr>
              <w:spacing w:after="0"/>
              <w:rPr>
                <w:sz w:val="20"/>
                <w:szCs w:val="20"/>
                <w:color w:val="auto"/>
              </w:rPr>
            </w:pPr>
            <w:r>
              <w:rPr>
                <w:rFonts w:ascii="Courier New" w:cs="Courier New" w:eastAsia="Courier New" w:hAnsi="Courier New"/>
                <w:sz w:val="14"/>
                <w:szCs w:val="14"/>
                <w:color w:val="auto"/>
              </w:rPr>
              <w:t>Third Quarter Charge .........</w:t>
            </w: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r>
    </w:tbl>
    <w:p>
      <w:pPr>
        <w:spacing w:after="0" w:line="3" w:lineRule="exact"/>
        <w:rPr>
          <w:sz w:val="20"/>
          <w:szCs w:val="20"/>
          <w:color w:val="auto"/>
        </w:rPr>
      </w:pPr>
    </w:p>
    <w:p>
      <w:pPr>
        <w:ind w:left="180" w:hanging="173"/>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Pretax Income ................</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tabs>
          <w:tab w:leader="none" w:pos="2780" w:val="left"/>
          <w:tab w:leader="none" w:pos="3040" w:val="left"/>
          <w:tab w:leader="none" w:pos="4140" w:val="left"/>
          <w:tab w:leader="none" w:pos="4560" w:val="left"/>
          <w:tab w:leader="none" w:pos="5580" w:val="left"/>
          <w:tab w:leader="none" w:pos="5840" w:val="left"/>
          <w:tab w:leader="none" w:pos="7020" w:val="left"/>
          <w:tab w:leader="none" w:pos="7280" w:val="left"/>
          <w:tab w:leader="none" w:pos="8380" w:val="left"/>
          <w:tab w:leader="none" w:pos="8640" w:val="left"/>
          <w:tab w:leader="none" w:pos="9740" w:val="left"/>
          <w:tab w:leader="none" w:pos="10160" w:val="left"/>
        </w:tabs>
        <w:rPr>
          <w:sz w:val="20"/>
          <w:szCs w:val="20"/>
          <w:color w:val="auto"/>
        </w:rPr>
      </w:pPr>
      <w:r>
        <w:rPr>
          <w:rFonts w:ascii="Courier New" w:cs="Courier New" w:eastAsia="Courier New" w:hAnsi="Courier New"/>
          <w:sz w:val="14"/>
          <w:szCs w:val="14"/>
          <w:color w:val="auto"/>
        </w:rPr>
        <w:t>Segment Assets ...............</w:t>
        <w:tab/>
        <w:t>$</w:t>
        <w:tab/>
        <w:t>1,094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933</w:t>
      </w:r>
      <w:r>
        <w:rPr>
          <w:sz w:val="20"/>
          <w:szCs w:val="20"/>
          <w:color w:val="auto"/>
        </w:rPr>
        <w:tab/>
      </w:r>
      <w:r>
        <w:rPr>
          <w:rFonts w:ascii="Courier New" w:cs="Courier New" w:eastAsia="Courier New" w:hAnsi="Courier New"/>
          <w:sz w:val="14"/>
          <w:szCs w:val="14"/>
          <w:color w:val="auto"/>
        </w:rPr>
        <w:t>$</w:t>
        <w:tab/>
        <w:t>1,523</w:t>
      </w:r>
      <w:r>
        <w:rPr>
          <w:sz w:val="20"/>
          <w:szCs w:val="20"/>
          <w:color w:val="auto"/>
        </w:rPr>
        <w:tab/>
      </w:r>
      <w:r>
        <w:rPr>
          <w:rFonts w:ascii="Courier New" w:cs="Courier New" w:eastAsia="Courier New" w:hAnsi="Courier New"/>
          <w:sz w:val="14"/>
          <w:szCs w:val="14"/>
          <w:color w:val="auto"/>
        </w:rPr>
        <w:t>$</w:t>
        <w:tab/>
        <w:t>1,483</w:t>
      </w:r>
      <w:r>
        <w:rPr>
          <w:sz w:val="20"/>
          <w:szCs w:val="20"/>
          <w:color w:val="auto"/>
        </w:rPr>
        <w:tab/>
      </w:r>
      <w:r>
        <w:rPr>
          <w:rFonts w:ascii="Courier New" w:cs="Courier New" w:eastAsia="Courier New" w:hAnsi="Courier New"/>
          <w:sz w:val="14"/>
          <w:szCs w:val="14"/>
          <w:color w:val="auto"/>
        </w:rPr>
        <w:t>$</w:t>
        <w:tab/>
        <w:t>1,089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967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Assets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Discontinued Operations Assets</w:t>
      </w:r>
    </w:p>
    <w:p>
      <w:pPr>
        <w:spacing w:after="0" w:line="4" w:lineRule="exact"/>
        <w:rPr>
          <w:sz w:val="20"/>
          <w:szCs w:val="20"/>
          <w:color w:val="auto"/>
        </w:rPr>
      </w:pPr>
    </w:p>
    <w:p>
      <w:pPr>
        <w:ind w:left="180" w:hanging="173"/>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 .................</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tabs>
          <w:tab w:leader="none" w:pos="2780" w:val="left"/>
          <w:tab w:leader="none" w:pos="3200" w:val="left"/>
          <w:tab w:leader="none" w:pos="4140" w:val="left"/>
          <w:tab w:leader="none" w:pos="4560" w:val="left"/>
          <w:tab w:leader="none" w:pos="5580" w:val="left"/>
          <w:tab w:leader="none" w:pos="6000" w:val="left"/>
          <w:tab w:leader="none" w:pos="7020" w:val="left"/>
          <w:tab w:leader="none" w:pos="7440" w:val="left"/>
          <w:tab w:leader="none" w:pos="8380" w:val="left"/>
          <w:tab w:leader="none" w:pos="8900" w:val="left"/>
          <w:tab w:leader="none" w:pos="9740" w:val="left"/>
          <w:tab w:leader="none" w:pos="10240" w:val="left"/>
        </w:tabs>
        <w:rPr>
          <w:sz w:val="20"/>
          <w:szCs w:val="20"/>
          <w:color w:val="auto"/>
        </w:rPr>
      </w:pPr>
      <w:r>
        <w:rPr>
          <w:rFonts w:ascii="Courier New" w:cs="Courier New" w:eastAsia="Courier New" w:hAnsi="Courier New"/>
          <w:sz w:val="14"/>
          <w:szCs w:val="14"/>
          <w:color w:val="auto"/>
        </w:rPr>
        <w:t>Depreciation /Amortization ...</w:t>
        <w:tab/>
        <w:t>$</w:t>
      </w:r>
      <w:r>
        <w:rPr>
          <w:sz w:val="20"/>
          <w:szCs w:val="20"/>
          <w:color w:val="auto"/>
        </w:rPr>
        <w:tab/>
      </w:r>
      <w:r>
        <w:rPr>
          <w:rFonts w:ascii="Courier New" w:cs="Courier New" w:eastAsia="Courier New" w:hAnsi="Courier New"/>
          <w:sz w:val="14"/>
          <w:szCs w:val="14"/>
          <w:color w:val="auto"/>
        </w:rPr>
        <w:t>204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113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205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203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2780" w:val="left"/>
          <w:tab w:leader="none" w:pos="3200" w:val="left"/>
          <w:tab w:leader="none" w:pos="4140" w:val="left"/>
          <w:tab w:leader="none" w:pos="4560" w:val="left"/>
          <w:tab w:leader="none" w:pos="5580" w:val="left"/>
          <w:tab w:leader="none" w:pos="6000" w:val="left"/>
          <w:tab w:leader="none" w:pos="7020" w:val="left"/>
          <w:tab w:leader="none" w:pos="7440" w:val="left"/>
          <w:tab w:leader="none" w:pos="8380" w:val="left"/>
          <w:tab w:leader="none" w:pos="8800" w:val="left"/>
          <w:tab w:leader="none" w:pos="9740" w:val="left"/>
          <w:tab w:leader="none" w:pos="10160" w:val="left"/>
        </w:tabs>
        <w:rPr>
          <w:sz w:val="20"/>
          <w:szCs w:val="20"/>
          <w:color w:val="auto"/>
        </w:rPr>
      </w:pPr>
      <w:r>
        <w:rPr>
          <w:rFonts w:ascii="Courier New" w:cs="Courier New" w:eastAsia="Courier New" w:hAnsi="Courier New"/>
          <w:sz w:val="14"/>
          <w:szCs w:val="14"/>
          <w:color w:val="auto"/>
        </w:rPr>
        <w:t>Capital Expenditures .........</w:t>
        <w:tab/>
        <w:t>$</w:t>
      </w:r>
      <w:r>
        <w:rPr>
          <w:sz w:val="20"/>
          <w:szCs w:val="20"/>
          <w:color w:val="auto"/>
        </w:rPr>
        <w:tab/>
      </w: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269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342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131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179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tbl>
      <w:tblPr>
        <w:tblLayout w:type="fixed"/>
        <w:tblInd w:w="100" w:type="dxa"/>
        <w:tblCellMar>
          <w:top w:w="0" w:type="dxa"/>
          <w:left w:w="0" w:type="dxa"/>
          <w:bottom w:w="0" w:type="dxa"/>
          <w:right w:w="0" w:type="dxa"/>
        </w:tblCellMar>
      </w:tblPr>
      <w:tr>
        <w:trPr>
          <w:trHeight w:val="160"/>
        </w:trPr>
        <w:tc>
          <w:tcPr>
            <w:tcW w:w="1520" w:type="dxa"/>
            <w:vAlign w:val="bottom"/>
          </w:tcPr>
          <w:p>
            <w:pPr>
              <w:jc w:val="right"/>
              <w:ind w:right="1109"/>
              <w:spacing w:after="0"/>
              <w:rPr>
                <w:sz w:val="20"/>
                <w:szCs w:val="20"/>
                <w:color w:val="auto"/>
              </w:rPr>
            </w:pPr>
            <w:r>
              <w:rPr>
                <w:rFonts w:ascii="Courier New" w:cs="Courier New" w:eastAsia="Courier New" w:hAnsi="Courier New"/>
                <w:sz w:val="14"/>
                <w:szCs w:val="14"/>
                <w:color w:val="auto"/>
                <w:w w:val="95"/>
              </w:rPr>
              <w:t>1998</w:t>
            </w:r>
          </w:p>
        </w:tc>
        <w:tc>
          <w:tcPr>
            <w:tcW w:w="21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Total</w:t>
            </w:r>
          </w:p>
        </w:tc>
        <w:tc>
          <w:tcPr>
            <w:tcW w:w="1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40" w:type="dxa"/>
            <w:vAlign w:val="bottom"/>
          </w:tcPr>
          <w:p>
            <w:pPr>
              <w:ind w:left="440"/>
              <w:spacing w:after="0"/>
              <w:rPr>
                <w:sz w:val="20"/>
                <w:szCs w:val="20"/>
                <w:color w:val="auto"/>
              </w:rPr>
            </w:pPr>
            <w:r>
              <w:rPr>
                <w:rFonts w:ascii="Courier New" w:cs="Courier New" w:eastAsia="Courier New" w:hAnsi="Courier New"/>
                <w:sz w:val="14"/>
                <w:szCs w:val="14"/>
                <w:color w:val="auto"/>
              </w:rPr>
              <w:t>Elims/</w:t>
            </w:r>
          </w:p>
        </w:tc>
        <w:tc>
          <w:tcPr>
            <w:tcW w:w="1540" w:type="dxa"/>
            <w:vAlign w:val="bottom"/>
          </w:tcPr>
          <w:p>
            <w:pPr>
              <w:spacing w:after="0"/>
              <w:rPr>
                <w:sz w:val="13"/>
                <w:szCs w:val="13"/>
                <w:color w:val="auto"/>
              </w:rPr>
            </w:pPr>
          </w:p>
        </w:tc>
      </w:tr>
      <w:tr>
        <w:trPr>
          <w:trHeight w:val="163"/>
        </w:trPr>
        <w:tc>
          <w:tcPr>
            <w:tcW w:w="1520" w:type="dxa"/>
            <w:vAlign w:val="bottom"/>
          </w:tcPr>
          <w:p>
            <w:pPr>
              <w:spacing w:after="0"/>
              <w:rPr>
                <w:sz w:val="14"/>
                <w:szCs w:val="14"/>
                <w:color w:val="auto"/>
              </w:rPr>
            </w:pPr>
          </w:p>
        </w:tc>
        <w:tc>
          <w:tcPr>
            <w:tcW w:w="21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OFS</w:t>
            </w:r>
          </w:p>
        </w:tc>
        <w:tc>
          <w:tcPr>
            <w:tcW w:w="1360" w:type="dxa"/>
            <w:vAlign w:val="bottom"/>
          </w:tcPr>
          <w:p>
            <w:pPr>
              <w:ind w:left="560"/>
              <w:spacing w:after="0"/>
              <w:rPr>
                <w:sz w:val="20"/>
                <w:szCs w:val="20"/>
                <w:color w:val="auto"/>
              </w:rPr>
            </w:pPr>
            <w:r>
              <w:rPr>
                <w:rFonts w:ascii="Courier New" w:cs="Courier New" w:eastAsia="Courier New" w:hAnsi="Courier New"/>
                <w:sz w:val="14"/>
                <w:szCs w:val="14"/>
                <w:color w:val="auto"/>
              </w:rPr>
              <w:t>RMS</w:t>
            </w:r>
          </w:p>
        </w:tc>
        <w:tc>
          <w:tcPr>
            <w:tcW w:w="1220" w:type="dxa"/>
            <w:vAlign w:val="bottom"/>
          </w:tcPr>
          <w:p>
            <w:pPr>
              <w:ind w:left="540"/>
              <w:spacing w:after="0"/>
              <w:rPr>
                <w:sz w:val="20"/>
                <w:szCs w:val="20"/>
                <w:color w:val="auto"/>
              </w:rPr>
            </w:pPr>
            <w:r>
              <w:rPr>
                <w:rFonts w:ascii="Courier New" w:cs="Courier New" w:eastAsia="Courier New" w:hAnsi="Courier New"/>
                <w:sz w:val="14"/>
                <w:szCs w:val="14"/>
                <w:color w:val="auto"/>
              </w:rPr>
              <w:t>T&amp;T</w:t>
            </w:r>
          </w:p>
        </w:tc>
        <w:tc>
          <w:tcPr>
            <w:tcW w:w="144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w w:val="99"/>
              </w:rPr>
              <w:t>CONSOLIDATED</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spacing w:after="0"/>
        <w:tabs>
          <w:tab w:leader="none" w:pos="2780" w:val="left"/>
          <w:tab w:leader="none" w:pos="3040" w:val="left"/>
          <w:tab w:leader="none" w:pos="4060" w:val="left"/>
          <w:tab w:leader="none" w:pos="4320" w:val="left"/>
          <w:tab w:leader="none" w:pos="5420" w:val="left"/>
          <w:tab w:leader="none" w:pos="5660" w:val="left"/>
          <w:tab w:leader="none" w:pos="6780" w:val="left"/>
          <w:tab w:leader="none" w:pos="7200" w:val="left"/>
          <w:tab w:leader="none" w:pos="8380" w:val="left"/>
        </w:tabs>
        <w:rPr>
          <w:sz w:val="20"/>
          <w:szCs w:val="20"/>
          <w:color w:val="auto"/>
        </w:rPr>
      </w:pPr>
      <w:r>
        <w:rPr>
          <w:rFonts w:ascii="Courier New" w:cs="Courier New" w:eastAsia="Courier New" w:hAnsi="Courier New"/>
          <w:sz w:val="14"/>
          <w:szCs w:val="14"/>
          <w:color w:val="auto"/>
        </w:rPr>
        <w:t>Revenue ......................</w:t>
        <w:tab/>
        <w:t>$</w:t>
        <w:tab/>
        <w:t>7,796</w:t>
      </w:r>
      <w:r>
        <w:rPr>
          <w:sz w:val="20"/>
          <w:szCs w:val="20"/>
          <w:color w:val="auto"/>
        </w:rPr>
        <w:tab/>
      </w:r>
      <w:r>
        <w:rPr>
          <w:rFonts w:ascii="Courier New" w:cs="Courier New" w:eastAsia="Courier New" w:hAnsi="Courier New"/>
          <w:sz w:val="14"/>
          <w:szCs w:val="14"/>
          <w:color w:val="auto"/>
        </w:rPr>
        <w:t>$</w:t>
        <w:tab/>
        <w:t>1,465</w:t>
      </w:r>
      <w:r>
        <w:rPr>
          <w:sz w:val="20"/>
          <w:szCs w:val="20"/>
          <w:color w:val="auto"/>
        </w:rPr>
        <w:tab/>
      </w:r>
      <w:r>
        <w:rPr>
          <w:rFonts w:ascii="Courier New" w:cs="Courier New" w:eastAsia="Courier New" w:hAnsi="Courier New"/>
          <w:sz w:val="14"/>
          <w:szCs w:val="14"/>
          <w:color w:val="auto"/>
        </w:rPr>
        <w:t>$</w:t>
        <w:tab/>
        <w:t>1,226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238</w:t>
      </w:r>
      <w:r>
        <w:rPr>
          <w:sz w:val="20"/>
          <w:szCs w:val="20"/>
          <w:color w:val="auto"/>
        </w:rPr>
        <w:tab/>
      </w:r>
      <w:r>
        <w:rPr>
          <w:rFonts w:ascii="Courier New" w:cs="Courier New" w:eastAsia="Courier New" w:hAnsi="Courier New"/>
          <w:sz w:val="14"/>
          <w:szCs w:val="14"/>
          <w:color w:val="auto"/>
        </w:rPr>
        <w:t>$ 10,725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680" w:type="dxa"/>
            <w:vAlign w:val="bottom"/>
          </w:tcPr>
          <w:p>
            <w:pPr>
              <w:spacing w:after="0"/>
              <w:rPr>
                <w:sz w:val="20"/>
                <w:szCs w:val="20"/>
                <w:color w:val="auto"/>
              </w:rPr>
            </w:pPr>
            <w:r>
              <w:rPr>
                <w:rFonts w:ascii="Courier New" w:cs="Courier New" w:eastAsia="Courier New" w:hAnsi="Courier New"/>
                <w:sz w:val="14"/>
                <w:szCs w:val="14"/>
                <w:color w:val="auto"/>
              </w:rPr>
              <w:t>Segment Income ...............</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954</w:t>
            </w:r>
          </w:p>
        </w:tc>
        <w:tc>
          <w:tcPr>
            <w:tcW w:w="6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32</w:t>
            </w: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55</w:t>
            </w:r>
          </w:p>
        </w:tc>
        <w:tc>
          <w:tcPr>
            <w:tcW w:w="5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(92)</w:t>
            </w: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949</w:t>
            </w:r>
          </w:p>
        </w:tc>
      </w:tr>
      <w:tr>
        <w:trPr>
          <w:trHeight w:val="163"/>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Income Tax Expense (2) .......</w:t>
            </w:r>
          </w:p>
        </w:tc>
        <w:tc>
          <w:tcPr>
            <w:tcW w:w="380" w:type="dxa"/>
            <w:vAlign w:val="bottom"/>
          </w:tcPr>
          <w:p>
            <w:pPr>
              <w:spacing w:after="0"/>
              <w:rPr>
                <w:sz w:val="14"/>
                <w:szCs w:val="14"/>
                <w:color w:val="auto"/>
              </w:rPr>
            </w:pPr>
          </w:p>
        </w:tc>
        <w:tc>
          <w:tcPr>
            <w:tcW w:w="7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352</w:t>
            </w:r>
          </w:p>
        </w:tc>
        <w:tc>
          <w:tcPr>
            <w:tcW w:w="600" w:type="dxa"/>
            <w:vAlign w:val="bottom"/>
          </w:tcPr>
          <w:p>
            <w:pPr>
              <w:spacing w:after="0"/>
              <w:rPr>
                <w:sz w:val="14"/>
                <w:szCs w:val="14"/>
                <w:color w:val="auto"/>
              </w:rPr>
            </w:pPr>
          </w:p>
        </w:tc>
        <w:tc>
          <w:tcPr>
            <w:tcW w:w="7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w:t>
            </w:r>
          </w:p>
        </w:tc>
        <w:tc>
          <w:tcPr>
            <w:tcW w:w="640" w:type="dxa"/>
            <w:vAlign w:val="bottom"/>
          </w:tcPr>
          <w:p>
            <w:pPr>
              <w:spacing w:after="0"/>
              <w:rPr>
                <w:sz w:val="14"/>
                <w:szCs w:val="14"/>
                <w:color w:val="auto"/>
              </w:rPr>
            </w:pPr>
          </w:p>
        </w:tc>
        <w:tc>
          <w:tcPr>
            <w:tcW w:w="7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w:t>
            </w:r>
          </w:p>
        </w:tc>
        <w:tc>
          <w:tcPr>
            <w:tcW w:w="580" w:type="dxa"/>
            <w:vAlign w:val="bottom"/>
          </w:tcPr>
          <w:p>
            <w:pPr>
              <w:spacing w:after="0"/>
              <w:rPr>
                <w:sz w:val="14"/>
                <w:szCs w:val="14"/>
                <w:color w:val="auto"/>
              </w:rPr>
            </w:pP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(48)</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340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2780" w:val="left"/>
          <w:tab w:leader="none" w:pos="3040" w:val="left"/>
          <w:tab w:leader="none" w:pos="4060" w:val="left"/>
          <w:tab w:leader="none" w:pos="4560" w:val="left"/>
          <w:tab w:leader="none" w:pos="5420" w:val="left"/>
          <w:tab w:leader="none" w:pos="5920" w:val="left"/>
          <w:tab w:leader="none" w:pos="6780" w:val="left"/>
          <w:tab w:leader="none" w:pos="7120" w:val="left"/>
          <w:tab w:leader="none" w:pos="8380" w:val="left"/>
          <w:tab w:leader="none" w:pos="8640" w:val="left"/>
        </w:tabs>
        <w:rPr>
          <w:sz w:val="20"/>
          <w:szCs w:val="20"/>
          <w:color w:val="auto"/>
        </w:rPr>
      </w:pPr>
      <w:r>
        <w:rPr>
          <w:rFonts w:ascii="Courier New" w:cs="Courier New" w:eastAsia="Courier New" w:hAnsi="Courier New"/>
          <w:sz w:val="14"/>
          <w:szCs w:val="14"/>
          <w:color w:val="auto"/>
        </w:rPr>
        <w:t>Pretax Segment Income ........</w:t>
        <w:tab/>
        <w:t>$</w:t>
        <w:tab/>
        <w:t>1,306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(140)</w:t>
      </w:r>
      <w:r>
        <w:rPr>
          <w:sz w:val="20"/>
          <w:szCs w:val="20"/>
          <w:color w:val="auto"/>
        </w:rPr>
        <w:tab/>
      </w:r>
      <w:r>
        <w:rPr>
          <w:rFonts w:ascii="Courier New" w:cs="Courier New" w:eastAsia="Courier New" w:hAnsi="Courier New"/>
          <w:sz w:val="14"/>
          <w:szCs w:val="14"/>
          <w:color w:val="auto"/>
        </w:rPr>
        <w:t>$</w:t>
        <w:tab/>
        <w:t>1,289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040" w:type="dxa"/>
            <w:vAlign w:val="bottom"/>
          </w:tcPr>
          <w:p>
            <w:pPr>
              <w:spacing w:after="0"/>
              <w:rPr>
                <w:sz w:val="20"/>
                <w:szCs w:val="20"/>
                <w:color w:val="auto"/>
              </w:rPr>
            </w:pPr>
            <w:r>
              <w:rPr>
                <w:rFonts w:ascii="Courier New" w:cs="Courier New" w:eastAsia="Courier New" w:hAnsi="Courier New"/>
                <w:sz w:val="14"/>
                <w:szCs w:val="14"/>
                <w:color w:val="auto"/>
              </w:rPr>
              <w:t>Interest Income ..............</w:t>
            </w:r>
          </w:p>
        </w:tc>
        <w:tc>
          <w:tcPr>
            <w:tcW w:w="17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164</w:t>
            </w:r>
          </w:p>
        </w:tc>
      </w:tr>
      <w:tr>
        <w:trPr>
          <w:trHeight w:val="163"/>
        </w:trPr>
        <w:tc>
          <w:tcPr>
            <w:tcW w:w="4040" w:type="dxa"/>
            <w:vAlign w:val="bottom"/>
          </w:tcPr>
          <w:p>
            <w:pPr>
              <w:spacing w:after="0"/>
              <w:rPr>
                <w:sz w:val="20"/>
                <w:szCs w:val="20"/>
                <w:color w:val="auto"/>
              </w:rPr>
            </w:pPr>
            <w:r>
              <w:rPr>
                <w:rFonts w:ascii="Courier New" w:cs="Courier New" w:eastAsia="Courier New" w:hAnsi="Courier New"/>
                <w:sz w:val="14"/>
                <w:szCs w:val="14"/>
                <w:color w:val="auto"/>
              </w:rPr>
              <w:t>Interest Expense .............</w:t>
            </w:r>
          </w:p>
        </w:tc>
        <w:tc>
          <w:tcPr>
            <w:tcW w:w="17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1189"/>
              <w:spacing w:after="0"/>
              <w:rPr>
                <w:sz w:val="20"/>
                <w:szCs w:val="20"/>
                <w:color w:val="auto"/>
              </w:rPr>
            </w:pPr>
            <w:r>
              <w:rPr>
                <w:rFonts w:ascii="Courier New" w:cs="Courier New" w:eastAsia="Courier New" w:hAnsi="Courier New"/>
                <w:sz w:val="14"/>
                <w:szCs w:val="14"/>
                <w:color w:val="auto"/>
              </w:rPr>
              <w:t>(1)</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(127)</w:t>
            </w:r>
          </w:p>
        </w:tc>
      </w:tr>
      <w:tr>
        <w:trPr>
          <w:trHeight w:val="163"/>
        </w:trPr>
        <w:tc>
          <w:tcPr>
            <w:tcW w:w="4040" w:type="dxa"/>
            <w:vAlign w:val="bottom"/>
          </w:tcPr>
          <w:p>
            <w:pPr>
              <w:spacing w:after="0"/>
              <w:rPr>
                <w:sz w:val="20"/>
                <w:szCs w:val="20"/>
                <w:color w:val="auto"/>
              </w:rPr>
            </w:pPr>
            <w:r>
              <w:rPr>
                <w:rFonts w:ascii="Courier New" w:cs="Courier New" w:eastAsia="Courier New" w:hAnsi="Courier New"/>
                <w:sz w:val="14"/>
                <w:szCs w:val="14"/>
                <w:color w:val="auto"/>
              </w:rPr>
              <w:t>Third Quarter Charge .........</w:t>
            </w:r>
          </w:p>
        </w:tc>
        <w:tc>
          <w:tcPr>
            <w:tcW w:w="1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(432)</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680" w:type="dxa"/>
            <w:vAlign w:val="bottom"/>
          </w:tcPr>
          <w:p>
            <w:pPr>
              <w:spacing w:after="0"/>
              <w:rPr>
                <w:sz w:val="20"/>
                <w:szCs w:val="20"/>
                <w:color w:val="auto"/>
              </w:rPr>
            </w:pPr>
            <w:r>
              <w:rPr>
                <w:rFonts w:ascii="Courier New" w:cs="Courier New" w:eastAsia="Courier New" w:hAnsi="Courier New"/>
                <w:sz w:val="14"/>
                <w:szCs w:val="14"/>
                <w:color w:val="auto"/>
              </w:rPr>
              <w:t>Pretax Income ................</w:t>
            </w:r>
          </w:p>
        </w:tc>
        <w:tc>
          <w:tcPr>
            <w:tcW w:w="3400" w:type="dxa"/>
            <w:vAlign w:val="bottom"/>
          </w:tcPr>
          <w:p>
            <w:pPr>
              <w:jc w:val="right"/>
              <w:spacing w:after="0"/>
              <w:rPr>
                <w:sz w:val="20"/>
                <w:szCs w:val="20"/>
                <w:color w:val="auto"/>
              </w:rPr>
            </w:pPr>
            <w:r>
              <w:rPr>
                <w:rFonts w:ascii="Courier New" w:cs="Courier New" w:eastAsia="Courier New" w:hAnsi="Courier New"/>
                <w:sz w:val="14"/>
                <w:szCs w:val="14"/>
                <w:color w:val="auto"/>
              </w:rPr>
              <w:t>894</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680" w:type="dxa"/>
            <w:vAlign w:val="bottom"/>
          </w:tcPr>
          <w:p>
            <w:pPr>
              <w:spacing w:after="0"/>
              <w:rPr>
                <w:sz w:val="20"/>
                <w:szCs w:val="20"/>
                <w:color w:val="auto"/>
              </w:rPr>
            </w:pPr>
            <w:r>
              <w:rPr>
                <w:rFonts w:ascii="Courier New" w:cs="Courier New" w:eastAsia="Courier New" w:hAnsi="Courier New"/>
                <w:sz w:val="14"/>
                <w:szCs w:val="14"/>
                <w:color w:val="auto"/>
              </w:rPr>
              <w:t>Segment Assets ...............</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7,089</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1,184</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1,069</w:t>
            </w:r>
          </w:p>
        </w:tc>
        <w:tc>
          <w:tcPr>
            <w:tcW w:w="14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  9,342</w:t>
            </w:r>
          </w:p>
        </w:tc>
      </w:tr>
      <w:tr>
        <w:trPr>
          <w:trHeight w:val="163"/>
        </w:trPr>
        <w:tc>
          <w:tcPr>
            <w:tcW w:w="2680" w:type="dxa"/>
            <w:vAlign w:val="bottom"/>
          </w:tcPr>
          <w:p>
            <w:pPr>
              <w:spacing w:after="0"/>
              <w:rPr>
                <w:sz w:val="20"/>
                <w:szCs w:val="20"/>
                <w:color w:val="auto"/>
              </w:rPr>
            </w:pPr>
            <w:r>
              <w:rPr>
                <w:rFonts w:ascii="Courier New" w:cs="Courier New" w:eastAsia="Courier New" w:hAnsi="Courier New"/>
                <w:sz w:val="14"/>
                <w:szCs w:val="14"/>
                <w:color w:val="auto"/>
              </w:rPr>
              <w:t>Corporate Assets .............</w:t>
            </w: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5,316</w:t>
            </w:r>
          </w:p>
        </w:tc>
      </w:tr>
      <w:tr>
        <w:trPr>
          <w:trHeight w:val="163"/>
        </w:trPr>
        <w:tc>
          <w:tcPr>
            <w:tcW w:w="2680" w:type="dxa"/>
            <w:vAlign w:val="bottom"/>
          </w:tcPr>
          <w:p>
            <w:pPr>
              <w:spacing w:after="0"/>
              <w:rPr>
                <w:sz w:val="20"/>
                <w:szCs w:val="20"/>
                <w:color w:val="auto"/>
              </w:rPr>
            </w:pPr>
            <w:r>
              <w:rPr>
                <w:rFonts w:ascii="Courier New" w:cs="Courier New" w:eastAsia="Courier New" w:hAnsi="Courier New"/>
                <w:sz w:val="14"/>
                <w:szCs w:val="14"/>
                <w:color w:val="auto"/>
              </w:rPr>
              <w:t>Discontinued Operations Assets</w:t>
            </w: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1,420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520" w:type="dxa"/>
            <w:vAlign w:val="bottom"/>
          </w:tcPr>
          <w:p>
            <w:pPr>
              <w:spacing w:after="0"/>
              <w:rPr>
                <w:sz w:val="20"/>
                <w:szCs w:val="20"/>
                <w:color w:val="auto"/>
              </w:rPr>
            </w:pPr>
            <w:r>
              <w:rPr>
                <w:rFonts w:ascii="Courier New" w:cs="Courier New" w:eastAsia="Courier New" w:hAnsi="Courier New"/>
                <w:sz w:val="14"/>
                <w:szCs w:val="14"/>
                <w:color w:val="auto"/>
              </w:rPr>
              <w:t>Total Assets .................</w:t>
            </w:r>
          </w:p>
        </w:tc>
        <w:tc>
          <w:tcPr>
            <w:tcW w:w="3560" w:type="dxa"/>
            <w:vAlign w:val="bottom"/>
          </w:tcPr>
          <w:p>
            <w:pPr>
              <w:jc w:val="right"/>
              <w:spacing w:after="0"/>
              <w:rPr>
                <w:sz w:val="20"/>
                <w:szCs w:val="20"/>
                <w:color w:val="auto"/>
              </w:rPr>
            </w:pPr>
            <w:r>
              <w:rPr>
                <w:rFonts w:ascii="Courier New" w:cs="Courier New" w:eastAsia="Courier New" w:hAnsi="Courier New"/>
                <w:sz w:val="14"/>
                <w:szCs w:val="14"/>
                <w:color w:val="auto"/>
              </w:rPr>
              <w:t>$16,078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2780" w:val="left"/>
          <w:tab w:leader="none" w:pos="3200" w:val="left"/>
          <w:tab w:leader="none" w:pos="4060" w:val="left"/>
          <w:tab w:leader="none" w:pos="4560" w:val="left"/>
          <w:tab w:leader="none" w:pos="5420" w:val="left"/>
          <w:tab w:leader="none" w:pos="5920" w:val="left"/>
          <w:tab w:leader="none" w:pos="6780" w:val="left"/>
          <w:tab w:leader="none" w:pos="7280" w:val="left"/>
          <w:tab w:leader="none" w:pos="8380" w:val="left"/>
          <w:tab w:leader="none" w:pos="8640" w:val="left"/>
        </w:tabs>
        <w:rPr>
          <w:sz w:val="20"/>
          <w:szCs w:val="20"/>
          <w:color w:val="auto"/>
        </w:rPr>
      </w:pPr>
      <w:r>
        <w:rPr>
          <w:rFonts w:ascii="Courier New" w:cs="Courier New" w:eastAsia="Courier New" w:hAnsi="Courier New"/>
          <w:sz w:val="14"/>
          <w:szCs w:val="14"/>
          <w:color w:val="auto"/>
        </w:rPr>
        <w:t>Depreciation /Amortization ...</w:t>
        <w:tab/>
        <w:t>$</w:t>
      </w:r>
      <w:r>
        <w:rPr>
          <w:sz w:val="20"/>
          <w:szCs w:val="20"/>
          <w:color w:val="auto"/>
        </w:rPr>
        <w:tab/>
      </w:r>
      <w:r>
        <w:rPr>
          <w:rFonts w:ascii="Courier New" w:cs="Courier New" w:eastAsia="Courier New" w:hAnsi="Courier New"/>
          <w:sz w:val="14"/>
          <w:szCs w:val="14"/>
          <w:color w:val="auto"/>
        </w:rPr>
        <w:t>865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w:t>
        <w:tab/>
        <w:t>1,012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2780" w:val="left"/>
          <w:tab w:leader="none" w:pos="3040" w:val="left"/>
          <w:tab w:leader="none" w:pos="4060" w:val="left"/>
          <w:tab w:leader="none" w:pos="4560" w:val="left"/>
          <w:tab w:leader="none" w:pos="5420" w:val="left"/>
          <w:tab w:leader="none" w:pos="5920" w:val="left"/>
          <w:tab w:leader="none" w:pos="6780" w:val="left"/>
          <w:tab w:leader="none" w:pos="7280" w:val="left"/>
          <w:tab w:leader="none" w:pos="8380" w:val="left"/>
          <w:tab w:leader="none" w:pos="8640" w:val="left"/>
        </w:tabs>
        <w:rPr>
          <w:sz w:val="20"/>
          <w:szCs w:val="20"/>
          <w:color w:val="auto"/>
        </w:rPr>
      </w:pPr>
      <w:r>
        <w:rPr>
          <w:rFonts w:ascii="Courier New" w:cs="Courier New" w:eastAsia="Courier New" w:hAnsi="Courier New"/>
          <w:sz w:val="14"/>
          <w:szCs w:val="14"/>
          <w:color w:val="auto"/>
        </w:rPr>
        <w:t>Capital Expenditures .........</w:t>
        <w:tab/>
        <w:t>$</w:t>
        <w:tab/>
        <w:t>1,321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28</w:t>
      </w:r>
      <w:r>
        <w:rPr>
          <w:sz w:val="20"/>
          <w:szCs w:val="20"/>
          <w:color w:val="auto"/>
        </w:rPr>
        <w:tab/>
      </w:r>
      <w:r>
        <w:rPr>
          <w:rFonts w:ascii="Courier New" w:cs="Courier New" w:eastAsia="Courier New" w:hAnsi="Courier New"/>
          <w:sz w:val="14"/>
          <w:szCs w:val="14"/>
          <w:color w:val="auto"/>
        </w:rPr>
        <w:t>$</w:t>
        <w:tab/>
        <w:t>1,463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right="4660"/>
        <w:spacing w:after="0" w:line="248" w:lineRule="auto"/>
        <w:rPr>
          <w:sz w:val="20"/>
          <w:szCs w:val="20"/>
          <w:color w:val="auto"/>
        </w:rPr>
      </w:pPr>
      <w:r>
        <w:rPr>
          <w:rFonts w:ascii="Courier New" w:cs="Courier New" w:eastAsia="Courier New" w:hAnsi="Courier New"/>
          <w:sz w:val="14"/>
          <w:szCs w:val="14"/>
          <w:color w:val="auto"/>
        </w:rPr>
        <w:t>(2)1998 income tax expense excludes a credit of $64 million related to the Third Quarter Charge.</w:t>
      </w:r>
    </w:p>
    <w:p>
      <w:pPr>
        <w:sectPr>
          <w:pgSz w:w="11900" w:h="16838" w:orient="portrait"/>
          <w:cols w:equalWidth="0" w:num="1">
            <w:col w:w="10940"/>
          </w:cols>
          <w:pgMar w:left="300" w:top="1261" w:right="6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(stated in millions)</w:t>
      </w:r>
    </w:p>
    <w:p>
      <w:pPr>
        <w:spacing w:after="0" w:line="4" w:lineRule="exact"/>
        <w:rPr>
          <w:sz w:val="20"/>
          <w:szCs w:val="20"/>
          <w:color w:val="auto"/>
        </w:rPr>
      </w:pPr>
    </w:p>
    <w:p>
      <w:pPr>
        <w:ind w:left="2700"/>
        <w:spacing w:after="0"/>
        <w:tabs>
          <w:tab w:leader="none" w:pos="4220" w:val="left"/>
          <w:tab w:leader="none" w:pos="6920" w:val="left"/>
        </w:tabs>
        <w:rPr>
          <w:sz w:val="20"/>
          <w:szCs w:val="20"/>
          <w:color w:val="auto"/>
        </w:rPr>
      </w:pPr>
      <w:r>
        <w:rPr>
          <w:rFonts w:ascii="Courier New" w:cs="Courier New" w:eastAsia="Courier New" w:hAnsi="Courier New"/>
          <w:sz w:val="14"/>
          <w:szCs w:val="14"/>
          <w:color w:val="auto"/>
        </w:rPr>
        <w:t>Europe/</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Elims/</w:t>
      </w:r>
    </w:p>
    <w:p>
      <w:pPr>
        <w:spacing w:after="0" w:line="4" w:lineRule="exact"/>
        <w:rPr>
          <w:sz w:val="20"/>
          <w:szCs w:val="20"/>
          <w:color w:val="auto"/>
        </w:rPr>
      </w:pPr>
    </w:p>
    <w:p>
      <w:pPr>
        <w:ind w:left="320"/>
        <w:spacing w:after="0"/>
        <w:tabs>
          <w:tab w:leader="none" w:pos="1660" w:val="left"/>
          <w:tab w:leader="none" w:pos="2420" w:val="left"/>
          <w:tab w:leader="none" w:pos="4120" w:val="left"/>
          <w:tab w:leader="none" w:pos="5560" w:val="left"/>
          <w:tab w:leader="none" w:pos="6920" w:val="left"/>
        </w:tabs>
        <w:rPr>
          <w:sz w:val="20"/>
          <w:szCs w:val="20"/>
          <w:color w:val="auto"/>
        </w:rPr>
      </w:pPr>
      <w:r>
        <w:rPr>
          <w:rFonts w:ascii="Courier New" w:cs="Courier New" w:eastAsia="Courier New" w:hAnsi="Courier New"/>
          <w:sz w:val="14"/>
          <w:szCs w:val="14"/>
          <w:color w:val="auto"/>
        </w:rPr>
        <w:t>NAM</w:t>
      </w:r>
      <w:r>
        <w:rPr>
          <w:sz w:val="20"/>
          <w:szCs w:val="20"/>
          <w:color w:val="auto"/>
        </w:rPr>
        <w:tab/>
      </w:r>
      <w:r>
        <w:rPr>
          <w:rFonts w:ascii="Courier New" w:cs="Courier New" w:eastAsia="Courier New" w:hAnsi="Courier New"/>
          <w:sz w:val="14"/>
          <w:szCs w:val="14"/>
          <w:color w:val="auto"/>
        </w:rPr>
        <w:t>LAM</w:t>
      </w:r>
      <w:r>
        <w:rPr>
          <w:sz w:val="20"/>
          <w:szCs w:val="20"/>
          <w:color w:val="auto"/>
        </w:rPr>
        <w:tab/>
      </w:r>
      <w:r>
        <w:rPr>
          <w:rFonts w:ascii="Courier New" w:cs="Courier New" w:eastAsia="Courier New" w:hAnsi="Courier New"/>
          <w:sz w:val="14"/>
          <w:szCs w:val="14"/>
          <w:color w:val="auto"/>
        </w:rPr>
        <w:t>CIS / W. Afr.</w:t>
      </w:r>
      <w:r>
        <w:rPr>
          <w:sz w:val="20"/>
          <w:szCs w:val="20"/>
          <w:color w:val="auto"/>
        </w:rPr>
        <w:tab/>
      </w:r>
      <w:r>
        <w:rPr>
          <w:rFonts w:ascii="Courier New" w:cs="Courier New" w:eastAsia="Courier New" w:hAnsi="Courier New"/>
          <w:sz w:val="14"/>
          <w:szCs w:val="14"/>
          <w:color w:val="auto"/>
        </w:rPr>
        <w:t>Eastern</w:t>
      </w:r>
      <w:r>
        <w:rPr>
          <w:sz w:val="20"/>
          <w:szCs w:val="20"/>
          <w:color w:val="auto"/>
        </w:rPr>
        <w:tab/>
      </w:r>
      <w:r>
        <w:rPr>
          <w:rFonts w:ascii="Courier New" w:cs="Courier New" w:eastAsia="Courier New" w:hAnsi="Courier New"/>
          <w:sz w:val="14"/>
          <w:szCs w:val="14"/>
          <w:color w:val="auto"/>
        </w:rPr>
        <w:t>Camco</w:t>
      </w:r>
      <w:r>
        <w:rPr>
          <w:sz w:val="20"/>
          <w:szCs w:val="20"/>
          <w:color w:val="auto"/>
        </w:rPr>
        <w:tab/>
      </w:r>
      <w:r>
        <w:rPr>
          <w:rFonts w:ascii="Courier New" w:cs="Courier New" w:eastAsia="Courier New" w:hAnsi="Courier New"/>
          <w:sz w:val="14"/>
          <w:szCs w:val="14"/>
          <w:color w:val="auto"/>
        </w:rPr>
        <w:t>Other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ectPr>
          <w:pgSz w:w="11900" w:h="16838" w:orient="portrait"/>
          <w:cols w:equalWidth="0" w:num="2">
            <w:col w:w="2180" w:space="720"/>
            <w:col w:w="8040"/>
          </w:cols>
          <w:pgMar w:left="300" w:top="1261" w:right="659" w:bottom="0" w:gutter="0" w:footer="0" w:header="0"/>
          <w:type w:val="continuous"/>
        </w:sectPr>
      </w:pPr>
    </w:p>
    <w:p>
      <w:pPr>
        <w:spacing w:after="0"/>
        <w:tabs>
          <w:tab w:leader="none" w:pos="3040" w:val="left"/>
          <w:tab w:leader="none" w:pos="3300" w:val="left"/>
          <w:tab w:leader="none" w:pos="4400" w:val="left"/>
          <w:tab w:leader="none" w:pos="4660" w:val="left"/>
          <w:tab w:leader="none" w:pos="5760" w:val="left"/>
          <w:tab w:leader="none" w:pos="6000" w:val="left"/>
          <w:tab w:leader="none" w:pos="7120" w:val="left"/>
          <w:tab w:leader="none" w:pos="7360" w:val="left"/>
          <w:tab w:leader="none" w:pos="8380" w:val="left"/>
          <w:tab w:leader="none" w:pos="8800" w:val="left"/>
          <w:tab w:leader="none" w:pos="9740" w:val="left"/>
          <w:tab w:leader="none" w:pos="10160" w:val="left"/>
        </w:tabs>
        <w:rPr>
          <w:sz w:val="20"/>
          <w:szCs w:val="20"/>
          <w:color w:val="auto"/>
        </w:rPr>
      </w:pPr>
      <w:r>
        <w:rPr>
          <w:rFonts w:ascii="Courier New" w:cs="Courier New" w:eastAsia="Courier New" w:hAnsi="Courier New"/>
          <w:sz w:val="14"/>
          <w:szCs w:val="14"/>
          <w:color w:val="auto"/>
        </w:rPr>
        <w:t>Revenue ......................</w:t>
      </w:r>
      <w:r>
        <w:rPr>
          <w:sz w:val="20"/>
          <w:szCs w:val="20"/>
          <w:color w:val="auto"/>
        </w:rPr>
        <w:tab/>
      </w:r>
      <w:r>
        <w:rPr>
          <w:rFonts w:ascii="Courier New" w:cs="Courier New" w:eastAsia="Courier New" w:hAnsi="Courier New"/>
          <w:sz w:val="14"/>
          <w:szCs w:val="14"/>
          <w:color w:val="auto"/>
        </w:rPr>
        <w:t>$</w:t>
        <w:tab/>
        <w:t>2,168</w:t>
      </w:r>
      <w:r>
        <w:rPr>
          <w:sz w:val="20"/>
          <w:szCs w:val="20"/>
          <w:color w:val="auto"/>
        </w:rPr>
        <w:tab/>
      </w:r>
      <w:r>
        <w:rPr>
          <w:rFonts w:ascii="Courier New" w:cs="Courier New" w:eastAsia="Courier New" w:hAnsi="Courier New"/>
          <w:sz w:val="14"/>
          <w:szCs w:val="14"/>
          <w:color w:val="auto"/>
        </w:rPr>
        <w:t>$</w:t>
        <w:tab/>
        <w:t>1,019</w:t>
      </w:r>
      <w:r>
        <w:rPr>
          <w:sz w:val="20"/>
          <w:szCs w:val="20"/>
          <w:color w:val="auto"/>
        </w:rPr>
        <w:tab/>
      </w:r>
      <w:r>
        <w:rPr>
          <w:rFonts w:ascii="Courier New" w:cs="Courier New" w:eastAsia="Courier New" w:hAnsi="Courier New"/>
          <w:sz w:val="14"/>
          <w:szCs w:val="14"/>
          <w:color w:val="auto"/>
        </w:rPr>
        <w:t>$</w:t>
        <w:tab/>
        <w:t>1,863</w:t>
      </w:r>
      <w:r>
        <w:rPr>
          <w:sz w:val="20"/>
          <w:szCs w:val="20"/>
          <w:color w:val="auto"/>
        </w:rPr>
        <w:tab/>
      </w:r>
      <w:r>
        <w:rPr>
          <w:rFonts w:ascii="Courier New" w:cs="Courier New" w:eastAsia="Courier New" w:hAnsi="Courier New"/>
          <w:sz w:val="14"/>
          <w:szCs w:val="14"/>
          <w:color w:val="auto"/>
        </w:rPr>
        <w:t>$</w:t>
        <w:tab/>
        <w:t>1,745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869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(10)</w:t>
      </w:r>
    </w:p>
    <w:p>
      <w:pPr>
        <w:sectPr>
          <w:pgSz w:w="11900" w:h="16838" w:orient="portrait"/>
          <w:cols w:equalWidth="0" w:num="1">
            <w:col w:w="10940"/>
          </w:cols>
          <w:pgMar w:left="300" w:top="1261" w:right="659" w:bottom="0" w:gutter="0" w:footer="0" w:header="0"/>
          <w:type w:val="continuous"/>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0" w:type="dxa"/>
            <w:vAlign w:val="bottom"/>
            <w:gridSpan w:val="1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Segment Income ...............</w:t>
            </w:r>
          </w:p>
        </w:tc>
        <w:tc>
          <w:tcPr>
            <w:tcW w:w="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265</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154</w:t>
            </w:r>
          </w:p>
        </w:tc>
        <w:tc>
          <w:tcPr>
            <w:tcW w:w="5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250</w:t>
            </w:r>
          </w:p>
        </w:tc>
        <w:tc>
          <w:tcPr>
            <w:tcW w:w="5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384</w:t>
            </w:r>
          </w:p>
        </w:tc>
        <w:tc>
          <w:tcPr>
            <w:tcW w:w="5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99</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(79)</w:t>
            </w:r>
          </w:p>
        </w:tc>
      </w:tr>
      <w:tr>
        <w:trPr>
          <w:trHeight w:val="163"/>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Income Tax Expense ...........</w:t>
            </w:r>
          </w:p>
        </w:tc>
        <w:tc>
          <w:tcPr>
            <w:tcW w:w="52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113</w:t>
            </w:r>
          </w:p>
        </w:tc>
        <w:tc>
          <w:tcPr>
            <w:tcW w:w="60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45</w:t>
            </w:r>
          </w:p>
        </w:tc>
        <w:tc>
          <w:tcPr>
            <w:tcW w:w="580" w:type="dxa"/>
            <w:vAlign w:val="bottom"/>
          </w:tcPr>
          <w:p>
            <w:pPr>
              <w:spacing w:after="0"/>
              <w:rPr>
                <w:sz w:val="14"/>
                <w:szCs w:val="14"/>
                <w:color w:val="auto"/>
              </w:rPr>
            </w:pPr>
          </w:p>
        </w:tc>
        <w:tc>
          <w:tcPr>
            <w:tcW w:w="7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48</w:t>
            </w:r>
          </w:p>
        </w:tc>
        <w:tc>
          <w:tcPr>
            <w:tcW w:w="580" w:type="dxa"/>
            <w:vAlign w:val="bottom"/>
          </w:tcPr>
          <w:p>
            <w:pPr>
              <w:spacing w:after="0"/>
              <w:rPr>
                <w:sz w:val="14"/>
                <w:szCs w:val="14"/>
                <w:color w:val="auto"/>
              </w:rPr>
            </w:pPr>
          </w:p>
        </w:tc>
        <w:tc>
          <w:tcPr>
            <w:tcW w:w="7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83</w:t>
            </w:r>
          </w:p>
        </w:tc>
        <w:tc>
          <w:tcPr>
            <w:tcW w:w="56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54</w:t>
            </w:r>
          </w:p>
        </w:tc>
        <w:tc>
          <w:tcPr>
            <w:tcW w:w="600" w:type="dxa"/>
            <w:vAlign w:val="bottom"/>
          </w:tcPr>
          <w:p>
            <w:pPr>
              <w:spacing w:after="0"/>
              <w:rPr>
                <w:sz w:val="14"/>
                <w:szCs w:val="14"/>
                <w:color w:val="auto"/>
              </w:rPr>
            </w:pPr>
          </w:p>
        </w:tc>
        <w:tc>
          <w:tcPr>
            <w:tcW w:w="9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3</w:t>
            </w:r>
          </w:p>
        </w:tc>
      </w:tr>
      <w:tr>
        <w:trPr>
          <w:trHeight w:val="163"/>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0" w:type="dxa"/>
            <w:vAlign w:val="bottom"/>
            <w:gridSpan w:val="1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Pretax Segment Income ........</w:t>
            </w:r>
          </w:p>
        </w:tc>
        <w:tc>
          <w:tcPr>
            <w:tcW w:w="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378</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w:t>
            </w:r>
          </w:p>
        </w:tc>
        <w:tc>
          <w:tcPr>
            <w:tcW w:w="5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298</w:t>
            </w:r>
          </w:p>
        </w:tc>
        <w:tc>
          <w:tcPr>
            <w:tcW w:w="5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467</w:t>
            </w:r>
          </w:p>
        </w:tc>
        <w:tc>
          <w:tcPr>
            <w:tcW w:w="5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153</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(76)</w:t>
            </w:r>
          </w:p>
        </w:tc>
      </w:tr>
    </w:tbl>
    <w:p>
      <w:pPr>
        <w:spacing w:after="0" w:line="3" w:lineRule="exact"/>
        <w:rPr>
          <w:sz w:val="20"/>
          <w:szCs w:val="20"/>
          <w:color w:val="auto"/>
        </w:rPr>
      </w:pPr>
    </w:p>
    <w:p>
      <w:pPr>
        <w:ind w:left="180" w:hanging="173"/>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Income ..............</w:t>
      </w:r>
    </w:p>
    <w:p>
      <w:pPr>
        <w:spacing w:after="0" w:line="168" w:lineRule="exact"/>
        <w:rPr>
          <w:sz w:val="20"/>
          <w:szCs w:val="20"/>
          <w:color w:val="auto"/>
        </w:rPr>
      </w:pPr>
    </w:p>
    <w:p>
      <w:pPr>
        <w:ind w:left="180" w:hanging="173"/>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Pretax Income ................</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tabs>
          <w:tab w:leader="none" w:pos="3040" w:val="left"/>
          <w:tab w:leader="none" w:pos="3300" w:val="left"/>
          <w:tab w:leader="none" w:pos="4400" w:val="left"/>
          <w:tab w:leader="none" w:pos="4820" w:val="left"/>
          <w:tab w:leader="none" w:pos="5760" w:val="left"/>
          <w:tab w:leader="none" w:pos="6000" w:val="left"/>
          <w:tab w:leader="none" w:pos="7120" w:val="left"/>
          <w:tab w:leader="none" w:pos="7360" w:val="left"/>
          <w:tab w:leader="none" w:pos="8380" w:val="left"/>
          <w:tab w:leader="none" w:pos="8640" w:val="left"/>
          <w:tab w:leader="none" w:pos="9740" w:val="left"/>
          <w:tab w:leader="none" w:pos="10160" w:val="left"/>
        </w:tabs>
        <w:rPr>
          <w:sz w:val="20"/>
          <w:szCs w:val="20"/>
          <w:color w:val="auto"/>
        </w:rPr>
      </w:pPr>
      <w:r>
        <w:rPr>
          <w:rFonts w:ascii="Courier New" w:cs="Courier New" w:eastAsia="Courier New" w:hAnsi="Courier New"/>
          <w:sz w:val="14"/>
          <w:szCs w:val="14"/>
          <w:color w:val="auto"/>
        </w:rPr>
        <w:t>Segment Assets ...............</w:t>
      </w:r>
      <w:r>
        <w:rPr>
          <w:sz w:val="20"/>
          <w:szCs w:val="20"/>
          <w:color w:val="auto"/>
        </w:rPr>
        <w:tab/>
      </w:r>
      <w:r>
        <w:rPr>
          <w:rFonts w:ascii="Courier New" w:cs="Courier New" w:eastAsia="Courier New" w:hAnsi="Courier New"/>
          <w:sz w:val="14"/>
          <w:szCs w:val="14"/>
          <w:color w:val="auto"/>
        </w:rPr>
        <w:t>$</w:t>
        <w:tab/>
        <w:t>1,451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852</w:t>
      </w:r>
      <w:r>
        <w:rPr>
          <w:sz w:val="20"/>
          <w:szCs w:val="20"/>
          <w:color w:val="auto"/>
        </w:rPr>
        <w:tab/>
      </w:r>
      <w:r>
        <w:rPr>
          <w:rFonts w:ascii="Courier New" w:cs="Courier New" w:eastAsia="Courier New" w:hAnsi="Courier New"/>
          <w:sz w:val="14"/>
          <w:szCs w:val="14"/>
          <w:color w:val="auto"/>
        </w:rPr>
        <w:t>$</w:t>
        <w:tab/>
        <w:t>1,370</w:t>
      </w:r>
      <w:r>
        <w:rPr>
          <w:sz w:val="20"/>
          <w:szCs w:val="20"/>
          <w:color w:val="auto"/>
        </w:rPr>
        <w:tab/>
      </w:r>
      <w:r>
        <w:rPr>
          <w:rFonts w:ascii="Courier New" w:cs="Courier New" w:eastAsia="Courier New" w:hAnsi="Courier New"/>
          <w:sz w:val="14"/>
          <w:szCs w:val="14"/>
          <w:color w:val="auto"/>
        </w:rPr>
        <w:t>$</w:t>
        <w:tab/>
        <w:t>1,339</w:t>
      </w:r>
      <w:r>
        <w:rPr>
          <w:sz w:val="20"/>
          <w:szCs w:val="20"/>
          <w:color w:val="auto"/>
        </w:rPr>
        <w:tab/>
      </w:r>
      <w:r>
        <w:rPr>
          <w:rFonts w:ascii="Courier New" w:cs="Courier New" w:eastAsia="Courier New" w:hAnsi="Courier New"/>
          <w:sz w:val="14"/>
          <w:szCs w:val="14"/>
          <w:color w:val="auto"/>
        </w:rPr>
        <w:t>$</w:t>
        <w:tab/>
        <w:t>1,042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843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Assets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Discontinued Operations Assets</w:t>
      </w:r>
    </w:p>
    <w:p>
      <w:pPr>
        <w:spacing w:after="0" w:line="4" w:lineRule="exact"/>
        <w:rPr>
          <w:sz w:val="20"/>
          <w:szCs w:val="20"/>
          <w:color w:val="auto"/>
        </w:rPr>
      </w:pPr>
    </w:p>
    <w:p>
      <w:pPr>
        <w:ind w:left="180" w:hanging="173"/>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 .................</w:t>
      </w:r>
    </w:p>
    <w:p>
      <w:pPr>
        <w:spacing w:after="0" w:line="4"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tabs>
          <w:tab w:leader="none" w:pos="3040" w:val="left"/>
          <w:tab w:leader="none" w:pos="3460" w:val="left"/>
          <w:tab w:leader="none" w:pos="4400" w:val="left"/>
          <w:tab w:leader="none" w:pos="4900" w:val="left"/>
          <w:tab w:leader="none" w:pos="5760" w:val="left"/>
          <w:tab w:leader="none" w:pos="6180" w:val="left"/>
          <w:tab w:leader="none" w:pos="7120" w:val="left"/>
          <w:tab w:leader="none" w:pos="7540" w:val="left"/>
          <w:tab w:leader="none" w:pos="8380" w:val="left"/>
          <w:tab w:leader="none" w:pos="8900" w:val="left"/>
          <w:tab w:leader="none" w:pos="9740" w:val="left"/>
          <w:tab w:leader="none" w:pos="10240" w:val="left"/>
        </w:tabs>
        <w:rPr>
          <w:sz w:val="20"/>
          <w:szCs w:val="20"/>
          <w:color w:val="auto"/>
        </w:rPr>
      </w:pPr>
      <w:r>
        <w:rPr>
          <w:rFonts w:ascii="Courier New" w:cs="Courier New" w:eastAsia="Courier New" w:hAnsi="Courier New"/>
          <w:sz w:val="14"/>
          <w:szCs w:val="14"/>
          <w:color w:val="auto"/>
        </w:rPr>
        <w:t>Depreciation/Amortization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187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191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174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3040" w:val="left"/>
          <w:tab w:leader="none" w:pos="3460" w:val="left"/>
          <w:tab w:leader="none" w:pos="4400" w:val="left"/>
          <w:tab w:leader="none" w:pos="4820" w:val="left"/>
          <w:tab w:leader="none" w:pos="5760" w:val="left"/>
          <w:tab w:leader="none" w:pos="6180" w:val="left"/>
          <w:tab w:leader="none" w:pos="7120" w:val="left"/>
          <w:tab w:leader="none" w:pos="7540" w:val="left"/>
          <w:tab w:leader="none" w:pos="8380" w:val="left"/>
          <w:tab w:leader="none" w:pos="8900" w:val="left"/>
          <w:tab w:leader="none" w:pos="9740" w:val="left"/>
          <w:tab w:leader="none" w:pos="10240" w:val="left"/>
        </w:tabs>
        <w:rPr>
          <w:sz w:val="20"/>
          <w:szCs w:val="20"/>
          <w:color w:val="auto"/>
        </w:rPr>
      </w:pPr>
      <w:r>
        <w:rPr>
          <w:rFonts w:ascii="Courier New" w:cs="Courier New" w:eastAsia="Courier New" w:hAnsi="Courier New"/>
          <w:sz w:val="14"/>
          <w:szCs w:val="14"/>
          <w:color w:val="auto"/>
        </w:rPr>
        <w:t>Capital Expenditures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280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216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305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313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940"/>
          </w:cols>
          <w:pgMar w:left="300" w:top="1261" w:right="659" w:bottom="0" w:gutter="0" w:footer="0" w:header="0"/>
          <w:type w:val="continuous"/>
        </w:sectPr>
      </w:pPr>
    </w:p>
    <w:p>
      <w:pPr>
        <w:spacing w:after="0" w:line="168" w:lineRule="exact"/>
        <w:rPr>
          <w:sz w:val="20"/>
          <w:szCs w:val="20"/>
          <w:color w:val="auto"/>
        </w:rPr>
      </w:pPr>
    </w:p>
    <w:p>
      <w:pPr>
        <w:jc w:val="center"/>
        <w:ind w:left="2840"/>
        <w:spacing w:after="0"/>
        <w:rPr>
          <w:sz w:val="20"/>
          <w:szCs w:val="20"/>
          <w:color w:val="auto"/>
        </w:rPr>
      </w:pPr>
      <w:r>
        <w:rPr>
          <w:rFonts w:ascii="Courier New" w:cs="Courier New" w:eastAsia="Courier New" w:hAnsi="Courier New"/>
          <w:sz w:val="14"/>
          <w:szCs w:val="14"/>
          <w:color w:val="auto"/>
        </w:rPr>
        <w:t>Total</w:t>
      </w:r>
    </w:p>
    <w:p>
      <w:pPr>
        <w:spacing w:after="0" w:line="4" w:lineRule="exact"/>
        <w:rPr>
          <w:sz w:val="20"/>
          <w:szCs w:val="20"/>
          <w:color w:val="auto"/>
        </w:rPr>
      </w:pPr>
    </w:p>
    <w:p>
      <w:pPr>
        <w:jc w:val="center"/>
        <w:ind w:left="2840"/>
        <w:spacing w:after="0"/>
        <w:rPr>
          <w:sz w:val="20"/>
          <w:szCs w:val="20"/>
          <w:color w:val="auto"/>
        </w:rPr>
      </w:pPr>
      <w:r>
        <w:rPr>
          <w:rFonts w:ascii="Courier New" w:cs="Courier New" w:eastAsia="Courier New" w:hAnsi="Courier New"/>
          <w:sz w:val="14"/>
          <w:szCs w:val="14"/>
          <w:color w:val="auto"/>
        </w:rPr>
        <w:t>OFS</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RMS</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T&amp;T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Elims/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w:t>
      </w:r>
    </w:p>
    <w:p>
      <w:pPr>
        <w:sectPr>
          <w:pgSz w:w="11900" w:h="16838" w:orient="portrait"/>
          <w:cols w:equalWidth="0" w:num="5">
            <w:col w:w="3860" w:space="720"/>
            <w:col w:w="720" w:space="720"/>
            <w:col w:w="560" w:space="720"/>
            <w:col w:w="1740" w:space="720"/>
            <w:col w:w="1180"/>
          </w:cols>
          <w:pgMar w:left="300" w:top="1261" w:right="659" w:bottom="0" w:gutter="0" w:footer="0" w:header="0"/>
          <w:type w:val="continuous"/>
        </w:sectPr>
      </w:pPr>
    </w:p>
    <w:bookmarkStart w:id="40" w:name="page41"/>
    <w:bookmarkEnd w:id="40"/>
    <w:p>
      <w:pPr>
        <w:ind w:left="180" w:hanging="173"/>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pacing w:after="0"/>
        <w:tabs>
          <w:tab w:leader="none" w:pos="3040" w:val="left"/>
          <w:tab w:leader="none" w:pos="3300" w:val="left"/>
          <w:tab w:leader="none" w:pos="4400" w:val="left"/>
          <w:tab w:leader="none" w:pos="4660" w:val="left"/>
          <w:tab w:leader="none" w:pos="5840" w:val="left"/>
          <w:tab w:leader="none" w:pos="6100" w:val="left"/>
          <w:tab w:leader="none" w:pos="7200" w:val="left"/>
          <w:tab w:leader="none" w:pos="7620" w:val="left"/>
          <w:tab w:leader="none" w:pos="8720" w:val="left"/>
        </w:tabs>
        <w:rPr>
          <w:sz w:val="20"/>
          <w:szCs w:val="20"/>
          <w:color w:val="auto"/>
        </w:rPr>
      </w:pPr>
      <w:r>
        <w:rPr>
          <w:rFonts w:ascii="Courier New" w:cs="Courier New" w:eastAsia="Courier New" w:hAnsi="Courier New"/>
          <w:sz w:val="14"/>
          <w:szCs w:val="14"/>
          <w:color w:val="auto"/>
        </w:rPr>
        <w:t>Revenue ......................</w:t>
      </w:r>
      <w:r>
        <w:rPr>
          <w:sz w:val="20"/>
          <w:szCs w:val="20"/>
          <w:color w:val="auto"/>
        </w:rPr>
        <w:tab/>
      </w:r>
      <w:r>
        <w:rPr>
          <w:rFonts w:ascii="Courier New" w:cs="Courier New" w:eastAsia="Courier New" w:hAnsi="Courier New"/>
          <w:sz w:val="14"/>
          <w:szCs w:val="14"/>
          <w:color w:val="auto"/>
        </w:rPr>
        <w:t>$</w:t>
        <w:tab/>
        <w:t>7,654</w:t>
      </w:r>
      <w:r>
        <w:rPr>
          <w:sz w:val="20"/>
          <w:szCs w:val="20"/>
          <w:color w:val="auto"/>
        </w:rPr>
        <w:tab/>
      </w:r>
      <w:r>
        <w:rPr>
          <w:rFonts w:ascii="Courier New" w:cs="Courier New" w:eastAsia="Courier New" w:hAnsi="Courier New"/>
          <w:sz w:val="14"/>
          <w:szCs w:val="14"/>
          <w:color w:val="auto"/>
        </w:rPr>
        <w:t>$</w:t>
        <w:tab/>
        <w:t>1,569</w:t>
      </w:r>
      <w:r>
        <w:rPr>
          <w:sz w:val="20"/>
          <w:szCs w:val="20"/>
          <w:color w:val="auto"/>
        </w:rPr>
        <w:tab/>
      </w:r>
      <w:r>
        <w:rPr>
          <w:rFonts w:ascii="Courier New" w:cs="Courier New" w:eastAsia="Courier New" w:hAnsi="Courier New"/>
          <w:sz w:val="14"/>
          <w:szCs w:val="14"/>
          <w:color w:val="auto"/>
        </w:rPr>
        <w:t>$</w:t>
        <w:tab/>
        <w:t>1,066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363</w:t>
      </w:r>
      <w:r>
        <w:rPr>
          <w:sz w:val="20"/>
          <w:szCs w:val="20"/>
          <w:color w:val="auto"/>
        </w:rPr>
        <w:tab/>
      </w:r>
      <w:r>
        <w:rPr>
          <w:rFonts w:ascii="Courier New" w:cs="Courier New" w:eastAsia="Courier New" w:hAnsi="Courier New"/>
          <w:sz w:val="14"/>
          <w:szCs w:val="14"/>
          <w:color w:val="auto"/>
        </w:rPr>
        <w:t>$ 10,652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800" w:type="dxa"/>
            <w:vAlign w:val="bottom"/>
          </w:tcPr>
          <w:p>
            <w:pPr>
              <w:spacing w:after="0"/>
              <w:rPr>
                <w:sz w:val="20"/>
                <w:szCs w:val="20"/>
                <w:color w:val="auto"/>
              </w:rPr>
            </w:pPr>
            <w:r>
              <w:rPr>
                <w:rFonts w:ascii="Courier New" w:cs="Courier New" w:eastAsia="Courier New" w:hAnsi="Courier New"/>
                <w:sz w:val="14"/>
                <w:szCs w:val="14"/>
                <w:color w:val="auto"/>
              </w:rPr>
              <w:t>Segment Income ...............</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1,073</w:t>
            </w: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47</w:t>
            </w:r>
          </w:p>
        </w:tc>
        <w:tc>
          <w:tcPr>
            <w:tcW w:w="6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73</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   (129)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1,064</w:t>
            </w:r>
          </w:p>
        </w:tc>
      </w:tr>
      <w:tr>
        <w:trPr>
          <w:trHeight w:val="163"/>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Income Tax Expense ...........</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346</w:t>
            </w:r>
          </w:p>
        </w:tc>
        <w:tc>
          <w:tcPr>
            <w:tcW w:w="640" w:type="dxa"/>
            <w:vAlign w:val="bottom"/>
          </w:tcPr>
          <w:p>
            <w:pPr>
              <w:spacing w:after="0"/>
              <w:rPr>
                <w:sz w:val="14"/>
                <w:szCs w:val="14"/>
                <w:color w:val="auto"/>
              </w:rPr>
            </w:pPr>
          </w:p>
        </w:tc>
        <w:tc>
          <w:tcPr>
            <w:tcW w:w="7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24</w:t>
            </w:r>
          </w:p>
        </w:tc>
        <w:tc>
          <w:tcPr>
            <w:tcW w:w="680" w:type="dxa"/>
            <w:vAlign w:val="bottom"/>
          </w:tcPr>
          <w:p>
            <w:pPr>
              <w:spacing w:after="0"/>
              <w:rPr>
                <w:sz w:val="14"/>
                <w:szCs w:val="14"/>
                <w:color w:val="auto"/>
              </w:rPr>
            </w:pPr>
          </w:p>
        </w:tc>
        <w:tc>
          <w:tcPr>
            <w:tcW w:w="7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30</w:t>
            </w:r>
          </w:p>
        </w:tc>
        <w:tc>
          <w:tcPr>
            <w:tcW w:w="14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388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3040" w:val="left"/>
          <w:tab w:leader="none" w:pos="3300" w:val="left"/>
          <w:tab w:leader="none" w:pos="4400" w:val="left"/>
          <w:tab w:leader="none" w:pos="4900" w:val="left"/>
          <w:tab w:leader="none" w:pos="5840" w:val="left"/>
          <w:tab w:leader="none" w:pos="6260" w:val="left"/>
          <w:tab w:leader="none" w:pos="7200" w:val="left"/>
          <w:tab w:leader="none" w:pos="7540" w:val="left"/>
          <w:tab w:leader="none" w:pos="8720" w:val="left"/>
          <w:tab w:leader="none" w:pos="8980" w:val="left"/>
        </w:tabs>
        <w:rPr>
          <w:sz w:val="20"/>
          <w:szCs w:val="20"/>
          <w:color w:val="auto"/>
        </w:rPr>
      </w:pPr>
      <w:r>
        <w:rPr>
          <w:rFonts w:ascii="Courier New" w:cs="Courier New" w:eastAsia="Courier New" w:hAnsi="Courier New"/>
          <w:sz w:val="14"/>
          <w:szCs w:val="14"/>
          <w:color w:val="auto"/>
        </w:rPr>
        <w:t>Pretax Segment Income ........</w:t>
      </w:r>
      <w:r>
        <w:rPr>
          <w:sz w:val="20"/>
          <w:szCs w:val="20"/>
          <w:color w:val="auto"/>
        </w:rPr>
        <w:tab/>
      </w:r>
      <w:r>
        <w:rPr>
          <w:rFonts w:ascii="Courier New" w:cs="Courier New" w:eastAsia="Courier New" w:hAnsi="Courier New"/>
          <w:sz w:val="14"/>
          <w:szCs w:val="14"/>
          <w:color w:val="auto"/>
        </w:rPr>
        <w:t>$</w:t>
        <w:tab/>
        <w:t>1,419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(141)</w:t>
      </w:r>
      <w:r>
        <w:rPr>
          <w:sz w:val="20"/>
          <w:szCs w:val="20"/>
          <w:color w:val="auto"/>
        </w:rPr>
        <w:tab/>
      </w:r>
      <w:r>
        <w:rPr>
          <w:rFonts w:ascii="Courier New" w:cs="Courier New" w:eastAsia="Courier New" w:hAnsi="Courier New"/>
          <w:sz w:val="14"/>
          <w:szCs w:val="14"/>
          <w:color w:val="auto"/>
        </w:rPr>
        <w:t>$</w:t>
        <w:tab/>
        <w:t>1,452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2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3480" w:type="dxa"/>
            <w:vAlign w:val="bottom"/>
          </w:tcPr>
          <w:p>
            <w:pPr>
              <w:ind w:left="60"/>
              <w:spacing w:after="0"/>
              <w:rPr>
                <w:sz w:val="20"/>
                <w:szCs w:val="20"/>
                <w:color w:val="auto"/>
              </w:rPr>
            </w:pPr>
            <w:r>
              <w:rPr>
                <w:rFonts w:ascii="Courier New" w:cs="Courier New" w:eastAsia="Courier New" w:hAnsi="Courier New"/>
                <w:sz w:val="14"/>
                <w:szCs w:val="14"/>
                <w:color w:val="auto"/>
              </w:rPr>
              <w:t>Income ..............</w:t>
            </w:r>
          </w:p>
        </w:tc>
        <w:tc>
          <w:tcPr>
            <w:tcW w:w="19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60" w:type="dxa"/>
            <w:vAlign w:val="bottom"/>
          </w:tcPr>
          <w:p>
            <w:pPr>
              <w:jc w:val="right"/>
              <w:ind w:right="9"/>
              <w:spacing w:after="0"/>
              <w:rPr>
                <w:sz w:val="20"/>
                <w:szCs w:val="20"/>
                <w:color w:val="auto"/>
              </w:rPr>
            </w:pPr>
            <w:r>
              <w:rPr>
                <w:rFonts w:ascii="Courier New" w:cs="Courier New" w:eastAsia="Courier New" w:hAnsi="Courier New"/>
                <w:sz w:val="14"/>
                <w:szCs w:val="14"/>
                <w:color w:val="auto"/>
              </w:rPr>
              <w:t>94</w:t>
            </w:r>
          </w:p>
        </w:tc>
      </w:tr>
      <w:tr>
        <w:trPr>
          <w:trHeight w:val="163"/>
        </w:trPr>
        <w:tc>
          <w:tcPr>
            <w:tcW w:w="72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3480" w:type="dxa"/>
            <w:vAlign w:val="bottom"/>
          </w:tcPr>
          <w:p>
            <w:pPr>
              <w:ind w:left="60"/>
              <w:spacing w:after="0"/>
              <w:rPr>
                <w:sz w:val="20"/>
                <w:szCs w:val="20"/>
                <w:color w:val="auto"/>
              </w:rPr>
            </w:pPr>
            <w:r>
              <w:rPr>
                <w:rFonts w:ascii="Courier New" w:cs="Courier New" w:eastAsia="Courier New" w:hAnsi="Courier New"/>
                <w:sz w:val="14"/>
                <w:szCs w:val="14"/>
                <w:color w:val="auto"/>
              </w:rPr>
              <w:t>Expense .............</w:t>
            </w:r>
          </w:p>
        </w:tc>
        <w:tc>
          <w:tcPr>
            <w:tcW w:w="19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1169"/>
              <w:spacing w:after="0"/>
              <w:rPr>
                <w:sz w:val="20"/>
                <w:szCs w:val="20"/>
                <w:color w:val="auto"/>
              </w:rPr>
            </w:pPr>
            <w:r>
              <w:rPr>
                <w:rFonts w:ascii="Courier New" w:cs="Courier New" w:eastAsia="Courier New" w:hAnsi="Courier New"/>
                <w:sz w:val="14"/>
                <w:szCs w:val="14"/>
                <w:color w:val="auto"/>
              </w:rPr>
              <w:t>(1)</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640" w:type="dxa"/>
            <w:vAlign w:val="bottom"/>
          </w:tcPr>
          <w:p>
            <w:pPr>
              <w:spacing w:after="0"/>
              <w:rPr>
                <w:sz w:val="20"/>
                <w:szCs w:val="20"/>
                <w:color w:val="auto"/>
              </w:rPr>
            </w:pPr>
            <w:r>
              <w:rPr>
                <w:rFonts w:ascii="Courier New" w:cs="Courier New" w:eastAsia="Courier New" w:hAnsi="Courier New"/>
                <w:sz w:val="14"/>
                <w:szCs w:val="14"/>
                <w:color w:val="auto"/>
              </w:rPr>
              <w:t>Pretax Income ................</w:t>
            </w:r>
          </w:p>
        </w:tc>
        <w:tc>
          <w:tcPr>
            <w:tcW w:w="3780" w:type="dxa"/>
            <w:vAlign w:val="bottom"/>
          </w:tcPr>
          <w:p>
            <w:pPr>
              <w:jc w:val="right"/>
              <w:spacing w:after="0"/>
              <w:rPr>
                <w:sz w:val="20"/>
                <w:szCs w:val="20"/>
                <w:color w:val="auto"/>
              </w:rPr>
            </w:pPr>
            <w:r>
              <w:rPr>
                <w:rFonts w:ascii="Courier New" w:cs="Courier New" w:eastAsia="Courier New" w:hAnsi="Courier New"/>
                <w:sz w:val="14"/>
                <w:szCs w:val="14"/>
                <w:color w:val="auto"/>
              </w:rPr>
              <w:t>$  1,476</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800" w:type="dxa"/>
            <w:vAlign w:val="bottom"/>
          </w:tcPr>
          <w:p>
            <w:pPr>
              <w:spacing w:after="0"/>
              <w:rPr>
                <w:sz w:val="20"/>
                <w:szCs w:val="20"/>
                <w:color w:val="auto"/>
              </w:rPr>
            </w:pPr>
            <w:r>
              <w:rPr>
                <w:rFonts w:ascii="Courier New" w:cs="Courier New" w:eastAsia="Courier New" w:hAnsi="Courier New"/>
                <w:sz w:val="14"/>
                <w:szCs w:val="14"/>
                <w:color w:val="auto"/>
              </w:rPr>
              <w:t>Segment Assets ...............</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6,897</w:t>
            </w:r>
          </w:p>
        </w:tc>
        <w:tc>
          <w:tcPr>
            <w:tcW w:w="14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  1,219</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1,088</w:t>
            </w:r>
          </w:p>
        </w:tc>
        <w:tc>
          <w:tcPr>
            <w:tcW w:w="5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  9,204</w:t>
            </w:r>
          </w:p>
        </w:tc>
      </w:tr>
      <w:tr>
        <w:trPr>
          <w:trHeight w:val="163"/>
        </w:trPr>
        <w:tc>
          <w:tcPr>
            <w:tcW w:w="2800" w:type="dxa"/>
            <w:vAlign w:val="bottom"/>
          </w:tcPr>
          <w:p>
            <w:pPr>
              <w:spacing w:after="0"/>
              <w:rPr>
                <w:sz w:val="20"/>
                <w:szCs w:val="20"/>
                <w:color w:val="auto"/>
              </w:rPr>
            </w:pPr>
            <w:r>
              <w:rPr>
                <w:rFonts w:ascii="Courier New" w:cs="Courier New" w:eastAsia="Courier New" w:hAnsi="Courier New"/>
                <w:sz w:val="14"/>
                <w:szCs w:val="14"/>
                <w:color w:val="auto"/>
              </w:rPr>
              <w:t>Corporate Assets .............</w:t>
            </w: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2,966</w:t>
            </w:r>
          </w:p>
        </w:tc>
      </w:tr>
      <w:tr>
        <w:trPr>
          <w:trHeight w:val="163"/>
        </w:trPr>
        <w:tc>
          <w:tcPr>
            <w:tcW w:w="2800" w:type="dxa"/>
            <w:vAlign w:val="bottom"/>
          </w:tcPr>
          <w:p>
            <w:pPr>
              <w:spacing w:after="0"/>
              <w:rPr>
                <w:sz w:val="20"/>
                <w:szCs w:val="20"/>
                <w:color w:val="auto"/>
              </w:rPr>
            </w:pPr>
            <w:r>
              <w:rPr>
                <w:rFonts w:ascii="Courier New" w:cs="Courier New" w:eastAsia="Courier New" w:hAnsi="Courier New"/>
                <w:sz w:val="14"/>
                <w:szCs w:val="14"/>
                <w:color w:val="auto"/>
              </w:rPr>
              <w:t>Discontinued Operations Assets</w:t>
            </w: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1,016</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Total Assets .................</w:t>
            </w: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1449"/>
              <w:spacing w:after="0"/>
              <w:rPr>
                <w:sz w:val="20"/>
                <w:szCs w:val="20"/>
                <w:color w:val="auto"/>
              </w:rPr>
            </w:pPr>
            <w:r>
              <w:rPr>
                <w:rFonts w:ascii="Courier New" w:cs="Courier New" w:eastAsia="Courier New" w:hAnsi="Courier New"/>
                <w:sz w:val="14"/>
                <w:szCs w:val="14"/>
                <w:color w:val="auto"/>
                <w:w w:val="95"/>
              </w:rPr>
              <w:t>13,186</w:t>
            </w:r>
          </w:p>
        </w:tc>
      </w:tr>
      <w:tr>
        <w:trPr>
          <w:trHeight w:val="163"/>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Depreciation/Amortization ....</w:t>
            </w: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774</w:t>
            </w: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93</w:t>
            </w:r>
          </w:p>
        </w:tc>
        <w:tc>
          <w:tcPr>
            <w:tcW w:w="6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44</w:t>
            </w: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13</w:t>
            </w: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1449"/>
              <w:spacing w:after="0"/>
              <w:rPr>
                <w:sz w:val="20"/>
                <w:szCs w:val="20"/>
                <w:color w:val="auto"/>
              </w:rPr>
            </w:pPr>
            <w:r>
              <w:rPr>
                <w:rFonts w:ascii="Courier New" w:cs="Courier New" w:eastAsia="Courier New" w:hAnsi="Courier New"/>
                <w:sz w:val="14"/>
                <w:szCs w:val="14"/>
                <w:color w:val="auto"/>
              </w:rPr>
              <w:t>924</w:t>
            </w:r>
          </w:p>
        </w:tc>
      </w:tr>
      <w:tr>
        <w:trPr>
          <w:trHeight w:val="163"/>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Capital Expenditures .........</w:t>
            </w: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1,261</w:t>
            </w: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67</w:t>
            </w:r>
          </w:p>
        </w:tc>
        <w:tc>
          <w:tcPr>
            <w:tcW w:w="6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63</w:t>
            </w: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13</w:t>
            </w: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1449"/>
              <w:spacing w:after="0"/>
              <w:rPr>
                <w:sz w:val="20"/>
                <w:szCs w:val="20"/>
                <w:color w:val="auto"/>
              </w:rPr>
            </w:pPr>
            <w:r>
              <w:rPr>
                <w:rFonts w:ascii="Courier New" w:cs="Courier New" w:eastAsia="Courier New" w:hAnsi="Courier New"/>
                <w:sz w:val="14"/>
                <w:szCs w:val="14"/>
                <w:color w:val="auto"/>
              </w:rPr>
              <w:t>1,404</w:t>
            </w:r>
          </w:p>
        </w:tc>
      </w:tr>
    </w:tbl>
    <w:p>
      <w:pPr>
        <w:spacing w:after="0" w:line="3" w:lineRule="exact"/>
        <w:rPr>
          <w:sz w:val="20"/>
          <w:szCs w:val="20"/>
          <w:color w:val="auto"/>
        </w:rPr>
      </w:pPr>
    </w:p>
    <w:p>
      <w:pPr>
        <w:ind w:left="180" w:hanging="173"/>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0" w:lineRule="exact"/>
        <w:rPr>
          <w:rFonts w:ascii="Courier New" w:cs="Courier New" w:eastAsia="Courier New" w:hAnsi="Courier New"/>
          <w:sz w:val="14"/>
          <w:szCs w:val="14"/>
          <w:color w:val="auto"/>
        </w:rPr>
      </w:pPr>
    </w:p>
    <w:p>
      <w:pPr>
        <w:ind w:left="3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17</w:t>
      </w:r>
    </w:p>
    <w:p>
      <w:pPr>
        <w:sectPr>
          <w:pgSz w:w="11900" w:h="16838" w:orient="portrait"/>
          <w:cols w:equalWidth="0" w:num="1">
            <w:col w:w="10940"/>
          </w:cols>
          <w:pgMar w:left="300" w:top="141" w:right="659"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Corporate assets largely comprise short-term and long-term investments.</w:t>
      </w:r>
    </w:p>
    <w:p>
      <w:pPr>
        <w:spacing w:after="0" w:line="168" w:lineRule="exact"/>
        <w:rPr>
          <w:sz w:val="20"/>
          <w:szCs w:val="20"/>
          <w:color w:val="auto"/>
        </w:rPr>
      </w:pPr>
    </w:p>
    <w:p>
      <w:pPr>
        <w:ind w:right="3459"/>
        <w:spacing w:after="0" w:line="248" w:lineRule="auto"/>
        <w:rPr>
          <w:sz w:val="20"/>
          <w:szCs w:val="20"/>
          <w:color w:val="auto"/>
        </w:rPr>
      </w:pPr>
      <w:r>
        <w:rPr>
          <w:rFonts w:ascii="Courier New" w:cs="Courier New" w:eastAsia="Courier New" w:hAnsi="Courier New"/>
          <w:sz w:val="14"/>
          <w:szCs w:val="14"/>
          <w:color w:val="auto"/>
        </w:rPr>
        <w:t>During the three years ended December 31, 1999, no single customer exceeded 10% of consolidated revenue.</w:t>
      </w:r>
    </w:p>
    <w:p>
      <w:pPr>
        <w:spacing w:after="0" w:line="161" w:lineRule="exact"/>
        <w:rPr>
          <w:sz w:val="20"/>
          <w:szCs w:val="20"/>
          <w:color w:val="auto"/>
        </w:rPr>
      </w:pPr>
    </w:p>
    <w:p>
      <w:pPr>
        <w:ind w:right="3879"/>
        <w:spacing w:after="0" w:line="248" w:lineRule="auto"/>
        <w:rPr>
          <w:sz w:val="20"/>
          <w:szCs w:val="20"/>
          <w:color w:val="auto"/>
        </w:rPr>
      </w:pPr>
      <w:r>
        <w:rPr>
          <w:rFonts w:ascii="Courier New" w:cs="Courier New" w:eastAsia="Courier New" w:hAnsi="Courier New"/>
          <w:sz w:val="14"/>
          <w:szCs w:val="14"/>
          <w:color w:val="auto"/>
        </w:rPr>
        <w:t>The accounting policies of the segments are the same as those described in Summary of Accounting Policies.</w:t>
      </w:r>
    </w:p>
    <w:p>
      <w:pPr>
        <w:spacing w:after="0" w:line="161" w:lineRule="exact"/>
        <w:rPr>
          <w:sz w:val="20"/>
          <w:szCs w:val="20"/>
          <w:color w:val="auto"/>
        </w:rPr>
      </w:pPr>
    </w:p>
    <w:p>
      <w:pPr>
        <w:ind w:right="4039"/>
        <w:spacing w:after="0" w:line="247" w:lineRule="auto"/>
        <w:rPr>
          <w:sz w:val="20"/>
          <w:szCs w:val="20"/>
          <w:color w:val="auto"/>
        </w:rPr>
      </w:pPr>
      <w:r>
        <w:rPr>
          <w:rFonts w:ascii="Courier New" w:cs="Courier New" w:eastAsia="Courier New" w:hAnsi="Courier New"/>
          <w:sz w:val="14"/>
          <w:szCs w:val="14"/>
          <w:color w:val="auto"/>
        </w:rPr>
        <w:t>Oilfield Services' net income eliminations include: certain headquarters administrative costs which are not allocated geographically, goodwill amortization, and certain costs maintained at the OFS level.</w:t>
      </w:r>
    </w:p>
    <w:p>
      <w:pPr>
        <w:spacing w:after="0" w:line="163"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Nonoperating expenses, such as certain intersegment charges and interest expense (except as shown above), are not included in segment operating income.</w:t>
      </w:r>
    </w:p>
    <w:p>
      <w:pPr>
        <w:spacing w:after="0" w:line="161" w:lineRule="exact"/>
        <w:rPr>
          <w:sz w:val="20"/>
          <w:szCs w:val="20"/>
          <w:color w:val="auto"/>
        </w:rPr>
      </w:pPr>
    </w:p>
    <w:p>
      <w:pPr>
        <w:jc w:val="both"/>
        <w:ind w:right="3459"/>
        <w:spacing w:after="0" w:line="247" w:lineRule="auto"/>
        <w:rPr>
          <w:sz w:val="20"/>
          <w:szCs w:val="20"/>
          <w:color w:val="auto"/>
        </w:rPr>
      </w:pPr>
      <w:r>
        <w:rPr>
          <w:rFonts w:ascii="Courier New" w:cs="Courier New" w:eastAsia="Courier New" w:hAnsi="Courier New"/>
          <w:sz w:val="14"/>
          <w:szCs w:val="14"/>
          <w:color w:val="auto"/>
        </w:rPr>
        <w:t>Schlumberger did not have revenue from third-party customers in its country of domicile during the last three years. In each of the three years, only revenue in the US exceeded 10% of consolidated revenue. Revenue in the US in 1999, 1998 and 1997 was $2.5 billion, $3.4 billion and $3.5 billion,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and Other Benefit Plans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Pension Plans</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Schlumberger and its US subsidiary sponsor several defined benefit pension plans that cover substantially all employees. The benefits are based on years of service and compensation on a career-average pay basis. These plans are fully funded with a trustee in respect to past and current service. Charges to expense are based upon costs computed by independent actuaries. The funding policy is to annually contribute amounts that are allowable for federal income tax purposes. These contributions are intended to provide for benefits earned to date and those expected to be earned in the future.</w:t>
      </w:r>
    </w:p>
    <w:p>
      <w:pPr>
        <w:spacing w:after="0" w:line="16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The assumed discount rate, compensation increases and return on plan assets used to determine pension expense in 1999 were 7%, 4.5% and 9%, respectively. In 1998, the assumptions were 7.5%, 4.5% and 9%, respectively. In 1997, the assumptions were 8%, 4.5% and 8.5%, respectively.</w:t>
      </w:r>
    </w:p>
    <w:p>
      <w:pPr>
        <w:spacing w:after="0" w:line="162" w:lineRule="exact"/>
        <w:rPr>
          <w:sz w:val="20"/>
          <w:szCs w:val="20"/>
          <w:color w:val="auto"/>
        </w:rPr>
      </w:pPr>
    </w:p>
    <w:p>
      <w:pPr>
        <w:ind w:right="3879"/>
        <w:spacing w:after="0" w:line="248" w:lineRule="auto"/>
        <w:rPr>
          <w:sz w:val="20"/>
          <w:szCs w:val="20"/>
          <w:color w:val="auto"/>
        </w:rPr>
      </w:pPr>
      <w:r>
        <w:rPr>
          <w:rFonts w:ascii="Courier New" w:cs="Courier New" w:eastAsia="Courier New" w:hAnsi="Courier New"/>
          <w:sz w:val="14"/>
          <w:szCs w:val="14"/>
          <w:color w:val="auto"/>
        </w:rPr>
        <w:t>Net pension cost in the US for 1999, 1998 and 1997, included the following components: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3440" w:type="dxa"/>
            <w:vAlign w:val="bottom"/>
            <w:gridSpan w:val="3"/>
          </w:tcPr>
          <w:p>
            <w:pPr>
              <w:jc w:val="right"/>
              <w:ind w:right="369"/>
              <w:spacing w:after="0"/>
              <w:rPr>
                <w:sz w:val="20"/>
                <w:szCs w:val="20"/>
                <w:color w:val="auto"/>
              </w:rPr>
            </w:pPr>
            <w:r>
              <w:rPr>
                <w:rFonts w:ascii="Courier New" w:cs="Courier New" w:eastAsia="Courier New" w:hAnsi="Courier New"/>
                <w:sz w:val="14"/>
                <w:szCs w:val="14"/>
                <w:color w:val="auto"/>
              </w:rPr>
              <w:t>(Stated in millions)</w:t>
            </w:r>
          </w:p>
        </w:tc>
      </w:tr>
      <w:tr>
        <w:trPr>
          <w:trHeight w:val="163"/>
        </w:trPr>
        <w:tc>
          <w:tcPr>
            <w:tcW w:w="3360" w:type="dxa"/>
            <w:vAlign w:val="bottom"/>
          </w:tcPr>
          <w:p>
            <w:pPr>
              <w:spacing w:after="0"/>
              <w:rPr>
                <w:sz w:val="14"/>
                <w:szCs w:val="14"/>
                <w:color w:val="auto"/>
              </w:rPr>
            </w:pPr>
          </w:p>
        </w:tc>
        <w:tc>
          <w:tcPr>
            <w:tcW w:w="16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1999</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3360" w:type="dxa"/>
            <w:vAlign w:val="bottom"/>
          </w:tcPr>
          <w:p>
            <w:pPr>
              <w:spacing w:after="0"/>
              <w:rPr>
                <w:sz w:val="14"/>
                <w:szCs w:val="14"/>
                <w:color w:val="auto"/>
              </w:rPr>
            </w:pPr>
          </w:p>
        </w:tc>
        <w:tc>
          <w:tcPr>
            <w:tcW w:w="16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Service cost-benefits</w:t>
            </w: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earned during the period</w:t>
            </w:r>
          </w:p>
        </w:tc>
        <w:tc>
          <w:tcPr>
            <w:tcW w:w="16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$ 45</w:t>
            </w: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$ 39</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$ 33</w:t>
            </w: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Interest cost on projected</w:t>
            </w: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benefit obligation</w:t>
            </w:r>
          </w:p>
        </w:tc>
        <w:tc>
          <w:tcPr>
            <w:tcW w:w="16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73</w:t>
            </w: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68</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61</w:t>
            </w: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(actual return: 1999-$211;</w:t>
            </w: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1998-$167; 1997-$165)</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(86)</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transition asset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Amortization of prior</w:t>
            </w: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service cost/other</w:t>
            </w:r>
          </w:p>
        </w:tc>
        <w:tc>
          <w:tcPr>
            <w:tcW w:w="16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6</w:t>
            </w: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w:t>
            </w:r>
          </w:p>
        </w:tc>
      </w:tr>
      <w:tr>
        <w:trPr>
          <w:trHeight w:val="163"/>
        </w:trPr>
        <w:tc>
          <w:tcPr>
            <w:tcW w:w="3360" w:type="dxa"/>
            <w:vAlign w:val="bottom"/>
          </w:tcPr>
          <w:p>
            <w:pPr>
              <w:spacing w:after="0"/>
              <w:rPr>
                <w:sz w:val="14"/>
                <w:szCs w:val="14"/>
                <w:color w:val="auto"/>
              </w:rPr>
            </w:pPr>
          </w:p>
        </w:tc>
        <w:tc>
          <w:tcPr>
            <w:tcW w:w="16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pension cost</w:t>
            </w:r>
          </w:p>
        </w:tc>
        <w:tc>
          <w:tcPr>
            <w:tcW w:w="16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$ 36</w:t>
            </w: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$ 31</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$ 33</w:t>
            </w:r>
          </w:p>
        </w:tc>
      </w:tr>
      <w:tr>
        <w:trPr>
          <w:trHeight w:val="163"/>
        </w:trPr>
        <w:tc>
          <w:tcPr>
            <w:tcW w:w="3360" w:type="dxa"/>
            <w:vAlign w:val="bottom"/>
          </w:tcPr>
          <w:p>
            <w:pPr>
              <w:spacing w:after="0"/>
              <w:rPr>
                <w:sz w:val="14"/>
                <w:szCs w:val="14"/>
                <w:color w:val="auto"/>
              </w:rPr>
            </w:pPr>
          </w:p>
        </w:tc>
        <w:tc>
          <w:tcPr>
            <w:tcW w:w="16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Effective January 1, 1998, Schlumberger and its subsidiaries amended their pension plans to improve retirement benefits for retired employees. The funded status on December 31, 1997, reflects the amendment.</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609" w:right="1440" w:bottom="1440" w:gutter="0" w:footer="0" w:header="0"/>
        </w:sectPr>
      </w:pPr>
    </w:p>
    <w:bookmarkStart w:id="42" w:name="page43"/>
    <w:bookmarkEnd w:id="42"/>
    <w:p>
      <w:pPr>
        <w:ind w:right="3359"/>
        <w:spacing w:after="0" w:line="248" w:lineRule="auto"/>
        <w:rPr>
          <w:sz w:val="20"/>
          <w:szCs w:val="20"/>
          <w:color w:val="auto"/>
        </w:rPr>
      </w:pPr>
      <w:r>
        <w:rPr>
          <w:rFonts w:ascii="Courier New" w:cs="Courier New" w:eastAsia="Courier New" w:hAnsi="Courier New"/>
          <w:sz w:val="14"/>
          <w:szCs w:val="14"/>
          <w:color w:val="auto"/>
        </w:rPr>
        <w:t>The change in the projected benefit obligation, plan assets and funded status of the plans on December 31, 1999 and 1998, was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5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060" w:type="dxa"/>
            <w:vAlign w:val="bottom"/>
            <w:gridSpan w:val="3"/>
          </w:tcPr>
          <w:p>
            <w:pPr>
              <w:jc w:val="right"/>
              <w:ind w:right="109"/>
              <w:spacing w:after="0"/>
              <w:rPr>
                <w:sz w:val="20"/>
                <w:szCs w:val="20"/>
                <w:color w:val="auto"/>
              </w:rPr>
            </w:pPr>
            <w:r>
              <w:rPr>
                <w:rFonts w:ascii="Courier New" w:cs="Courier New" w:eastAsia="Courier New" w:hAnsi="Courier New"/>
                <w:sz w:val="14"/>
                <w:szCs w:val="14"/>
                <w:color w:val="auto"/>
              </w:rPr>
              <w:t>(Stated in millions)</w:t>
            </w:r>
          </w:p>
        </w:tc>
      </w:tr>
      <w:tr>
        <w:trPr>
          <w:trHeight w:val="163"/>
        </w:trPr>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1999</w:t>
            </w:r>
          </w:p>
        </w:tc>
        <w:tc>
          <w:tcPr>
            <w:tcW w:w="420" w:type="dxa"/>
            <w:vAlign w:val="bottom"/>
          </w:tcPr>
          <w:p>
            <w:pPr>
              <w:spacing w:after="0"/>
              <w:rPr>
                <w:sz w:val="14"/>
                <w:szCs w:val="14"/>
                <w:color w:val="auto"/>
              </w:rPr>
            </w:pP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w:t>
            </w:r>
          </w:p>
        </w:tc>
      </w:tr>
      <w:tr>
        <w:trPr>
          <w:trHeight w:val="163"/>
        </w:trPr>
        <w:tc>
          <w:tcPr>
            <w:tcW w:w="1540" w:type="dxa"/>
            <w:vAlign w:val="bottom"/>
          </w:tcPr>
          <w:p>
            <w:pPr>
              <w:spacing w:after="0"/>
              <w:rPr>
                <w:sz w:val="20"/>
                <w:szCs w:val="20"/>
                <w:color w:val="auto"/>
              </w:rPr>
            </w:pPr>
            <w:r>
              <w:rPr>
                <w:rFonts w:ascii="Courier New" w:cs="Courier New" w:eastAsia="Courier New" w:hAnsi="Courier New"/>
                <w:sz w:val="14"/>
                <w:szCs w:val="14"/>
                <w:color w:val="auto"/>
              </w:rPr>
              <w:t>Projected benefit</w:t>
            </w:r>
          </w:p>
        </w:tc>
        <w:tc>
          <w:tcPr>
            <w:tcW w:w="2200" w:type="dxa"/>
            <w:vAlign w:val="bottom"/>
          </w:tcPr>
          <w:p>
            <w:pPr>
              <w:ind w:left="80"/>
              <w:spacing w:after="0"/>
              <w:rPr>
                <w:sz w:val="20"/>
                <w:szCs w:val="20"/>
                <w:color w:val="auto"/>
              </w:rPr>
            </w:pPr>
            <w:r>
              <w:rPr>
                <w:rFonts w:ascii="Courier New" w:cs="Courier New" w:eastAsia="Courier New" w:hAnsi="Courier New"/>
                <w:sz w:val="14"/>
                <w:szCs w:val="14"/>
                <w:color w:val="auto"/>
              </w:rPr>
              <w:t>obligation</w:t>
            </w:r>
          </w:p>
        </w:tc>
        <w:tc>
          <w:tcPr>
            <w:tcW w:w="2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3"/>
        </w:trPr>
        <w:tc>
          <w:tcPr>
            <w:tcW w:w="37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at beginning of the year</w:t>
            </w:r>
          </w:p>
        </w:tc>
        <w:tc>
          <w:tcPr>
            <w:tcW w:w="20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$ 1,060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906</w:t>
            </w:r>
          </w:p>
        </w:tc>
      </w:tr>
      <w:tr>
        <w:trPr>
          <w:trHeight w:val="163"/>
        </w:trPr>
        <w:tc>
          <w:tcPr>
            <w:tcW w:w="154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2200" w:type="dxa"/>
            <w:vAlign w:val="bottom"/>
          </w:tcPr>
          <w:p>
            <w:pPr>
              <w:spacing w:after="0"/>
              <w:rPr>
                <w:sz w:val="14"/>
                <w:szCs w:val="14"/>
                <w:color w:val="auto"/>
              </w:rPr>
            </w:pPr>
          </w:p>
        </w:tc>
        <w:tc>
          <w:tcPr>
            <w:tcW w:w="20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45</w:t>
            </w:r>
          </w:p>
        </w:tc>
        <w:tc>
          <w:tcPr>
            <w:tcW w:w="42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39</w:t>
            </w:r>
          </w:p>
        </w:tc>
      </w:tr>
      <w:tr>
        <w:trPr>
          <w:trHeight w:val="163"/>
        </w:trPr>
        <w:tc>
          <w:tcPr>
            <w:tcW w:w="154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2200" w:type="dxa"/>
            <w:vAlign w:val="bottom"/>
          </w:tcPr>
          <w:p>
            <w:pPr>
              <w:spacing w:after="0"/>
              <w:rPr>
                <w:sz w:val="14"/>
                <w:szCs w:val="14"/>
                <w:color w:val="auto"/>
              </w:rPr>
            </w:pPr>
          </w:p>
        </w:tc>
        <w:tc>
          <w:tcPr>
            <w:tcW w:w="20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73</w:t>
            </w:r>
          </w:p>
        </w:tc>
        <w:tc>
          <w:tcPr>
            <w:tcW w:w="42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68</w:t>
            </w:r>
          </w:p>
        </w:tc>
      </w:tr>
      <w:tr>
        <w:trPr>
          <w:trHeight w:val="163"/>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Actuarial (gains) losses</w:t>
            </w:r>
          </w:p>
        </w:tc>
        <w:tc>
          <w:tcPr>
            <w:tcW w:w="2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(70)</w:t>
            </w:r>
          </w:p>
        </w:tc>
        <w:tc>
          <w:tcPr>
            <w:tcW w:w="42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86</w:t>
            </w:r>
          </w:p>
        </w:tc>
      </w:tr>
      <w:tr>
        <w:trPr>
          <w:trHeight w:val="163"/>
        </w:trPr>
        <w:tc>
          <w:tcPr>
            <w:tcW w:w="154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2200" w:type="dxa"/>
            <w:vAlign w:val="bottom"/>
          </w:tcPr>
          <w:p>
            <w:pPr>
              <w:spacing w:after="0"/>
              <w:rPr>
                <w:sz w:val="14"/>
                <w:szCs w:val="14"/>
                <w:color w:val="auto"/>
              </w:rPr>
            </w:pPr>
          </w:p>
        </w:tc>
        <w:tc>
          <w:tcPr>
            <w:tcW w:w="2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(56)</w:t>
            </w: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3"/>
        </w:trPr>
        <w:tc>
          <w:tcPr>
            <w:tcW w:w="1540" w:type="dxa"/>
            <w:vAlign w:val="bottom"/>
          </w:tcPr>
          <w:p>
            <w:pPr>
              <w:spacing w:after="0"/>
              <w:rPr>
                <w:sz w:val="20"/>
                <w:szCs w:val="20"/>
                <w:color w:val="auto"/>
              </w:rPr>
            </w:pPr>
            <w:r>
              <w:rPr>
                <w:rFonts w:ascii="Courier New" w:cs="Courier New" w:eastAsia="Courier New" w:hAnsi="Courier New"/>
                <w:sz w:val="14"/>
                <w:szCs w:val="14"/>
                <w:color w:val="auto"/>
              </w:rPr>
              <w:t>Amendments</w:t>
            </w:r>
          </w:p>
        </w:tc>
        <w:tc>
          <w:tcPr>
            <w:tcW w:w="2200" w:type="dxa"/>
            <w:vAlign w:val="bottom"/>
          </w:tcPr>
          <w:p>
            <w:pPr>
              <w:spacing w:after="0"/>
              <w:rPr>
                <w:sz w:val="14"/>
                <w:szCs w:val="14"/>
                <w:color w:val="auto"/>
              </w:rPr>
            </w:pPr>
          </w:p>
        </w:tc>
        <w:tc>
          <w:tcPr>
            <w:tcW w:w="20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w:t>
            </w:r>
          </w:p>
        </w:tc>
      </w:tr>
      <w:tr>
        <w:trPr>
          <w:trHeight w:val="163"/>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Special termination benefits</w:t>
            </w:r>
          </w:p>
        </w:tc>
        <w:tc>
          <w:tcPr>
            <w:tcW w:w="20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w:t>
            </w:r>
          </w:p>
        </w:tc>
      </w:tr>
      <w:tr>
        <w:trPr>
          <w:trHeight w:val="163"/>
        </w:trPr>
        <w:tc>
          <w:tcPr>
            <w:tcW w:w="15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200" w:type="dxa"/>
            <w:vAlign w:val="bottom"/>
          </w:tcPr>
          <w:p>
            <w:pPr>
              <w:spacing w:after="0"/>
              <w:rPr>
                <w:sz w:val="14"/>
                <w:szCs w:val="14"/>
                <w:color w:val="auto"/>
              </w:rPr>
            </w:pPr>
          </w:p>
        </w:tc>
        <w:tc>
          <w:tcPr>
            <w:tcW w:w="20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3"/>
        </w:trPr>
        <w:tc>
          <w:tcPr>
            <w:tcW w:w="1540" w:type="dxa"/>
            <w:vAlign w:val="bottom"/>
          </w:tcPr>
          <w:p>
            <w:pPr>
              <w:spacing w:after="0"/>
              <w:rPr>
                <w:sz w:val="20"/>
                <w:szCs w:val="20"/>
                <w:color w:val="auto"/>
              </w:rPr>
            </w:pPr>
            <w:r>
              <w:rPr>
                <w:rFonts w:ascii="Courier New" w:cs="Courier New" w:eastAsia="Courier New" w:hAnsi="Courier New"/>
                <w:sz w:val="14"/>
                <w:szCs w:val="14"/>
                <w:color w:val="auto"/>
              </w:rPr>
              <w:t>Projected benefit</w:t>
            </w:r>
          </w:p>
        </w:tc>
        <w:tc>
          <w:tcPr>
            <w:tcW w:w="2200" w:type="dxa"/>
            <w:vAlign w:val="bottom"/>
          </w:tcPr>
          <w:p>
            <w:pPr>
              <w:ind w:left="80"/>
              <w:spacing w:after="0"/>
              <w:rPr>
                <w:sz w:val="20"/>
                <w:szCs w:val="20"/>
                <w:color w:val="auto"/>
              </w:rPr>
            </w:pPr>
            <w:r>
              <w:rPr>
                <w:rFonts w:ascii="Courier New" w:cs="Courier New" w:eastAsia="Courier New" w:hAnsi="Courier New"/>
                <w:sz w:val="14"/>
                <w:szCs w:val="14"/>
                <w:color w:val="auto"/>
              </w:rPr>
              <w:t>obligation</w:t>
            </w:r>
          </w:p>
        </w:tc>
        <w:tc>
          <w:tcPr>
            <w:tcW w:w="20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37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at end of the year</w:t>
            </w:r>
          </w:p>
        </w:tc>
        <w:tc>
          <w:tcPr>
            <w:tcW w:w="20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$ 1,052</w:t>
            </w:r>
          </w:p>
        </w:tc>
        <w:tc>
          <w:tcPr>
            <w:tcW w:w="10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$ 1,060</w:t>
            </w:r>
          </w:p>
        </w:tc>
      </w:tr>
      <w:tr>
        <w:trPr>
          <w:trHeight w:val="163"/>
        </w:trPr>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326"/>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Plan assets at market value</w:t>
            </w:r>
          </w:p>
        </w:tc>
        <w:tc>
          <w:tcPr>
            <w:tcW w:w="2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3"/>
        </w:trPr>
        <w:tc>
          <w:tcPr>
            <w:tcW w:w="37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at beginning of the year</w:t>
            </w:r>
          </w:p>
        </w:tc>
        <w:tc>
          <w:tcPr>
            <w:tcW w:w="20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$ 1,119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978</w:t>
            </w:r>
          </w:p>
        </w:tc>
      </w:tr>
      <w:tr>
        <w:trPr>
          <w:trHeight w:val="163"/>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Actual return on plan assets</w:t>
            </w:r>
          </w:p>
        </w:tc>
        <w:tc>
          <w:tcPr>
            <w:tcW w:w="20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211</w:t>
            </w:r>
          </w:p>
        </w:tc>
        <w:tc>
          <w:tcPr>
            <w:tcW w:w="42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167</w:t>
            </w:r>
          </w:p>
        </w:tc>
      </w:tr>
      <w:tr>
        <w:trPr>
          <w:trHeight w:val="163"/>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Employer contribution</w:t>
            </w:r>
          </w:p>
        </w:tc>
        <w:tc>
          <w:tcPr>
            <w:tcW w:w="20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w:t>
            </w:r>
          </w:p>
        </w:tc>
        <w:tc>
          <w:tcPr>
            <w:tcW w:w="42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20</w:t>
            </w:r>
          </w:p>
        </w:tc>
      </w:tr>
      <w:tr>
        <w:trPr>
          <w:trHeight w:val="163"/>
        </w:trPr>
        <w:tc>
          <w:tcPr>
            <w:tcW w:w="154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2200" w:type="dxa"/>
            <w:vAlign w:val="bottom"/>
          </w:tcPr>
          <w:p>
            <w:pPr>
              <w:spacing w:after="0"/>
              <w:rPr>
                <w:sz w:val="14"/>
                <w:szCs w:val="14"/>
                <w:color w:val="auto"/>
              </w:rPr>
            </w:pPr>
          </w:p>
        </w:tc>
        <w:tc>
          <w:tcPr>
            <w:tcW w:w="2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(56)</w:t>
            </w: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3"/>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Plan assets at market value</w:t>
            </w:r>
          </w:p>
        </w:tc>
        <w:tc>
          <w:tcPr>
            <w:tcW w:w="20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37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at end of the year</w:t>
            </w:r>
          </w:p>
        </w:tc>
        <w:tc>
          <w:tcPr>
            <w:tcW w:w="20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$ 1,276</w:t>
            </w:r>
          </w:p>
        </w:tc>
        <w:tc>
          <w:tcPr>
            <w:tcW w:w="10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$ 1,119</w:t>
            </w:r>
          </w:p>
        </w:tc>
      </w:tr>
      <w:tr>
        <w:trPr>
          <w:trHeight w:val="163"/>
        </w:trPr>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Excess of assets over</w:t>
            </w:r>
          </w:p>
        </w:tc>
        <w:tc>
          <w:tcPr>
            <w:tcW w:w="2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3"/>
        </w:trPr>
        <w:tc>
          <w:tcPr>
            <w:tcW w:w="37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projected benefit  obligation</w:t>
            </w:r>
          </w:p>
        </w:tc>
        <w:tc>
          <w:tcPr>
            <w:tcW w:w="20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224</w:t>
            </w:r>
          </w:p>
        </w:tc>
        <w:tc>
          <w:tcPr>
            <w:tcW w:w="42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59</w:t>
            </w:r>
          </w:p>
        </w:tc>
      </w:tr>
      <w:tr>
        <w:trPr>
          <w:trHeight w:val="163"/>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Unrecognized net gain</w:t>
            </w:r>
          </w:p>
        </w:tc>
        <w:tc>
          <w:tcPr>
            <w:tcW w:w="2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(395)</w:t>
            </w: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(198)</w:t>
            </w:r>
          </w:p>
        </w:tc>
      </w:tr>
      <w:tr>
        <w:trPr>
          <w:trHeight w:val="163"/>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Unrecognized prior service cost</w:t>
            </w:r>
          </w:p>
        </w:tc>
        <w:tc>
          <w:tcPr>
            <w:tcW w:w="20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44</w:t>
            </w:r>
          </w:p>
        </w:tc>
        <w:tc>
          <w:tcPr>
            <w:tcW w:w="42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50</w:t>
            </w:r>
          </w:p>
        </w:tc>
      </w:tr>
      <w:tr>
        <w:trPr>
          <w:trHeight w:val="163"/>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Unrecognized net asset</w:t>
            </w:r>
          </w:p>
        </w:tc>
        <w:tc>
          <w:tcPr>
            <w:tcW w:w="2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3"/>
        </w:trPr>
        <w:tc>
          <w:tcPr>
            <w:tcW w:w="37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at transition date</w:t>
            </w:r>
          </w:p>
        </w:tc>
        <w:tc>
          <w:tcPr>
            <w:tcW w:w="2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w:t>
            </w: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3"/>
        </w:trPr>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1540" w:type="dxa"/>
            <w:vAlign w:val="bottom"/>
          </w:tcPr>
          <w:p>
            <w:pPr>
              <w:spacing w:after="0"/>
              <w:rPr>
                <w:sz w:val="20"/>
                <w:szCs w:val="20"/>
                <w:color w:val="auto"/>
              </w:rPr>
            </w:pPr>
            <w:r>
              <w:rPr>
                <w:rFonts w:ascii="Courier New" w:cs="Courier New" w:eastAsia="Courier New" w:hAnsi="Courier New"/>
                <w:sz w:val="14"/>
                <w:szCs w:val="14"/>
                <w:color w:val="auto"/>
              </w:rPr>
              <w:t>Pension liability</w:t>
            </w:r>
          </w:p>
        </w:tc>
        <w:tc>
          <w:tcPr>
            <w:tcW w:w="2200" w:type="dxa"/>
            <w:vAlign w:val="bottom"/>
          </w:tcPr>
          <w:p>
            <w:pPr>
              <w:spacing w:after="0"/>
              <w:rPr>
                <w:sz w:val="14"/>
                <w:szCs w:val="14"/>
                <w:color w:val="auto"/>
              </w:rPr>
            </w:pPr>
          </w:p>
        </w:tc>
        <w:tc>
          <w:tcPr>
            <w:tcW w:w="2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(129)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r>
      <w:tr>
        <w:trPr>
          <w:trHeight w:val="163"/>
        </w:trPr>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The assumed discount rate, the rate of compensation increases and the expected long-term rate of return on plan assets used to determine the projected benefit obligations were 7.75%, 4.5% and 9%, respectively, in 1999, and 7%, 4.5% and 9% respectively, in 1998. Plan assets on December 31, 1999, consisted of common stocks ($843 million), cash or cash equivalents ($152 million), fixed income investments ($197 million) and other investments ($84 million). Less than 1% of the plan assets on December 31, 1999, were represented by Schlumberger common stock.</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Non-US Pension Plans</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Outside the US, subsidiaries of Schlumberger sponsor several defined benefit and defined contribution plans that cover substantially all employees who are not covered by statutory plans. For defined benefit plans, charges to expense are based upon costs computed by independent actuaries. These plans are substantially fully funded with trustees in respect to past and current service. For all defined benefit plans, pension expense was $19 million, $17 million and $15 million in 1999, 1998 and 1997, respectively. The only significant defined benefit plan is in the UK.</w:t>
      </w:r>
    </w:p>
    <w:p>
      <w:pPr>
        <w:spacing w:after="0" w:line="16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The assumed discount rate, compensation increases and return on plan assets used to determine pension expense in 1999 were 7%, 4% and 9%, respectively. In 1998, the assumptions were 7.5%, 5% and 9%, respectively. In 1997, the assumptions were 8%, 5% and 8.5%, respectively.</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59"/>
          </w:cols>
          <w:pgMar w:left="300" w:top="609" w:right="1440" w:bottom="1440" w:gutter="0" w:footer="0" w:header="0"/>
        </w:sectPr>
      </w:pPr>
    </w:p>
    <w:bookmarkStart w:id="43" w:name="page44"/>
    <w:bookmarkEnd w:id="43"/>
    <w:p>
      <w:pPr>
        <w:ind w:right="3619"/>
        <w:spacing w:after="0" w:line="247" w:lineRule="auto"/>
        <w:rPr>
          <w:sz w:val="20"/>
          <w:szCs w:val="20"/>
          <w:color w:val="auto"/>
        </w:rPr>
      </w:pPr>
      <w:r>
        <w:rPr>
          <w:rFonts w:ascii="Courier New" w:cs="Courier New" w:eastAsia="Courier New" w:hAnsi="Courier New"/>
          <w:sz w:val="14"/>
          <w:szCs w:val="14"/>
          <w:color w:val="auto"/>
        </w:rPr>
        <w:t>Net pension cost in the UK plan for 1999, 1998 and 1997 (translated into US dollars at the average exchange rate for the periods), included the following components: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(Stated in millions)</w:t>
            </w:r>
          </w:p>
        </w:tc>
        <w:tc>
          <w:tcPr>
            <w:tcW w:w="520" w:type="dxa"/>
            <w:vAlign w:val="bottom"/>
          </w:tcPr>
          <w:p>
            <w:pPr>
              <w:spacing w:after="0"/>
              <w:rPr>
                <w:sz w:val="13"/>
                <w:szCs w:val="13"/>
                <w:color w:val="auto"/>
              </w:rPr>
            </w:pPr>
          </w:p>
        </w:tc>
      </w:tr>
      <w:tr>
        <w:trPr>
          <w:trHeight w:val="163"/>
        </w:trPr>
        <w:tc>
          <w:tcPr>
            <w:tcW w:w="3360" w:type="dxa"/>
            <w:vAlign w:val="bottom"/>
          </w:tcPr>
          <w:p>
            <w:pPr>
              <w:spacing w:after="0"/>
              <w:rPr>
                <w:sz w:val="14"/>
                <w:szCs w:val="14"/>
                <w:color w:val="auto"/>
              </w:rPr>
            </w:pPr>
          </w:p>
        </w:tc>
        <w:tc>
          <w:tcPr>
            <w:tcW w:w="17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1999</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1998</w:t>
            </w:r>
          </w:p>
        </w:tc>
        <w:tc>
          <w:tcPr>
            <w:tcW w:w="5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3360" w:type="dxa"/>
            <w:vAlign w:val="bottom"/>
          </w:tcPr>
          <w:p>
            <w:pPr>
              <w:spacing w:after="0"/>
              <w:rPr>
                <w:sz w:val="14"/>
                <w:szCs w:val="14"/>
                <w:color w:val="auto"/>
              </w:rPr>
            </w:pPr>
          </w:p>
        </w:tc>
        <w:tc>
          <w:tcPr>
            <w:tcW w:w="17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2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Service cost-benefits</w:t>
            </w:r>
          </w:p>
        </w:tc>
        <w:tc>
          <w:tcPr>
            <w:tcW w:w="1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3"/>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earned during the period</w:t>
            </w:r>
          </w:p>
        </w:tc>
        <w:tc>
          <w:tcPr>
            <w:tcW w:w="17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$ 22</w:t>
            </w:r>
          </w:p>
        </w:tc>
        <w:tc>
          <w:tcPr>
            <w:tcW w:w="12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$ 18</w:t>
            </w:r>
          </w:p>
        </w:tc>
        <w:tc>
          <w:tcPr>
            <w:tcW w:w="5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$ 16</w:t>
            </w: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Interest cost on projected</w:t>
            </w:r>
          </w:p>
        </w:tc>
        <w:tc>
          <w:tcPr>
            <w:tcW w:w="1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3"/>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benefit obligation</w:t>
            </w:r>
          </w:p>
        </w:tc>
        <w:tc>
          <w:tcPr>
            <w:tcW w:w="17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15</w:t>
            </w:r>
          </w:p>
        </w:tc>
        <w:tc>
          <w:tcPr>
            <w:tcW w:w="12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18</w:t>
            </w:r>
          </w:p>
        </w:tc>
        <w:tc>
          <w:tcPr>
            <w:tcW w:w="5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15</w:t>
            </w: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1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3"/>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(actual return: 1999-$96;</w:t>
            </w:r>
          </w:p>
        </w:tc>
        <w:tc>
          <w:tcPr>
            <w:tcW w:w="1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3"/>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1998-$22; 1997-$28)</w:t>
            </w:r>
          </w:p>
        </w:tc>
        <w:tc>
          <w:tcPr>
            <w:tcW w:w="17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(33)</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(30)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Amortization of transition</w:t>
            </w:r>
          </w:p>
        </w:tc>
        <w:tc>
          <w:tcPr>
            <w:tcW w:w="1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3"/>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asset and other</w:t>
            </w:r>
          </w:p>
        </w:tc>
        <w:tc>
          <w:tcPr>
            <w:tcW w:w="17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3"/>
        </w:trPr>
        <w:tc>
          <w:tcPr>
            <w:tcW w:w="3360" w:type="dxa"/>
            <w:vAlign w:val="bottom"/>
          </w:tcPr>
          <w:p>
            <w:pPr>
              <w:spacing w:after="0"/>
              <w:rPr>
                <w:sz w:val="14"/>
                <w:szCs w:val="14"/>
                <w:color w:val="auto"/>
              </w:rPr>
            </w:pPr>
          </w:p>
        </w:tc>
        <w:tc>
          <w:tcPr>
            <w:tcW w:w="17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pension cost</w:t>
            </w:r>
          </w:p>
        </w:tc>
        <w:tc>
          <w:tcPr>
            <w:tcW w:w="17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(2)</w:t>
            </w:r>
          </w:p>
        </w:tc>
        <w:tc>
          <w:tcPr>
            <w:tcW w:w="1220" w:type="dxa"/>
            <w:vAlign w:val="bottom"/>
          </w:tcPr>
          <w:p>
            <w:pPr>
              <w:ind w:left="2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1</w:t>
            </w:r>
          </w:p>
        </w:tc>
      </w:tr>
      <w:tr>
        <w:trPr>
          <w:trHeight w:val="163"/>
        </w:trPr>
        <w:tc>
          <w:tcPr>
            <w:tcW w:w="3360" w:type="dxa"/>
            <w:vAlign w:val="bottom"/>
          </w:tcPr>
          <w:p>
            <w:pPr>
              <w:spacing w:after="0"/>
              <w:rPr>
                <w:sz w:val="14"/>
                <w:szCs w:val="14"/>
                <w:color w:val="auto"/>
              </w:rPr>
            </w:pPr>
          </w:p>
        </w:tc>
        <w:tc>
          <w:tcPr>
            <w:tcW w:w="17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jc w:val="both"/>
        <w:ind w:right="3359"/>
        <w:spacing w:after="0" w:line="248" w:lineRule="auto"/>
        <w:rPr>
          <w:sz w:val="20"/>
          <w:szCs w:val="20"/>
          <w:color w:val="auto"/>
        </w:rPr>
      </w:pPr>
      <w:r>
        <w:rPr>
          <w:rFonts w:ascii="Courier New" w:cs="Courier New" w:eastAsia="Courier New" w:hAnsi="Courier New"/>
          <w:sz w:val="14"/>
          <w:szCs w:val="14"/>
          <w:color w:val="auto"/>
        </w:rPr>
        <w:t>The change in the projected benefit obligation, plan assets and funded status of the plan (translated into US dollars at year-end exchange rates) was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5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980" w:type="dxa"/>
            <w:vAlign w:val="bottom"/>
            <w:gridSpan w:val="2"/>
          </w:tcPr>
          <w:p>
            <w:pPr>
              <w:ind w:left="1200"/>
              <w:spacing w:after="0"/>
              <w:rPr>
                <w:sz w:val="20"/>
                <w:szCs w:val="20"/>
                <w:color w:val="auto"/>
              </w:rPr>
            </w:pPr>
            <w:r>
              <w:rPr>
                <w:rFonts w:ascii="Courier New" w:cs="Courier New" w:eastAsia="Courier New" w:hAnsi="Courier New"/>
                <w:sz w:val="14"/>
                <w:szCs w:val="14"/>
                <w:color w:val="auto"/>
              </w:rPr>
              <w:t>(Stated in millions)</w:t>
            </w:r>
          </w:p>
        </w:tc>
      </w:tr>
      <w:tr>
        <w:trPr>
          <w:trHeight w:val="163"/>
        </w:trPr>
        <w:tc>
          <w:tcPr>
            <w:tcW w:w="15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40" w:type="dxa"/>
            <w:vAlign w:val="bottom"/>
          </w:tcPr>
          <w:p>
            <w:pPr>
              <w:ind w:left="1200"/>
              <w:spacing w:after="0"/>
              <w:rPr>
                <w:sz w:val="20"/>
                <w:szCs w:val="20"/>
                <w:color w:val="auto"/>
              </w:rPr>
            </w:pPr>
            <w:r>
              <w:rPr>
                <w:rFonts w:ascii="Courier New" w:cs="Courier New" w:eastAsia="Courier New" w:hAnsi="Courier New"/>
                <w:sz w:val="14"/>
                <w:szCs w:val="14"/>
                <w:color w:val="auto"/>
              </w:rPr>
              <w:t>1999</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15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1540" w:type="dxa"/>
            <w:vAlign w:val="bottom"/>
          </w:tcPr>
          <w:p>
            <w:pPr>
              <w:spacing w:after="0"/>
              <w:rPr>
                <w:sz w:val="20"/>
                <w:szCs w:val="20"/>
                <w:color w:val="auto"/>
              </w:rPr>
            </w:pPr>
            <w:r>
              <w:rPr>
                <w:rFonts w:ascii="Courier New" w:cs="Courier New" w:eastAsia="Courier New" w:hAnsi="Courier New"/>
                <w:sz w:val="14"/>
                <w:szCs w:val="14"/>
                <w:color w:val="auto"/>
              </w:rPr>
              <w:t>Projected benefit</w:t>
            </w: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obligation</w:t>
            </w:r>
          </w:p>
        </w:tc>
        <w:tc>
          <w:tcPr>
            <w:tcW w:w="2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38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at beginning of the year</w:t>
            </w:r>
          </w:p>
        </w:tc>
        <w:tc>
          <w:tcPr>
            <w:tcW w:w="20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$ 229</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$ 239</w:t>
            </w:r>
          </w:p>
        </w:tc>
      </w:tr>
      <w:tr>
        <w:trPr>
          <w:trHeight w:val="163"/>
        </w:trPr>
        <w:tc>
          <w:tcPr>
            <w:tcW w:w="154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2280" w:type="dxa"/>
            <w:vAlign w:val="bottom"/>
          </w:tcPr>
          <w:p>
            <w:pPr>
              <w:spacing w:after="0"/>
              <w:rPr>
                <w:sz w:val="14"/>
                <w:szCs w:val="14"/>
                <w:color w:val="auto"/>
              </w:rPr>
            </w:pPr>
          </w:p>
        </w:tc>
        <w:tc>
          <w:tcPr>
            <w:tcW w:w="20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22</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18</w:t>
            </w:r>
          </w:p>
        </w:tc>
      </w:tr>
      <w:tr>
        <w:trPr>
          <w:trHeight w:val="163"/>
        </w:trPr>
        <w:tc>
          <w:tcPr>
            <w:tcW w:w="154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2280" w:type="dxa"/>
            <w:vAlign w:val="bottom"/>
          </w:tcPr>
          <w:p>
            <w:pPr>
              <w:spacing w:after="0"/>
              <w:rPr>
                <w:sz w:val="14"/>
                <w:szCs w:val="14"/>
                <w:color w:val="auto"/>
              </w:rPr>
            </w:pPr>
          </w:p>
        </w:tc>
        <w:tc>
          <w:tcPr>
            <w:tcW w:w="20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15</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18</w:t>
            </w:r>
          </w:p>
        </w:tc>
      </w:tr>
      <w:tr>
        <w:trPr>
          <w:trHeight w:val="163"/>
        </w:trPr>
        <w:tc>
          <w:tcPr>
            <w:tcW w:w="3820" w:type="dxa"/>
            <w:vAlign w:val="bottom"/>
            <w:gridSpan w:val="2"/>
          </w:tcPr>
          <w:p>
            <w:pPr>
              <w:spacing w:after="0"/>
              <w:rPr>
                <w:sz w:val="20"/>
                <w:szCs w:val="20"/>
                <w:color w:val="auto"/>
              </w:rPr>
            </w:pPr>
            <w:r>
              <w:rPr>
                <w:rFonts w:ascii="Courier New" w:cs="Courier New" w:eastAsia="Courier New" w:hAnsi="Courier New"/>
                <w:sz w:val="14"/>
                <w:szCs w:val="14"/>
                <w:color w:val="auto"/>
              </w:rPr>
              <w:t>Actuarial losses (gains)</w:t>
            </w:r>
          </w:p>
        </w:tc>
        <w:tc>
          <w:tcPr>
            <w:tcW w:w="20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3"/>
        </w:trPr>
        <w:tc>
          <w:tcPr>
            <w:tcW w:w="154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2280" w:type="dxa"/>
            <w:vAlign w:val="bottom"/>
          </w:tcPr>
          <w:p>
            <w:pPr>
              <w:spacing w:after="0"/>
              <w:rPr>
                <w:sz w:val="14"/>
                <w:szCs w:val="14"/>
                <w:color w:val="auto"/>
              </w:rPr>
            </w:pPr>
          </w:p>
        </w:tc>
        <w:tc>
          <w:tcPr>
            <w:tcW w:w="2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3"/>
        </w:trPr>
        <w:tc>
          <w:tcPr>
            <w:tcW w:w="1540" w:type="dxa"/>
            <w:vAlign w:val="bottom"/>
          </w:tcPr>
          <w:p>
            <w:pPr>
              <w:spacing w:after="0"/>
              <w:rPr>
                <w:sz w:val="20"/>
                <w:szCs w:val="20"/>
                <w:color w:val="auto"/>
              </w:rPr>
            </w:pPr>
            <w:r>
              <w:rPr>
                <w:rFonts w:ascii="Courier New" w:cs="Courier New" w:eastAsia="Courier New" w:hAnsi="Courier New"/>
                <w:sz w:val="14"/>
                <w:szCs w:val="14"/>
                <w:color w:val="auto"/>
              </w:rPr>
              <w:t>Projected benefit</w:t>
            </w: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obligation</w:t>
            </w:r>
          </w:p>
        </w:tc>
        <w:tc>
          <w:tcPr>
            <w:tcW w:w="20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38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at end of the year</w:t>
            </w:r>
          </w:p>
        </w:tc>
        <w:tc>
          <w:tcPr>
            <w:tcW w:w="20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$ 290</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$ 229</w:t>
            </w:r>
          </w:p>
        </w:tc>
      </w:tr>
      <w:tr>
        <w:trPr>
          <w:trHeight w:val="163"/>
        </w:trPr>
        <w:tc>
          <w:tcPr>
            <w:tcW w:w="15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3820" w:type="dxa"/>
            <w:vAlign w:val="bottom"/>
            <w:gridSpan w:val="2"/>
          </w:tcPr>
          <w:p>
            <w:pPr>
              <w:spacing w:after="0"/>
              <w:rPr>
                <w:sz w:val="20"/>
                <w:szCs w:val="20"/>
                <w:color w:val="auto"/>
              </w:rPr>
            </w:pPr>
            <w:r>
              <w:rPr>
                <w:rFonts w:ascii="Courier New" w:cs="Courier New" w:eastAsia="Courier New" w:hAnsi="Courier New"/>
                <w:sz w:val="14"/>
                <w:szCs w:val="14"/>
                <w:color w:val="auto"/>
              </w:rPr>
              <w:t>Plan assets at market value</w:t>
            </w:r>
          </w:p>
        </w:tc>
        <w:tc>
          <w:tcPr>
            <w:tcW w:w="2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38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at beginning of the year</w:t>
            </w:r>
          </w:p>
        </w:tc>
        <w:tc>
          <w:tcPr>
            <w:tcW w:w="20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$ 366</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$ 350</w:t>
            </w:r>
          </w:p>
        </w:tc>
      </w:tr>
      <w:tr>
        <w:trPr>
          <w:trHeight w:val="163"/>
        </w:trPr>
        <w:tc>
          <w:tcPr>
            <w:tcW w:w="3820" w:type="dxa"/>
            <w:vAlign w:val="bottom"/>
            <w:gridSpan w:val="2"/>
          </w:tcPr>
          <w:p>
            <w:pPr>
              <w:spacing w:after="0"/>
              <w:rPr>
                <w:sz w:val="20"/>
                <w:szCs w:val="20"/>
                <w:color w:val="auto"/>
              </w:rPr>
            </w:pPr>
            <w:r>
              <w:rPr>
                <w:rFonts w:ascii="Courier New" w:cs="Courier New" w:eastAsia="Courier New" w:hAnsi="Courier New"/>
                <w:sz w:val="14"/>
                <w:szCs w:val="14"/>
                <w:color w:val="auto"/>
              </w:rPr>
              <w:t>Actual return on plan assets</w:t>
            </w:r>
          </w:p>
        </w:tc>
        <w:tc>
          <w:tcPr>
            <w:tcW w:w="20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96</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22</w:t>
            </w:r>
          </w:p>
        </w:tc>
      </w:tr>
      <w:tr>
        <w:trPr>
          <w:trHeight w:val="163"/>
        </w:trPr>
        <w:tc>
          <w:tcPr>
            <w:tcW w:w="3820" w:type="dxa"/>
            <w:vAlign w:val="bottom"/>
            <w:gridSpan w:val="2"/>
          </w:tcPr>
          <w:p>
            <w:pPr>
              <w:spacing w:after="0"/>
              <w:rPr>
                <w:sz w:val="20"/>
                <w:szCs w:val="20"/>
                <w:color w:val="auto"/>
              </w:rPr>
            </w:pPr>
            <w:r>
              <w:rPr>
                <w:rFonts w:ascii="Courier New" w:cs="Courier New" w:eastAsia="Courier New" w:hAnsi="Courier New"/>
                <w:sz w:val="14"/>
                <w:szCs w:val="14"/>
                <w:color w:val="auto"/>
              </w:rPr>
              <w:t>Employer contribution</w:t>
            </w:r>
          </w:p>
        </w:tc>
        <w:tc>
          <w:tcPr>
            <w:tcW w:w="20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w:t>
            </w:r>
          </w:p>
        </w:tc>
      </w:tr>
      <w:tr>
        <w:trPr>
          <w:trHeight w:val="163"/>
        </w:trPr>
        <w:tc>
          <w:tcPr>
            <w:tcW w:w="154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2280" w:type="dxa"/>
            <w:vAlign w:val="bottom"/>
          </w:tcPr>
          <w:p>
            <w:pPr>
              <w:spacing w:after="0"/>
              <w:rPr>
                <w:sz w:val="14"/>
                <w:szCs w:val="14"/>
                <w:color w:val="auto"/>
              </w:rPr>
            </w:pPr>
          </w:p>
        </w:tc>
        <w:tc>
          <w:tcPr>
            <w:tcW w:w="2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3"/>
        </w:trPr>
        <w:tc>
          <w:tcPr>
            <w:tcW w:w="3820" w:type="dxa"/>
            <w:vAlign w:val="bottom"/>
            <w:gridSpan w:val="2"/>
          </w:tcPr>
          <w:p>
            <w:pPr>
              <w:spacing w:after="0"/>
              <w:rPr>
                <w:sz w:val="20"/>
                <w:szCs w:val="20"/>
                <w:color w:val="auto"/>
              </w:rPr>
            </w:pPr>
            <w:r>
              <w:rPr>
                <w:rFonts w:ascii="Courier New" w:cs="Courier New" w:eastAsia="Courier New" w:hAnsi="Courier New"/>
                <w:sz w:val="14"/>
                <w:szCs w:val="14"/>
                <w:color w:val="auto"/>
              </w:rPr>
              <w:t>Plan assets at market value</w:t>
            </w:r>
          </w:p>
        </w:tc>
        <w:tc>
          <w:tcPr>
            <w:tcW w:w="20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38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at end of the year</w:t>
            </w:r>
          </w:p>
        </w:tc>
        <w:tc>
          <w:tcPr>
            <w:tcW w:w="20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$ 454</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$ 366</w:t>
            </w:r>
          </w:p>
        </w:tc>
      </w:tr>
      <w:tr>
        <w:trPr>
          <w:trHeight w:val="163"/>
        </w:trPr>
        <w:tc>
          <w:tcPr>
            <w:tcW w:w="15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3820" w:type="dxa"/>
            <w:vAlign w:val="bottom"/>
            <w:gridSpan w:val="2"/>
          </w:tcPr>
          <w:p>
            <w:pPr>
              <w:spacing w:after="0"/>
              <w:rPr>
                <w:sz w:val="20"/>
                <w:szCs w:val="20"/>
                <w:color w:val="auto"/>
              </w:rPr>
            </w:pPr>
            <w:r>
              <w:rPr>
                <w:rFonts w:ascii="Courier New" w:cs="Courier New" w:eastAsia="Courier New" w:hAnsi="Courier New"/>
                <w:sz w:val="14"/>
                <w:szCs w:val="14"/>
                <w:color w:val="auto"/>
              </w:rPr>
              <w:t>Excess of assets over</w:t>
            </w:r>
          </w:p>
        </w:tc>
        <w:tc>
          <w:tcPr>
            <w:tcW w:w="2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38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projected benefit  obligation</w:t>
            </w:r>
          </w:p>
        </w:tc>
        <w:tc>
          <w:tcPr>
            <w:tcW w:w="20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164</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137</w:t>
            </w:r>
          </w:p>
        </w:tc>
      </w:tr>
      <w:tr>
        <w:trPr>
          <w:trHeight w:val="163"/>
        </w:trPr>
        <w:tc>
          <w:tcPr>
            <w:tcW w:w="3820" w:type="dxa"/>
            <w:vAlign w:val="bottom"/>
            <w:gridSpan w:val="2"/>
          </w:tcPr>
          <w:p>
            <w:pPr>
              <w:spacing w:after="0"/>
              <w:rPr>
                <w:sz w:val="20"/>
                <w:szCs w:val="20"/>
                <w:color w:val="auto"/>
              </w:rPr>
            </w:pPr>
            <w:r>
              <w:rPr>
                <w:rFonts w:ascii="Courier New" w:cs="Courier New" w:eastAsia="Courier New" w:hAnsi="Courier New"/>
                <w:sz w:val="14"/>
                <w:szCs w:val="14"/>
                <w:color w:val="auto"/>
              </w:rPr>
              <w:t>Unrecognized net gain</w:t>
            </w:r>
          </w:p>
        </w:tc>
        <w:tc>
          <w:tcPr>
            <w:tcW w:w="2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(135)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r>
      <w:tr>
        <w:trPr>
          <w:trHeight w:val="163"/>
        </w:trPr>
        <w:tc>
          <w:tcPr>
            <w:tcW w:w="3820" w:type="dxa"/>
            <w:vAlign w:val="bottom"/>
            <w:gridSpan w:val="2"/>
          </w:tcPr>
          <w:p>
            <w:pPr>
              <w:spacing w:after="0"/>
              <w:rPr>
                <w:sz w:val="20"/>
                <w:szCs w:val="20"/>
                <w:color w:val="auto"/>
              </w:rPr>
            </w:pPr>
            <w:r>
              <w:rPr>
                <w:rFonts w:ascii="Courier New" w:cs="Courier New" w:eastAsia="Courier New" w:hAnsi="Courier New"/>
                <w:sz w:val="14"/>
                <w:szCs w:val="14"/>
                <w:color w:val="auto"/>
              </w:rPr>
              <w:t>Unrecognized prior service cost</w:t>
            </w:r>
          </w:p>
        </w:tc>
        <w:tc>
          <w:tcPr>
            <w:tcW w:w="20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w:t>
            </w:r>
          </w:p>
        </w:tc>
      </w:tr>
      <w:tr>
        <w:trPr>
          <w:trHeight w:val="163"/>
        </w:trPr>
        <w:tc>
          <w:tcPr>
            <w:tcW w:w="3820" w:type="dxa"/>
            <w:vAlign w:val="bottom"/>
            <w:gridSpan w:val="2"/>
          </w:tcPr>
          <w:p>
            <w:pPr>
              <w:spacing w:after="0"/>
              <w:rPr>
                <w:sz w:val="20"/>
                <w:szCs w:val="20"/>
                <w:color w:val="auto"/>
              </w:rPr>
            </w:pPr>
            <w:r>
              <w:rPr>
                <w:rFonts w:ascii="Courier New" w:cs="Courier New" w:eastAsia="Courier New" w:hAnsi="Courier New"/>
                <w:sz w:val="14"/>
                <w:szCs w:val="14"/>
                <w:color w:val="auto"/>
              </w:rPr>
              <w:t>Unrecognized net asset</w:t>
            </w:r>
          </w:p>
        </w:tc>
        <w:tc>
          <w:tcPr>
            <w:tcW w:w="2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38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at transition date</w:t>
            </w:r>
          </w:p>
        </w:tc>
        <w:tc>
          <w:tcPr>
            <w:tcW w:w="2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3"/>
        </w:trPr>
        <w:tc>
          <w:tcPr>
            <w:tcW w:w="15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1540" w:type="dxa"/>
            <w:vAlign w:val="bottom"/>
          </w:tcPr>
          <w:p>
            <w:pPr>
              <w:spacing w:after="0"/>
              <w:rPr>
                <w:sz w:val="20"/>
                <w:szCs w:val="20"/>
                <w:color w:val="auto"/>
              </w:rPr>
            </w:pPr>
            <w:r>
              <w:rPr>
                <w:rFonts w:ascii="Courier New" w:cs="Courier New" w:eastAsia="Courier New" w:hAnsi="Courier New"/>
                <w:sz w:val="14"/>
                <w:szCs w:val="14"/>
                <w:color w:val="auto"/>
              </w:rPr>
              <w:t>Pension asset</w:t>
            </w:r>
          </w:p>
        </w:tc>
        <w:tc>
          <w:tcPr>
            <w:tcW w:w="2280" w:type="dxa"/>
            <w:vAlign w:val="bottom"/>
          </w:tcPr>
          <w:p>
            <w:pPr>
              <w:spacing w:after="0"/>
              <w:rPr>
                <w:sz w:val="14"/>
                <w:szCs w:val="14"/>
                <w:color w:val="auto"/>
              </w:rPr>
            </w:pPr>
          </w:p>
        </w:tc>
        <w:tc>
          <w:tcPr>
            <w:tcW w:w="20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28</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22</w:t>
            </w:r>
          </w:p>
        </w:tc>
      </w:tr>
      <w:tr>
        <w:trPr>
          <w:trHeight w:val="163"/>
        </w:trPr>
        <w:tc>
          <w:tcPr>
            <w:tcW w:w="15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The assumed discount rate and rate of compensation increases used to determine the projected benefit obligation were 6.5% and 4%, respectively, in 1999, and 7% and 4%, respectively, in 1998; the expected long-term rate of return on plan assets was 9% in 1999 and 1998. Plan assets consisted of common stocks ($339 million), cash or cash equivalents ($90 million) and fixed income investments ($25 million). None of the plan assets represented Schlumberger common stock.</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159"/>
          </w:cols>
          <w:pgMar w:left="300" w:top="609" w:right="1440" w:bottom="1440" w:gutter="0" w:footer="0" w:header="0"/>
        </w:sectPr>
      </w:pPr>
    </w:p>
    <w:bookmarkStart w:id="44" w:name="page45"/>
    <w:bookmarkEnd w:id="44"/>
    <w:p>
      <w:pPr>
        <w:ind w:right="3539"/>
        <w:spacing w:after="0" w:line="247" w:lineRule="auto"/>
        <w:rPr>
          <w:sz w:val="20"/>
          <w:szCs w:val="20"/>
          <w:color w:val="auto"/>
        </w:rPr>
      </w:pPr>
      <w:r>
        <w:rPr>
          <w:rFonts w:ascii="Courier New" w:cs="Courier New" w:eastAsia="Courier New" w:hAnsi="Courier New"/>
          <w:sz w:val="14"/>
          <w:szCs w:val="14"/>
          <w:color w:val="auto"/>
        </w:rPr>
        <w:t>For defined contribution plans, funding and cost are generally based upon a predetermined percentage of employee compensation. Charges to expense in 1999, 1998 and 1997, were $24 million, $25 million and $25 million,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Deferred Benefits</w:t>
      </w:r>
    </w:p>
    <w:p>
      <w:pPr>
        <w:spacing w:after="0" w:line="4" w:lineRule="exact"/>
        <w:rPr>
          <w:sz w:val="20"/>
          <w:szCs w:val="20"/>
          <w:color w:val="auto"/>
        </w:rPr>
      </w:pPr>
    </w:p>
    <w:p>
      <w:pPr>
        <w:ind w:right="3699"/>
        <w:spacing w:after="0" w:line="247" w:lineRule="auto"/>
        <w:rPr>
          <w:sz w:val="20"/>
          <w:szCs w:val="20"/>
          <w:color w:val="auto"/>
        </w:rPr>
      </w:pPr>
      <w:r>
        <w:rPr>
          <w:rFonts w:ascii="Courier New" w:cs="Courier New" w:eastAsia="Courier New" w:hAnsi="Courier New"/>
          <w:sz w:val="14"/>
          <w:szCs w:val="14"/>
          <w:color w:val="auto"/>
        </w:rPr>
        <w:t>In addition to providing pension benefits, Schlumberger and its subsidiaries have other deferred benefit programs. Expenses for these programs were $73 million, $128 million and $127 million in 1999, 1998 and 1997,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Health Care Benefits</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Schlumberger and its US subsidiary provide health care benefits for certain active employees. The cost of providing these benefits is recognized as expense when incurred and aggregated $53 million, $54 million and $46 million in 1999, 1998 and 1997, respectively. Outside the US, such benefits are mostly provided through government-sponsored programs.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Postretirement Benefits Other Than Pensions</w:t>
      </w:r>
    </w:p>
    <w:p>
      <w:pPr>
        <w:spacing w:after="0" w:line="4" w:lineRule="exact"/>
        <w:rPr>
          <w:sz w:val="20"/>
          <w:szCs w:val="20"/>
          <w:color w:val="auto"/>
        </w:rPr>
      </w:pPr>
    </w:p>
    <w:p>
      <w:pPr>
        <w:ind w:right="3879"/>
        <w:spacing w:after="0" w:line="248" w:lineRule="auto"/>
        <w:rPr>
          <w:sz w:val="20"/>
          <w:szCs w:val="20"/>
          <w:color w:val="auto"/>
        </w:rPr>
      </w:pPr>
      <w:r>
        <w:rPr>
          <w:rFonts w:ascii="Courier New" w:cs="Courier New" w:eastAsia="Courier New" w:hAnsi="Courier New"/>
          <w:sz w:val="14"/>
          <w:szCs w:val="14"/>
          <w:color w:val="auto"/>
        </w:rPr>
        <w:t>Schlumberger and its US subsidiary provide certain health care benefits to former employees who have retired under the US pension plans.</w:t>
      </w:r>
    </w:p>
    <w:p>
      <w:pPr>
        <w:spacing w:after="0" w:line="161"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The principal actuarial assumptions used to measure costs were a discount rate of 7% in 1999, 7.5% in 1998 and 8% in 1997. The overall medical cost trend rate assumption beginning December 31, 1996, was 9% graded to 5% over the next six years and 5% thereafter. Previously the overall assumption had been 10% graded to 6% over the next six years and 6% thereafter.</w:t>
      </w:r>
    </w:p>
    <w:p>
      <w:pPr>
        <w:spacing w:after="0" w:line="162" w:lineRule="exact"/>
        <w:rPr>
          <w:sz w:val="20"/>
          <w:szCs w:val="20"/>
          <w:color w:val="auto"/>
        </w:rPr>
      </w:pPr>
    </w:p>
    <w:p>
      <w:pPr>
        <w:ind w:right="3799"/>
        <w:spacing w:after="0" w:line="248" w:lineRule="auto"/>
        <w:rPr>
          <w:sz w:val="20"/>
          <w:szCs w:val="20"/>
          <w:color w:val="auto"/>
        </w:rPr>
      </w:pPr>
      <w:r>
        <w:rPr>
          <w:rFonts w:ascii="Courier New" w:cs="Courier New" w:eastAsia="Courier New" w:hAnsi="Courier New"/>
          <w:sz w:val="14"/>
          <w:szCs w:val="14"/>
          <w:color w:val="auto"/>
        </w:rPr>
        <w:t>Net periodic postretirement benefit cost in the US for 1999, 1998 and 1997, included the following components: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840" w:type="dxa"/>
            <w:vAlign w:val="bottom"/>
          </w:tcPr>
          <w:p>
            <w:pPr>
              <w:spacing w:after="0"/>
              <w:rPr>
                <w:sz w:val="13"/>
                <w:szCs w:val="13"/>
                <w:color w:val="auto"/>
              </w:rPr>
            </w:pPr>
          </w:p>
        </w:tc>
        <w:tc>
          <w:tcPr>
            <w:tcW w:w="3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(Stated in millions)</w:t>
            </w:r>
          </w:p>
        </w:tc>
        <w:tc>
          <w:tcPr>
            <w:tcW w:w="600" w:type="dxa"/>
            <w:vAlign w:val="bottom"/>
          </w:tcPr>
          <w:p>
            <w:pPr>
              <w:spacing w:after="0"/>
              <w:rPr>
                <w:sz w:val="13"/>
                <w:szCs w:val="13"/>
                <w:color w:val="auto"/>
              </w:rPr>
            </w:pPr>
          </w:p>
        </w:tc>
      </w:tr>
      <w:tr>
        <w:trPr>
          <w:trHeight w:val="163"/>
        </w:trPr>
        <w:tc>
          <w:tcPr>
            <w:tcW w:w="2840" w:type="dxa"/>
            <w:vAlign w:val="bottom"/>
          </w:tcPr>
          <w:p>
            <w:pPr>
              <w:spacing w:after="0"/>
              <w:rPr>
                <w:sz w:val="14"/>
                <w:szCs w:val="14"/>
                <w:color w:val="auto"/>
              </w:rPr>
            </w:pPr>
          </w:p>
        </w:tc>
        <w:tc>
          <w:tcPr>
            <w:tcW w:w="20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1999</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1998</w:t>
            </w: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2840" w:type="dxa"/>
            <w:vAlign w:val="bottom"/>
          </w:tcPr>
          <w:p>
            <w:pPr>
              <w:spacing w:after="0"/>
              <w:rPr>
                <w:sz w:val="14"/>
                <w:szCs w:val="14"/>
                <w:color w:val="auto"/>
              </w:rPr>
            </w:pPr>
          </w:p>
        </w:tc>
        <w:tc>
          <w:tcPr>
            <w:tcW w:w="20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w:t>
            </w:r>
          </w:p>
        </w:tc>
      </w:tr>
      <w:tr>
        <w:trPr>
          <w:trHeight w:val="163"/>
        </w:trPr>
        <w:tc>
          <w:tcPr>
            <w:tcW w:w="2840" w:type="dxa"/>
            <w:vAlign w:val="bottom"/>
          </w:tcPr>
          <w:p>
            <w:pPr>
              <w:spacing w:after="0"/>
              <w:rPr>
                <w:sz w:val="20"/>
                <w:szCs w:val="20"/>
                <w:color w:val="auto"/>
              </w:rPr>
            </w:pPr>
            <w:r>
              <w:rPr>
                <w:rFonts w:ascii="Courier New" w:cs="Courier New" w:eastAsia="Courier New" w:hAnsi="Courier New"/>
                <w:sz w:val="14"/>
                <w:szCs w:val="14"/>
                <w:color w:val="auto"/>
              </w:rPr>
              <w:t>Service cost-benefits</w:t>
            </w:r>
          </w:p>
        </w:tc>
        <w:tc>
          <w:tcPr>
            <w:tcW w:w="2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3"/>
        </w:trPr>
        <w:tc>
          <w:tcPr>
            <w:tcW w:w="2840" w:type="dxa"/>
            <w:vAlign w:val="bottom"/>
          </w:tcPr>
          <w:p>
            <w:pPr>
              <w:ind w:left="180"/>
              <w:spacing w:after="0"/>
              <w:rPr>
                <w:sz w:val="20"/>
                <w:szCs w:val="20"/>
                <w:color w:val="auto"/>
              </w:rPr>
            </w:pPr>
            <w:r>
              <w:rPr>
                <w:rFonts w:ascii="Courier New" w:cs="Courier New" w:eastAsia="Courier New" w:hAnsi="Courier New"/>
                <w:sz w:val="14"/>
                <w:szCs w:val="14"/>
                <w:color w:val="auto"/>
              </w:rPr>
              <w:t>earned during the period</w:t>
            </w:r>
          </w:p>
        </w:tc>
        <w:tc>
          <w:tcPr>
            <w:tcW w:w="20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$ 11</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$ 11</w:t>
            </w: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9</w:t>
            </w:r>
          </w:p>
        </w:tc>
      </w:tr>
      <w:tr>
        <w:trPr>
          <w:trHeight w:val="163"/>
        </w:trPr>
        <w:tc>
          <w:tcPr>
            <w:tcW w:w="2840" w:type="dxa"/>
            <w:vAlign w:val="bottom"/>
          </w:tcPr>
          <w:p>
            <w:pPr>
              <w:spacing w:after="0"/>
              <w:rPr>
                <w:sz w:val="20"/>
                <w:szCs w:val="20"/>
                <w:color w:val="auto"/>
              </w:rPr>
            </w:pPr>
            <w:r>
              <w:rPr>
                <w:rFonts w:ascii="Courier New" w:cs="Courier New" w:eastAsia="Courier New" w:hAnsi="Courier New"/>
                <w:sz w:val="14"/>
                <w:szCs w:val="14"/>
                <w:color w:val="auto"/>
              </w:rPr>
              <w:t>Interest cost on accumulated</w:t>
            </w:r>
          </w:p>
        </w:tc>
        <w:tc>
          <w:tcPr>
            <w:tcW w:w="2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3"/>
        </w:trPr>
        <w:tc>
          <w:tcPr>
            <w:tcW w:w="2840" w:type="dxa"/>
            <w:vAlign w:val="bottom"/>
          </w:tcPr>
          <w:p>
            <w:pPr>
              <w:ind w:left="180"/>
              <w:spacing w:after="0"/>
              <w:rPr>
                <w:sz w:val="20"/>
                <w:szCs w:val="20"/>
                <w:color w:val="auto"/>
              </w:rPr>
            </w:pPr>
            <w:r>
              <w:rPr>
                <w:rFonts w:ascii="Courier New" w:cs="Courier New" w:eastAsia="Courier New" w:hAnsi="Courier New"/>
                <w:sz w:val="14"/>
                <w:szCs w:val="14"/>
                <w:color w:val="auto"/>
              </w:rPr>
              <w:t>postretirement benefit</w:t>
            </w:r>
          </w:p>
        </w:tc>
        <w:tc>
          <w:tcPr>
            <w:tcW w:w="2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3"/>
        </w:trPr>
        <w:tc>
          <w:tcPr>
            <w:tcW w:w="2840" w:type="dxa"/>
            <w:vAlign w:val="bottom"/>
          </w:tcPr>
          <w:p>
            <w:pPr>
              <w:ind w:left="340"/>
              <w:spacing w:after="0"/>
              <w:rPr>
                <w:sz w:val="20"/>
                <w:szCs w:val="20"/>
                <w:color w:val="auto"/>
              </w:rPr>
            </w:pPr>
            <w:r>
              <w:rPr>
                <w:rFonts w:ascii="Courier New" w:cs="Courier New" w:eastAsia="Courier New" w:hAnsi="Courier New"/>
                <w:sz w:val="14"/>
                <w:szCs w:val="14"/>
                <w:color w:val="auto"/>
              </w:rPr>
              <w:t>obligation</w:t>
            </w:r>
          </w:p>
        </w:tc>
        <w:tc>
          <w:tcPr>
            <w:tcW w:w="20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23</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22</w:t>
            </w: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22</w:t>
            </w:r>
          </w:p>
        </w:tc>
      </w:tr>
      <w:tr>
        <w:trPr>
          <w:trHeight w:val="163"/>
        </w:trPr>
        <w:tc>
          <w:tcPr>
            <w:tcW w:w="2840" w:type="dxa"/>
            <w:vAlign w:val="bottom"/>
          </w:tcPr>
          <w:p>
            <w:pPr>
              <w:spacing w:after="0"/>
              <w:rPr>
                <w:sz w:val="20"/>
                <w:szCs w:val="20"/>
                <w:color w:val="auto"/>
              </w:rPr>
            </w:pPr>
            <w:r>
              <w:rPr>
                <w:rFonts w:ascii="Courier New" w:cs="Courier New" w:eastAsia="Courier New" w:hAnsi="Courier New"/>
                <w:sz w:val="14"/>
                <w:szCs w:val="14"/>
                <w:color w:val="auto"/>
              </w:rPr>
              <w:t>Amortization of unrecognized</w:t>
            </w:r>
          </w:p>
        </w:tc>
        <w:tc>
          <w:tcPr>
            <w:tcW w:w="2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3"/>
        </w:trPr>
        <w:tc>
          <w:tcPr>
            <w:tcW w:w="2840" w:type="dxa"/>
            <w:vAlign w:val="bottom"/>
          </w:tcPr>
          <w:p>
            <w:pPr>
              <w:ind w:left="180"/>
              <w:spacing w:after="0"/>
              <w:rPr>
                <w:sz w:val="20"/>
                <w:szCs w:val="20"/>
                <w:color w:val="auto"/>
              </w:rPr>
            </w:pPr>
            <w:r>
              <w:rPr>
                <w:rFonts w:ascii="Courier New" w:cs="Courier New" w:eastAsia="Courier New" w:hAnsi="Courier New"/>
                <w:sz w:val="14"/>
                <w:szCs w:val="14"/>
                <w:color w:val="auto"/>
              </w:rPr>
              <w:t>net gain and other</w:t>
            </w:r>
          </w:p>
        </w:tc>
        <w:tc>
          <w:tcPr>
            <w:tcW w:w="2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w:t>
            </w:r>
          </w:p>
        </w:tc>
        <w:tc>
          <w:tcPr>
            <w:tcW w:w="13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3"/>
        </w:trPr>
        <w:tc>
          <w:tcPr>
            <w:tcW w:w="2840" w:type="dxa"/>
            <w:vAlign w:val="bottom"/>
          </w:tcPr>
          <w:p>
            <w:pPr>
              <w:spacing w:after="0"/>
              <w:rPr>
                <w:sz w:val="14"/>
                <w:szCs w:val="14"/>
                <w:color w:val="auto"/>
              </w:rPr>
            </w:pPr>
          </w:p>
        </w:tc>
        <w:tc>
          <w:tcPr>
            <w:tcW w:w="20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2840" w:type="dxa"/>
            <w:vAlign w:val="bottom"/>
          </w:tcPr>
          <w:p>
            <w:pPr>
              <w:spacing w:after="0"/>
              <w:rPr>
                <w:sz w:val="14"/>
                <w:szCs w:val="14"/>
                <w:color w:val="auto"/>
              </w:rPr>
            </w:pPr>
          </w:p>
        </w:tc>
        <w:tc>
          <w:tcPr>
            <w:tcW w:w="20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$ 31</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$ 27</w:t>
            </w: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$ 25</w:t>
            </w:r>
          </w:p>
        </w:tc>
      </w:tr>
      <w:tr>
        <w:trPr>
          <w:trHeight w:val="163"/>
        </w:trPr>
        <w:tc>
          <w:tcPr>
            <w:tcW w:w="2840" w:type="dxa"/>
            <w:vAlign w:val="bottom"/>
          </w:tcPr>
          <w:p>
            <w:pPr>
              <w:spacing w:after="0"/>
              <w:rPr>
                <w:sz w:val="14"/>
                <w:szCs w:val="14"/>
                <w:color w:val="auto"/>
              </w:rPr>
            </w:pPr>
          </w:p>
        </w:tc>
        <w:tc>
          <w:tcPr>
            <w:tcW w:w="20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326"/>
        </w:trPr>
        <w:tc>
          <w:tcPr>
            <w:tcW w:w="2840" w:type="dxa"/>
            <w:vAlign w:val="bottom"/>
          </w:tcPr>
          <w:p>
            <w:pPr>
              <w:spacing w:after="0"/>
              <w:rPr>
                <w:sz w:val="24"/>
                <w:szCs w:val="24"/>
                <w:color w:val="auto"/>
              </w:rPr>
            </w:pPr>
          </w:p>
        </w:tc>
        <w:tc>
          <w:tcPr>
            <w:tcW w:w="2000" w:type="dxa"/>
            <w:vAlign w:val="bottom"/>
          </w:tcPr>
          <w:p>
            <w:pPr>
              <w:jc w:val="right"/>
              <w:ind w:right="1289"/>
              <w:spacing w:after="0"/>
              <w:rPr>
                <w:sz w:val="20"/>
                <w:szCs w:val="20"/>
                <w:color w:val="auto"/>
              </w:rPr>
            </w:pPr>
            <w:r>
              <w:rPr>
                <w:rFonts w:ascii="Courier New" w:cs="Courier New" w:eastAsia="Courier New" w:hAnsi="Courier New"/>
                <w:sz w:val="14"/>
                <w:szCs w:val="14"/>
                <w:color w:val="auto"/>
              </w:rPr>
              <w:t>21</w:t>
            </w: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159"/>
          </w:cols>
          <w:pgMar w:left="300" w:top="609"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4"/>
          <w:szCs w:val="14"/>
          <w:color w:val="auto"/>
        </w:rPr>
        <w:t>The change in accumulated postretirement benefit obligation and funded status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 and 1998 was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(Stated in millions)</w:t>
            </w:r>
          </w:p>
        </w:tc>
      </w:tr>
      <w:tr>
        <w:trPr>
          <w:trHeight w:val="163"/>
        </w:trPr>
        <w:tc>
          <w:tcPr>
            <w:tcW w:w="9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1999</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9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Accumulated postretirement</w:t>
            </w:r>
          </w:p>
        </w:tc>
        <w:tc>
          <w:tcPr>
            <w:tcW w:w="2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940" w:type="dxa"/>
            <w:vAlign w:val="bottom"/>
          </w:tcPr>
          <w:p>
            <w:pPr>
              <w:ind w:left="180"/>
              <w:spacing w:after="0"/>
              <w:rPr>
                <w:sz w:val="20"/>
                <w:szCs w:val="20"/>
                <w:color w:val="auto"/>
              </w:rPr>
            </w:pPr>
            <w:r>
              <w:rPr>
                <w:rFonts w:ascii="Courier New" w:cs="Courier New" w:eastAsia="Courier New" w:hAnsi="Courier New"/>
                <w:sz w:val="14"/>
                <w:szCs w:val="14"/>
                <w:color w:val="auto"/>
              </w:rPr>
              <w:t>benefit</w:t>
            </w:r>
          </w:p>
        </w:tc>
        <w:tc>
          <w:tcPr>
            <w:tcW w:w="2800" w:type="dxa"/>
            <w:vAlign w:val="bottom"/>
          </w:tcPr>
          <w:p>
            <w:pPr>
              <w:jc w:val="right"/>
              <w:ind w:right="1889"/>
              <w:spacing w:after="0"/>
              <w:rPr>
                <w:sz w:val="20"/>
                <w:szCs w:val="20"/>
                <w:color w:val="auto"/>
              </w:rPr>
            </w:pPr>
            <w:r>
              <w:rPr>
                <w:rFonts w:ascii="Courier New" w:cs="Courier New" w:eastAsia="Courier New" w:hAnsi="Courier New"/>
                <w:sz w:val="14"/>
                <w:szCs w:val="14"/>
                <w:color w:val="auto"/>
                <w:w w:val="97"/>
              </w:rPr>
              <w:t>obligation</w:t>
            </w:r>
          </w:p>
        </w:tc>
        <w:tc>
          <w:tcPr>
            <w:tcW w:w="2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37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at beginning of the year</w:t>
            </w:r>
          </w:p>
        </w:tc>
        <w:tc>
          <w:tcPr>
            <w:tcW w:w="21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$ 354</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$ 313</w:t>
            </w:r>
          </w:p>
        </w:tc>
      </w:tr>
      <w:tr>
        <w:trPr>
          <w:trHeight w:val="163"/>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Service cost</w:t>
            </w:r>
          </w:p>
        </w:tc>
        <w:tc>
          <w:tcPr>
            <w:tcW w:w="21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11</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w:t>
            </w:r>
          </w:p>
        </w:tc>
      </w:tr>
      <w:tr>
        <w:trPr>
          <w:trHeight w:val="163"/>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Interest cost</w:t>
            </w:r>
          </w:p>
        </w:tc>
        <w:tc>
          <w:tcPr>
            <w:tcW w:w="21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23</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22</w:t>
            </w:r>
          </w:p>
        </w:tc>
      </w:tr>
      <w:tr>
        <w:trPr>
          <w:trHeight w:val="163"/>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Actuarial (gains) losses</w:t>
            </w:r>
          </w:p>
        </w:tc>
        <w:tc>
          <w:tcPr>
            <w:tcW w:w="21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(52)</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18</w:t>
            </w:r>
          </w:p>
        </w:tc>
      </w:tr>
      <w:tr>
        <w:trPr>
          <w:trHeight w:val="163"/>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Benefits paid</w:t>
            </w:r>
          </w:p>
        </w:tc>
        <w:tc>
          <w:tcPr>
            <w:tcW w:w="21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3"/>
        </w:trPr>
        <w:tc>
          <w:tcPr>
            <w:tcW w:w="940" w:type="dxa"/>
            <w:vAlign w:val="bottom"/>
          </w:tcPr>
          <w:p>
            <w:pPr>
              <w:spacing w:after="0"/>
              <w:rPr>
                <w:sz w:val="20"/>
                <w:szCs w:val="20"/>
                <w:color w:val="auto"/>
              </w:rPr>
            </w:pPr>
            <w:r>
              <w:rPr>
                <w:rFonts w:ascii="Courier New" w:cs="Courier New" w:eastAsia="Courier New" w:hAnsi="Courier New"/>
                <w:sz w:val="14"/>
                <w:szCs w:val="14"/>
                <w:color w:val="auto"/>
                <w:w w:val="99"/>
              </w:rPr>
              <w:t>Acquisition</w:t>
            </w:r>
          </w:p>
        </w:tc>
        <w:tc>
          <w:tcPr>
            <w:tcW w:w="2800" w:type="dxa"/>
            <w:vAlign w:val="bottom"/>
          </w:tcPr>
          <w:p>
            <w:pPr>
              <w:spacing w:after="0"/>
              <w:rPr>
                <w:sz w:val="14"/>
                <w:szCs w:val="14"/>
                <w:color w:val="auto"/>
              </w:rPr>
            </w:pPr>
          </w:p>
        </w:tc>
        <w:tc>
          <w:tcPr>
            <w:tcW w:w="21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w:t>
            </w:r>
          </w:p>
        </w:tc>
      </w:tr>
      <w:tr>
        <w:trPr>
          <w:trHeight w:val="163"/>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Accumulated postretirement</w:t>
            </w:r>
          </w:p>
        </w:tc>
        <w:tc>
          <w:tcPr>
            <w:tcW w:w="21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940" w:type="dxa"/>
            <w:vAlign w:val="bottom"/>
          </w:tcPr>
          <w:p>
            <w:pPr>
              <w:ind w:left="180"/>
              <w:spacing w:after="0"/>
              <w:rPr>
                <w:sz w:val="20"/>
                <w:szCs w:val="20"/>
                <w:color w:val="auto"/>
              </w:rPr>
            </w:pPr>
            <w:r>
              <w:rPr>
                <w:rFonts w:ascii="Courier New" w:cs="Courier New" w:eastAsia="Courier New" w:hAnsi="Courier New"/>
                <w:sz w:val="14"/>
                <w:szCs w:val="14"/>
                <w:color w:val="auto"/>
              </w:rPr>
              <w:t>benefit</w:t>
            </w:r>
          </w:p>
        </w:tc>
        <w:tc>
          <w:tcPr>
            <w:tcW w:w="2800" w:type="dxa"/>
            <w:vAlign w:val="bottom"/>
          </w:tcPr>
          <w:p>
            <w:pPr>
              <w:jc w:val="right"/>
              <w:ind w:right="1889"/>
              <w:spacing w:after="0"/>
              <w:rPr>
                <w:sz w:val="20"/>
                <w:szCs w:val="20"/>
                <w:color w:val="auto"/>
              </w:rPr>
            </w:pPr>
            <w:r>
              <w:rPr>
                <w:rFonts w:ascii="Courier New" w:cs="Courier New" w:eastAsia="Courier New" w:hAnsi="Courier New"/>
                <w:sz w:val="14"/>
                <w:szCs w:val="14"/>
                <w:color w:val="auto"/>
                <w:w w:val="97"/>
              </w:rPr>
              <w:t>obligation</w:t>
            </w:r>
          </w:p>
        </w:tc>
        <w:tc>
          <w:tcPr>
            <w:tcW w:w="2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3740" w:type="dxa"/>
            <w:vAlign w:val="bottom"/>
            <w:gridSpan w:val="2"/>
          </w:tcPr>
          <w:p>
            <w:pPr>
              <w:jc w:val="right"/>
              <w:ind w:right="1889"/>
              <w:spacing w:after="0"/>
              <w:rPr>
                <w:sz w:val="20"/>
                <w:szCs w:val="20"/>
                <w:color w:val="auto"/>
              </w:rPr>
            </w:pPr>
            <w:r>
              <w:rPr>
                <w:rFonts w:ascii="Courier New" w:cs="Courier New" w:eastAsia="Courier New" w:hAnsi="Courier New"/>
                <w:sz w:val="14"/>
                <w:szCs w:val="14"/>
                <w:color w:val="auto"/>
              </w:rPr>
              <w:t>at end of the year</w:t>
            </w:r>
          </w:p>
        </w:tc>
        <w:tc>
          <w:tcPr>
            <w:tcW w:w="21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320</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354</w:t>
            </w:r>
          </w:p>
        </w:tc>
      </w:tr>
      <w:tr>
        <w:trPr>
          <w:trHeight w:val="163"/>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Unrecognized net gain</w:t>
            </w:r>
          </w:p>
        </w:tc>
        <w:tc>
          <w:tcPr>
            <w:tcW w:w="21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124</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74</w:t>
            </w:r>
          </w:p>
        </w:tc>
      </w:tr>
      <w:tr>
        <w:trPr>
          <w:trHeight w:val="163"/>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Unrecognized prior service cost</w:t>
            </w:r>
          </w:p>
        </w:tc>
        <w:tc>
          <w:tcPr>
            <w:tcW w:w="21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w:t>
            </w:r>
          </w:p>
        </w:tc>
      </w:tr>
      <w:tr>
        <w:trPr>
          <w:trHeight w:val="163"/>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Postretirement benefit</w:t>
            </w:r>
          </w:p>
        </w:tc>
        <w:tc>
          <w:tcPr>
            <w:tcW w:w="21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3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liability on December 31</w:t>
            </w:r>
          </w:p>
        </w:tc>
        <w:tc>
          <w:tcPr>
            <w:tcW w:w="21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$ 448</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$ 433</w:t>
            </w:r>
          </w:p>
        </w:tc>
      </w:tr>
      <w:tr>
        <w:trPr>
          <w:trHeight w:val="163"/>
        </w:trPr>
        <w:tc>
          <w:tcPr>
            <w:tcW w:w="9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3459"/>
        <w:spacing w:after="0" w:line="248" w:lineRule="auto"/>
        <w:rPr>
          <w:sz w:val="20"/>
          <w:szCs w:val="20"/>
          <w:color w:val="auto"/>
        </w:rPr>
      </w:pPr>
      <w:r>
        <w:rPr>
          <w:rFonts w:ascii="Courier New" w:cs="Courier New" w:eastAsia="Courier New" w:hAnsi="Courier New"/>
          <w:sz w:val="14"/>
          <w:szCs w:val="14"/>
          <w:color w:val="auto"/>
        </w:rPr>
        <w:t>The components of the accumulated postretirement benefit obligation on December 31, 1999 and 1998 were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260" w:type="dxa"/>
            <w:vAlign w:val="bottom"/>
          </w:tcPr>
          <w:p>
            <w:pPr>
              <w:spacing w:after="0"/>
              <w:rPr>
                <w:sz w:val="13"/>
                <w:szCs w:val="13"/>
                <w:color w:val="auto"/>
              </w:rPr>
            </w:pPr>
          </w:p>
        </w:tc>
        <w:tc>
          <w:tcPr>
            <w:tcW w:w="45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(Stated in millions)</w:t>
            </w:r>
          </w:p>
        </w:tc>
      </w:tr>
      <w:tr>
        <w:trPr>
          <w:trHeight w:val="163"/>
        </w:trPr>
        <w:tc>
          <w:tcPr>
            <w:tcW w:w="2260" w:type="dxa"/>
            <w:vAlign w:val="bottom"/>
          </w:tcPr>
          <w:p>
            <w:pPr>
              <w:spacing w:after="0"/>
              <w:rPr>
                <w:sz w:val="14"/>
                <w:szCs w:val="14"/>
                <w:color w:val="auto"/>
              </w:rPr>
            </w:pPr>
          </w:p>
        </w:tc>
        <w:tc>
          <w:tcPr>
            <w:tcW w:w="35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2260" w:type="dxa"/>
            <w:vAlign w:val="bottom"/>
          </w:tcPr>
          <w:p>
            <w:pPr>
              <w:spacing w:after="0"/>
              <w:rPr>
                <w:sz w:val="14"/>
                <w:szCs w:val="14"/>
                <w:color w:val="auto"/>
              </w:rPr>
            </w:pPr>
          </w:p>
        </w:tc>
        <w:tc>
          <w:tcPr>
            <w:tcW w:w="35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260" w:type="dxa"/>
            <w:vAlign w:val="bottom"/>
          </w:tcPr>
          <w:p>
            <w:pPr>
              <w:spacing w:after="0"/>
              <w:rPr>
                <w:sz w:val="20"/>
                <w:szCs w:val="20"/>
                <w:color w:val="auto"/>
              </w:rPr>
            </w:pPr>
            <w:r>
              <w:rPr>
                <w:rFonts w:ascii="Courier New" w:cs="Courier New" w:eastAsia="Courier New" w:hAnsi="Courier New"/>
                <w:sz w:val="14"/>
                <w:szCs w:val="14"/>
                <w:color w:val="auto"/>
              </w:rPr>
              <w:t>Retirees</w:t>
            </w:r>
          </w:p>
        </w:tc>
        <w:tc>
          <w:tcPr>
            <w:tcW w:w="35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$161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$165</w:t>
            </w:r>
          </w:p>
        </w:tc>
      </w:tr>
      <w:tr>
        <w:trPr>
          <w:trHeight w:val="163"/>
        </w:trPr>
        <w:tc>
          <w:tcPr>
            <w:tcW w:w="2260" w:type="dxa"/>
            <w:vAlign w:val="bottom"/>
          </w:tcPr>
          <w:p>
            <w:pPr>
              <w:spacing w:after="0"/>
              <w:rPr>
                <w:sz w:val="20"/>
                <w:szCs w:val="20"/>
                <w:color w:val="auto"/>
              </w:rPr>
            </w:pPr>
            <w:r>
              <w:rPr>
                <w:rFonts w:ascii="Courier New" w:cs="Courier New" w:eastAsia="Courier New" w:hAnsi="Courier New"/>
                <w:sz w:val="14"/>
                <w:szCs w:val="14"/>
                <w:color w:val="auto"/>
              </w:rPr>
              <w:t>Fully eligible</w:t>
            </w:r>
          </w:p>
        </w:tc>
        <w:tc>
          <w:tcPr>
            <w:tcW w:w="35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45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3"/>
        </w:trPr>
        <w:tc>
          <w:tcPr>
            <w:tcW w:w="2260" w:type="dxa"/>
            <w:vAlign w:val="bottom"/>
          </w:tcPr>
          <w:p>
            <w:pPr>
              <w:spacing w:after="0"/>
              <w:rPr>
                <w:sz w:val="20"/>
                <w:szCs w:val="20"/>
                <w:color w:val="auto"/>
              </w:rPr>
            </w:pPr>
            <w:r>
              <w:rPr>
                <w:rFonts w:ascii="Courier New" w:cs="Courier New" w:eastAsia="Courier New" w:hAnsi="Courier New"/>
                <w:sz w:val="14"/>
                <w:szCs w:val="14"/>
                <w:color w:val="auto"/>
              </w:rPr>
              <w:t>Actives</w:t>
            </w:r>
          </w:p>
        </w:tc>
        <w:tc>
          <w:tcPr>
            <w:tcW w:w="35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114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141</w:t>
            </w:r>
          </w:p>
        </w:tc>
      </w:tr>
      <w:tr>
        <w:trPr>
          <w:trHeight w:val="163"/>
        </w:trPr>
        <w:tc>
          <w:tcPr>
            <w:tcW w:w="2260" w:type="dxa"/>
            <w:vAlign w:val="bottom"/>
          </w:tcPr>
          <w:p>
            <w:pPr>
              <w:spacing w:after="0"/>
              <w:rPr>
                <w:sz w:val="14"/>
                <w:szCs w:val="14"/>
                <w:color w:val="auto"/>
              </w:rPr>
            </w:pPr>
          </w:p>
        </w:tc>
        <w:tc>
          <w:tcPr>
            <w:tcW w:w="35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260" w:type="dxa"/>
            <w:vAlign w:val="bottom"/>
          </w:tcPr>
          <w:p>
            <w:pPr>
              <w:spacing w:after="0"/>
              <w:rPr>
                <w:sz w:val="14"/>
                <w:szCs w:val="14"/>
                <w:color w:val="auto"/>
              </w:rPr>
            </w:pPr>
          </w:p>
        </w:tc>
        <w:tc>
          <w:tcPr>
            <w:tcW w:w="35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$320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$354</w:t>
            </w:r>
          </w:p>
        </w:tc>
      </w:tr>
      <w:tr>
        <w:trPr>
          <w:trHeight w:val="163"/>
        </w:trPr>
        <w:tc>
          <w:tcPr>
            <w:tcW w:w="2260" w:type="dxa"/>
            <w:vAlign w:val="bottom"/>
          </w:tcPr>
          <w:p>
            <w:pPr>
              <w:spacing w:after="0"/>
              <w:rPr>
                <w:sz w:val="14"/>
                <w:szCs w:val="14"/>
                <w:color w:val="auto"/>
              </w:rPr>
            </w:pPr>
          </w:p>
        </w:tc>
        <w:tc>
          <w:tcPr>
            <w:tcW w:w="35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2260" w:type="dxa"/>
            <w:vAlign w:val="bottom"/>
          </w:tcPr>
          <w:p>
            <w:pPr>
              <w:spacing w:after="0"/>
              <w:rPr>
                <w:sz w:val="24"/>
                <w:szCs w:val="24"/>
                <w:color w:val="auto"/>
              </w:rPr>
            </w:pPr>
          </w:p>
        </w:tc>
        <w:tc>
          <w:tcPr>
            <w:tcW w:w="3520" w:type="dxa"/>
            <w:vAlign w:val="bottom"/>
          </w:tcPr>
          <w:p>
            <w:pPr>
              <w:jc w:val="right"/>
              <w:ind w:right="2229"/>
              <w:spacing w:after="0"/>
              <w:rPr>
                <w:sz w:val="20"/>
                <w:szCs w:val="20"/>
                <w:color w:val="auto"/>
              </w:rPr>
            </w:pPr>
            <w:r>
              <w:rPr>
                <w:rFonts w:ascii="Courier New" w:cs="Courier New" w:eastAsia="Courier New" w:hAnsi="Courier New"/>
                <w:sz w:val="14"/>
                <w:szCs w:val="14"/>
                <w:color w:val="auto"/>
              </w:rPr>
              <w:t>22</w:t>
            </w:r>
          </w:p>
        </w:tc>
        <w:tc>
          <w:tcPr>
            <w:tcW w:w="1020" w:type="dxa"/>
            <w:vAlign w:val="bottom"/>
          </w:tcPr>
          <w:p>
            <w:pPr>
              <w:spacing w:after="0"/>
              <w:rPr>
                <w:sz w:val="24"/>
                <w:szCs w:val="24"/>
                <w:color w:val="auto"/>
              </w:rPr>
            </w:pPr>
          </w:p>
        </w:tc>
      </w:tr>
    </w:tbl>
    <w:p>
      <w:pPr>
        <w:sectPr>
          <w:pgSz w:w="11900" w:h="16838" w:orient="portrait"/>
          <w:cols w:equalWidth="0" w:num="1">
            <w:col w:w="10159"/>
          </w:cols>
          <w:pgMar w:left="300" w:top="609" w:right="1440" w:bottom="1440" w:gutter="0" w:footer="0" w:header="0"/>
        </w:sectPr>
      </w:pPr>
    </w:p>
    <w:bookmarkStart w:id="46" w:name="page47"/>
    <w:bookmarkEnd w:id="46"/>
    <w:p>
      <w:pPr>
        <w:ind w:right="3879"/>
        <w:spacing w:after="0" w:line="248" w:lineRule="auto"/>
        <w:rPr>
          <w:sz w:val="20"/>
          <w:szCs w:val="20"/>
          <w:color w:val="auto"/>
        </w:rPr>
      </w:pPr>
      <w:r>
        <w:rPr>
          <w:rFonts w:ascii="Courier New" w:cs="Courier New" w:eastAsia="Courier New" w:hAnsi="Courier New"/>
          <w:sz w:val="14"/>
          <w:szCs w:val="14"/>
          <w:color w:val="auto"/>
        </w:rPr>
        <w:t>The assumed discount rate used to determine the accumulated postretirement benefit obligation was 7.75% for 1999 and 7% for 1998.</w:t>
      </w:r>
    </w:p>
    <w:p>
      <w:pPr>
        <w:spacing w:after="0" w:line="161"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If the assumed medical cost trend rate was increased by one percentage point, health care cost in 1999 would have been $39 million, and the accumulated postretirement benefit obligation would have been $372 million on December 31, 1999.</w:t>
      </w:r>
    </w:p>
    <w:p>
      <w:pPr>
        <w:spacing w:after="0" w:line="162"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If the assumed medical cost trend rate was decreased by one percentage point, health care cost in 1999 would have been $26 million, and the accumulated postretirement benefit obligation would have been $278 million on December 31, 1999.</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159"/>
          </w:cols>
          <w:pgMar w:left="300" w:top="609"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4"/>
          <w:szCs w:val="14"/>
          <w:color w:val="auto"/>
        </w:rPr>
        <w:t>Supplementary Information</w:t>
      </w:r>
    </w:p>
    <w:p>
      <w:pPr>
        <w:spacing w:after="0" w:line="168" w:lineRule="exact"/>
        <w:rPr>
          <w:sz w:val="20"/>
          <w:szCs w:val="20"/>
          <w:color w:val="auto"/>
        </w:rPr>
      </w:pPr>
    </w:p>
    <w:p>
      <w:pPr>
        <w:ind w:right="3699"/>
        <w:spacing w:after="0" w:line="248" w:lineRule="auto"/>
        <w:rPr>
          <w:sz w:val="20"/>
          <w:szCs w:val="20"/>
          <w:color w:val="auto"/>
        </w:rPr>
      </w:pPr>
      <w:r>
        <w:rPr>
          <w:rFonts w:ascii="Courier New" w:cs="Courier New" w:eastAsia="Courier New" w:hAnsi="Courier New"/>
          <w:sz w:val="14"/>
          <w:szCs w:val="14"/>
          <w:color w:val="auto"/>
        </w:rPr>
        <w:t>Operating revenue and related cost of goods sold and services for continuing operations comprised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72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156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(Stated in millions)</w:t>
            </w:r>
          </w:p>
        </w:tc>
        <w:tc>
          <w:tcPr>
            <w:tcW w:w="720" w:type="dxa"/>
            <w:vAlign w:val="bottom"/>
          </w:tcPr>
          <w:p>
            <w:pPr>
              <w:spacing w:after="0"/>
              <w:rPr>
                <w:sz w:val="13"/>
                <w:szCs w:val="13"/>
                <w:color w:val="auto"/>
              </w:rPr>
            </w:pPr>
          </w:p>
        </w:tc>
      </w:tr>
      <w:tr>
        <w:trPr>
          <w:trHeight w:val="163"/>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December 31,</w:t>
            </w:r>
          </w:p>
        </w:tc>
        <w:tc>
          <w:tcPr>
            <w:tcW w:w="15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1999</w:t>
            </w:r>
          </w:p>
        </w:tc>
        <w:tc>
          <w:tcPr>
            <w:tcW w:w="180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1998</w:t>
            </w:r>
          </w:p>
        </w:tc>
        <w:tc>
          <w:tcPr>
            <w:tcW w:w="7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27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Sales</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$ 3,822</w:t>
            </w:r>
          </w:p>
        </w:tc>
        <w:tc>
          <w:tcPr>
            <w:tcW w:w="18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$ 4,623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$ 4,703</w:t>
            </w:r>
          </w:p>
        </w:tc>
      </w:tr>
      <w:tr>
        <w:trPr>
          <w:trHeight w:val="163"/>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Services</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4,573</w:t>
            </w:r>
          </w:p>
        </w:tc>
        <w:tc>
          <w:tcPr>
            <w:tcW w:w="18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6,102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5,949</w:t>
            </w:r>
          </w:p>
        </w:tc>
      </w:tr>
      <w:tr>
        <w:trPr>
          <w:trHeight w:val="163"/>
        </w:trPr>
        <w:tc>
          <w:tcPr>
            <w:tcW w:w="27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7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$ 8,395</w:t>
            </w:r>
          </w:p>
        </w:tc>
        <w:tc>
          <w:tcPr>
            <w:tcW w:w="18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$10,725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$10,652</w:t>
            </w:r>
          </w:p>
        </w:tc>
      </w:tr>
      <w:tr>
        <w:trPr>
          <w:trHeight w:val="163"/>
        </w:trPr>
        <w:tc>
          <w:tcPr>
            <w:tcW w:w="27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Direct operating costs</w:t>
            </w:r>
          </w:p>
        </w:tc>
        <w:tc>
          <w:tcPr>
            <w:tcW w:w="1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Goods sold</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$ 2,461</w:t>
            </w:r>
          </w:p>
        </w:tc>
        <w:tc>
          <w:tcPr>
            <w:tcW w:w="18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$ 2,916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$ 2,949</w:t>
            </w:r>
          </w:p>
        </w:tc>
      </w:tr>
      <w:tr>
        <w:trPr>
          <w:trHeight w:val="163"/>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Services</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4,288</w:t>
            </w:r>
          </w:p>
        </w:tc>
        <w:tc>
          <w:tcPr>
            <w:tcW w:w="18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5,498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4,899</w:t>
            </w:r>
          </w:p>
        </w:tc>
      </w:tr>
      <w:tr>
        <w:trPr>
          <w:trHeight w:val="163"/>
        </w:trPr>
        <w:tc>
          <w:tcPr>
            <w:tcW w:w="27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7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$ 6,749</w:t>
            </w:r>
          </w:p>
        </w:tc>
        <w:tc>
          <w:tcPr>
            <w:tcW w:w="18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$ 8,414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$ 7,848</w:t>
            </w:r>
          </w:p>
        </w:tc>
      </w:tr>
      <w:tr>
        <w:trPr>
          <w:trHeight w:val="163"/>
        </w:trPr>
        <w:tc>
          <w:tcPr>
            <w:tcW w:w="27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4039"/>
        <w:spacing w:after="0" w:line="248" w:lineRule="auto"/>
        <w:rPr>
          <w:sz w:val="20"/>
          <w:szCs w:val="20"/>
          <w:color w:val="auto"/>
        </w:rPr>
      </w:pPr>
      <w:r>
        <w:rPr>
          <w:rFonts w:ascii="Courier New" w:cs="Courier New" w:eastAsia="Courier New" w:hAnsi="Courier New"/>
          <w:sz w:val="14"/>
          <w:szCs w:val="14"/>
          <w:color w:val="auto"/>
        </w:rPr>
        <w:t>Cash paid for interest and income taxes for continuing operations was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46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1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w w:val="99"/>
              </w:rPr>
              <w:t>(Stated in millions)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3"/>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December 31,</w:t>
            </w:r>
          </w:p>
        </w:tc>
        <w:tc>
          <w:tcPr>
            <w:tcW w:w="12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780" w:type="dxa"/>
            <w:vAlign w:val="bottom"/>
          </w:tcPr>
          <w:p>
            <w:pPr>
              <w:spacing w:after="0"/>
              <w:rPr>
                <w:sz w:val="14"/>
                <w:szCs w:val="14"/>
                <w:color w:val="auto"/>
              </w:rPr>
            </w:pPr>
          </w:p>
        </w:tc>
        <w:tc>
          <w:tcPr>
            <w:tcW w:w="10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1998</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2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c>
          <w:tcPr>
            <w:tcW w:w="780" w:type="dxa"/>
            <w:vAlign w:val="bottom"/>
          </w:tcPr>
          <w:p>
            <w:pPr>
              <w:spacing w:after="0"/>
              <w:rPr>
                <w:sz w:val="14"/>
                <w:szCs w:val="14"/>
                <w:color w:val="auto"/>
              </w:rPr>
            </w:pPr>
          </w:p>
        </w:tc>
        <w:tc>
          <w:tcPr>
            <w:tcW w:w="1060" w:type="dxa"/>
            <w:vAlign w:val="bottom"/>
          </w:tcPr>
          <w:p>
            <w:pPr>
              <w:jc w:val="right"/>
              <w:ind w:right="489"/>
              <w:spacing w:after="0"/>
              <w:rPr>
                <w:sz w:val="20"/>
                <w:szCs w:val="20"/>
                <w:color w:val="auto"/>
              </w:rPr>
            </w:pPr>
            <w:r>
              <w:rPr>
                <w:rFonts w:ascii="Courier New" w:cs="Courier New" w:eastAsia="Courier New" w:hAnsi="Courier New"/>
                <w:sz w:val="14"/>
                <w:szCs w:val="14"/>
                <w:color w:val="auto"/>
                <w:w w:val="95"/>
              </w:rPr>
              <w:t>------</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163"/>
        </w:trPr>
        <w:tc>
          <w:tcPr>
            <w:tcW w:w="246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128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3"/>
        </w:trPr>
        <w:tc>
          <w:tcPr>
            <w:tcW w:w="246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182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299</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296</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payable and accrued liabilities are summarized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4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33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(Stated in millions)</w:t>
            </w:r>
          </w:p>
        </w:tc>
      </w:tr>
      <w:tr>
        <w:trPr>
          <w:trHeight w:val="163"/>
        </w:trPr>
        <w:tc>
          <w:tcPr>
            <w:tcW w:w="344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3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1999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3440" w:type="dxa"/>
            <w:vAlign w:val="bottom"/>
          </w:tcPr>
          <w:p>
            <w:pPr>
              <w:spacing w:after="0"/>
              <w:rPr>
                <w:sz w:val="14"/>
                <w:szCs w:val="14"/>
                <w:color w:val="auto"/>
              </w:rPr>
            </w:pPr>
          </w:p>
        </w:tc>
        <w:tc>
          <w:tcPr>
            <w:tcW w:w="23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440" w:type="dxa"/>
            <w:vAlign w:val="bottom"/>
          </w:tcPr>
          <w:p>
            <w:pPr>
              <w:spacing w:after="0"/>
              <w:rPr>
                <w:sz w:val="20"/>
                <w:szCs w:val="20"/>
                <w:color w:val="auto"/>
              </w:rPr>
            </w:pPr>
            <w:r>
              <w:rPr>
                <w:rFonts w:ascii="Courier New" w:cs="Courier New" w:eastAsia="Courier New" w:hAnsi="Courier New"/>
                <w:sz w:val="14"/>
                <w:szCs w:val="14"/>
                <w:color w:val="auto"/>
              </w:rPr>
              <w:t>Payroll, vacation and</w:t>
            </w:r>
          </w:p>
        </w:tc>
        <w:tc>
          <w:tcPr>
            <w:tcW w:w="2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3440" w:type="dxa"/>
            <w:vAlign w:val="bottom"/>
          </w:tcPr>
          <w:p>
            <w:pPr>
              <w:ind w:left="260"/>
              <w:spacing w:after="0"/>
              <w:rPr>
                <w:sz w:val="20"/>
                <w:szCs w:val="20"/>
                <w:color w:val="auto"/>
              </w:rPr>
            </w:pPr>
            <w:r>
              <w:rPr>
                <w:rFonts w:ascii="Courier New" w:cs="Courier New" w:eastAsia="Courier New" w:hAnsi="Courier New"/>
                <w:sz w:val="14"/>
                <w:szCs w:val="14"/>
                <w:color w:val="auto"/>
              </w:rPr>
              <w:t>employee benefits</w:t>
            </w:r>
          </w:p>
        </w:tc>
        <w:tc>
          <w:tcPr>
            <w:tcW w:w="23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  564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582</w:t>
            </w:r>
          </w:p>
        </w:tc>
      </w:tr>
      <w:tr>
        <w:trPr>
          <w:trHeight w:val="163"/>
        </w:trPr>
        <w:tc>
          <w:tcPr>
            <w:tcW w:w="3440" w:type="dxa"/>
            <w:vAlign w:val="bottom"/>
          </w:tcPr>
          <w:p>
            <w:pPr>
              <w:spacing w:after="0"/>
              <w:rPr>
                <w:sz w:val="20"/>
                <w:szCs w:val="20"/>
                <w:color w:val="auto"/>
              </w:rPr>
            </w:pPr>
            <w:r>
              <w:rPr>
                <w:rFonts w:ascii="Courier New" w:cs="Courier New" w:eastAsia="Courier New" w:hAnsi="Courier New"/>
                <w:sz w:val="14"/>
                <w:szCs w:val="14"/>
                <w:color w:val="auto"/>
              </w:rPr>
              <w:t>Trade</w:t>
            </w:r>
          </w:p>
        </w:tc>
        <w:tc>
          <w:tcPr>
            <w:tcW w:w="23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663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820</w:t>
            </w:r>
          </w:p>
        </w:tc>
      </w:tr>
      <w:tr>
        <w:trPr>
          <w:trHeight w:val="163"/>
        </w:trPr>
        <w:tc>
          <w:tcPr>
            <w:tcW w:w="3440" w:type="dxa"/>
            <w:vAlign w:val="bottom"/>
          </w:tcPr>
          <w:p>
            <w:pPr>
              <w:spacing w:after="0"/>
              <w:rPr>
                <w:sz w:val="20"/>
                <w:szCs w:val="20"/>
                <w:color w:val="auto"/>
              </w:rPr>
            </w:pPr>
            <w:r>
              <w:rPr>
                <w:rFonts w:ascii="Courier New" w:cs="Courier New" w:eastAsia="Courier New" w:hAnsi="Courier New"/>
                <w:sz w:val="14"/>
                <w:szCs w:val="14"/>
                <w:color w:val="auto"/>
              </w:rPr>
              <w:t>Taxes, other than income</w:t>
            </w:r>
          </w:p>
        </w:tc>
        <w:tc>
          <w:tcPr>
            <w:tcW w:w="23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169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176</w:t>
            </w:r>
          </w:p>
        </w:tc>
      </w:tr>
      <w:tr>
        <w:trPr>
          <w:trHeight w:val="163"/>
        </w:trPr>
        <w:tc>
          <w:tcPr>
            <w:tcW w:w="34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3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887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962</w:t>
            </w:r>
          </w:p>
        </w:tc>
      </w:tr>
      <w:tr>
        <w:trPr>
          <w:trHeight w:val="163"/>
        </w:trPr>
        <w:tc>
          <w:tcPr>
            <w:tcW w:w="3440" w:type="dxa"/>
            <w:vAlign w:val="bottom"/>
          </w:tcPr>
          <w:p>
            <w:pPr>
              <w:spacing w:after="0"/>
              <w:rPr>
                <w:sz w:val="14"/>
                <w:szCs w:val="14"/>
                <w:color w:val="auto"/>
              </w:rPr>
            </w:pPr>
          </w:p>
        </w:tc>
        <w:tc>
          <w:tcPr>
            <w:tcW w:w="23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440" w:type="dxa"/>
            <w:vAlign w:val="bottom"/>
          </w:tcPr>
          <w:p>
            <w:pPr>
              <w:spacing w:after="0"/>
              <w:rPr>
                <w:sz w:val="14"/>
                <w:szCs w:val="14"/>
                <w:color w:val="auto"/>
              </w:rPr>
            </w:pPr>
          </w:p>
        </w:tc>
        <w:tc>
          <w:tcPr>
            <w:tcW w:w="23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$2,283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$2,540</w:t>
            </w:r>
          </w:p>
        </w:tc>
      </w:tr>
      <w:tr>
        <w:trPr>
          <w:trHeight w:val="163"/>
        </w:trPr>
        <w:tc>
          <w:tcPr>
            <w:tcW w:w="3440" w:type="dxa"/>
            <w:vAlign w:val="bottom"/>
          </w:tcPr>
          <w:p>
            <w:pPr>
              <w:spacing w:after="0"/>
              <w:rPr>
                <w:sz w:val="14"/>
                <w:szCs w:val="14"/>
                <w:color w:val="auto"/>
              </w:rPr>
            </w:pPr>
          </w:p>
        </w:tc>
        <w:tc>
          <w:tcPr>
            <w:tcW w:w="23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Interest and other income includes interest income, principally from short-term and long-term investments, of $235 million, $167 million and $99 million for 1999, 1998 and 1997, respectively, and in 1999, a gain of $103 million on the sale of financial instruments.</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24</w:t>
      </w:r>
    </w:p>
    <w:sectPr>
      <w:pgSz w:w="11900" w:h="16838" w:orient="portrait"/>
      <w:cols w:equalWidth="0" w:num="1">
        <w:col w:w="10159"/>
      </w:cols>
      <w:pgMar w:left="300" w:top="6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upperLetter"/>
      <w:start w:val="24"/>
    </w:lvl>
  </w:abstractNum>
  <w:abstractNum w:abstractNumId="1">
    <w:nsid w:val="7C83E458"/>
    <w:multiLevelType w:val="hybridMultilevel"/>
    <w:lvl w:ilvl="0">
      <w:lvlJc w:val="left"/>
      <w:lvlText w:val="-"/>
      <w:numFmt w:val="bullet"/>
      <w:start w:val="1"/>
    </w:lvl>
    <w:lvl w:ilvl="1">
      <w:lvlJc w:val="left"/>
      <w:lvlText w:val="^^"/>
      <w:numFmt w:val="bullet"/>
      <w:start w:val="1"/>
    </w:lvl>
  </w:abstractNum>
  <w:abstractNum w:abstractNumId="2">
    <w:nsid w:val="257130A3"/>
    <w:multiLevelType w:val="hybridMultilevel"/>
    <w:lvl w:ilvl="0">
      <w:lvlJc w:val="left"/>
      <w:lvlText w:val="[%1]"/>
      <w:numFmt w:val="upperLetter"/>
      <w:start w:val="24"/>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4"/>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8"/>
    </w:lvl>
  </w:abstractNum>
  <w:abstractNum w:abstractNumId="9">
    <w:nsid w:val="2D1D5AE9"/>
    <w:multiLevelType w:val="hybridMultilevel"/>
    <w:lvl w:ilvl="0">
      <w:lvlJc w:val="left"/>
      <w:lvlText w:val="-"/>
      <w:numFmt w:val="bullet"/>
      <w:start w:val="1"/>
    </w:lvl>
    <w:lvl w:ilvl="1">
      <w:lvlJc w:val="left"/>
      <w:lvlText w:val="(%2)"/>
      <w:numFmt w:val="decimal"/>
      <w:start w:val="1"/>
    </w:lvl>
  </w:abstractNum>
  <w:abstractNum w:abstractNumId="10">
    <w:nsid w:val="6763845E"/>
    <w:multiLevelType w:val="hybridMultilevel"/>
    <w:lvl w:ilvl="0">
      <w:lvlJc w:val="left"/>
      <w:lvlText w:val="(%1)"/>
      <w:numFmt w:val="decimal"/>
      <w:start w:val="4"/>
    </w:lvl>
  </w:abstractNum>
  <w:abstractNum w:abstractNumId="11">
    <w:nsid w:val="75A2A8D4"/>
    <w:multiLevelType w:val="hybridMultilevel"/>
    <w:lvl w:ilvl="0">
      <w:lvlJc w:val="left"/>
      <w:lvlText w:val="(%1)"/>
      <w:numFmt w:val="decimal"/>
      <w:start w:val="1"/>
    </w:lvl>
    <w:lvl w:ilvl="1">
      <w:lvlJc w:val="left"/>
      <w:lvlText w:val="(%2)"/>
      <w:numFmt w:val="lowerLetter"/>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P"/>
      <w:numFmt w:val="bullet"/>
      <w:start w:val="1"/>
    </w:lvl>
  </w:abstractNum>
  <w:abstractNum w:abstractNumId="15">
    <w:nsid w:val="B03E0C6"/>
    <w:multiLevelType w:val="hybridMultilevel"/>
    <w:lvl w:ilvl="0">
      <w:lvlJc w:val="left"/>
      <w:lvlText w:val="R"/>
      <w:numFmt w:val="bullet"/>
      <w:start w:val="1"/>
    </w:lvl>
  </w:abstractNum>
  <w:abstractNum w:abstractNumId="16">
    <w:nsid w:val="189A769B"/>
    <w:multiLevelType w:val="hybridMultilevel"/>
    <w:lvl w:ilvl="0">
      <w:lvlJc w:val="left"/>
      <w:lvlText w:val="O"/>
      <w:numFmt w:val="bullet"/>
      <w:start w:val="1"/>
    </w:lvl>
  </w:abstractNum>
  <w:abstractNum w:abstractNumId="17">
    <w:nsid w:val="54E49EB4"/>
    <w:multiLevelType w:val="hybridMultilevel"/>
    <w:lvl w:ilvl="0">
      <w:lvlJc w:val="left"/>
      <w:lvlText w:val="Y"/>
      <w:numFmt w:val="bullet"/>
      <w:start w:val="1"/>
    </w:lvl>
  </w:abstractNum>
  <w:abstractNum w:abstractNumId="18">
    <w:nsid w:val="71F32454"/>
    <w:multiLevelType w:val="hybridMultilevel"/>
    <w:lvl w:ilvl="0">
      <w:lvlJc w:val="left"/>
      <w:lvlText w:val="[%1]"/>
      <w:numFmt w:val="upperLetter"/>
      <w:start w:val="24"/>
    </w:lvl>
  </w:abstractNum>
  <w:abstractNum w:abstractNumId="19">
    <w:nsid w:val="2CA88611"/>
    <w:multiLevelType w:val="hybridMultilevel"/>
    <w:lvl w:ilvl="0">
      <w:lvlJc w:val="left"/>
      <w:lvlText w:val="o"/>
      <w:numFmt w:val="bullet"/>
      <w:start w:val="1"/>
    </w:lvl>
  </w:abstractNum>
  <w:abstractNum w:abstractNumId="20">
    <w:nsid w:val="836C40E"/>
    <w:multiLevelType w:val="hybridMultilevel"/>
    <w:lvl w:ilvl="0">
      <w:lvlJc w:val="left"/>
      <w:lvlText w:val="o"/>
      <w:numFmt w:val="bullet"/>
      <w:start w:val="1"/>
    </w:lvl>
  </w:abstractNum>
  <w:abstractNum w:abstractNumId="21">
    <w:nsid w:val="2901D82"/>
    <w:multiLevelType w:val="hybridMultilevel"/>
    <w:lvl w:ilvl="0">
      <w:lvlJc w:val="left"/>
      <w:lvlText w:val="o"/>
      <w:numFmt w:val="bullet"/>
      <w:start w:val="1"/>
    </w:lvl>
  </w:abstractNum>
  <w:abstractNum w:abstractNumId="22">
    <w:nsid w:val="3A95F874"/>
    <w:multiLevelType w:val="hybridMultilevel"/>
    <w:lvl w:ilvl="0">
      <w:lvlJc w:val="left"/>
      <w:lvlText w:val="o"/>
      <w:numFmt w:val="bullet"/>
      <w:start w:val="1"/>
    </w:lvl>
  </w:abstractNum>
  <w:abstractNum w:abstractNumId="23">
    <w:nsid w:val="8138641"/>
    <w:multiLevelType w:val="hybridMultilevel"/>
    <w:lvl w:ilvl="0">
      <w:lvlJc w:val="left"/>
      <w:lvlText w:val="o"/>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2020-10-07T01:31:38Z</dcterms:created>
  <dcterms:modified xsi:type="dcterms:W3CDTF">2020-10-07T01:31:38Z</dcterms:modified>
</cp:coreProperties>
</file>