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May 8, 2023</w:t>
      </w:r>
    </w:p>
    <w:p>
      <w:pPr>
        <w:spacing w:after="0" w:line="14"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34"/>
          <w:szCs w:val="34"/>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S-3</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jc w:val="center"/>
        <w:ind w:right="-119"/>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9" w:lineRule="exact"/>
        <w:rPr>
          <w:sz w:val="24"/>
          <w:szCs w:val="24"/>
          <w:color w:val="auto"/>
        </w:rPr>
      </w:pPr>
    </w:p>
    <w:p>
      <w:pPr>
        <w:jc w:val="center"/>
        <w:ind w:left="440" w:right="2660"/>
        <w:spacing w:after="0" w:line="252" w:lineRule="auto"/>
        <w:rPr>
          <w:sz w:val="20"/>
          <w:szCs w:val="20"/>
          <w:color w:val="auto"/>
        </w:rPr>
      </w:pPr>
      <w:r>
        <w:rPr>
          <w:rFonts w:ascii="Arial" w:cs="Arial" w:eastAsia="Arial" w:hAnsi="Arial"/>
          <w:sz w:val="32"/>
          <w:szCs w:val="32"/>
          <w:b w:val="1"/>
          <w:bCs w:val="1"/>
          <w:color w:val="auto"/>
        </w:rPr>
        <w:t>SCHLUMBERGER N.V. (SCHLUMBERGER LIMITED) SCHLUMBERGER INVESTMENT S.A.</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Schlumberger Limited</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Schlumberger Investment S.A.</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Curaçao</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Luxembourg</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color w:val="auto"/>
              </w:rPr>
              <w:t>(State or other jurisdiction of incorporation or organization)</w:t>
            </w:r>
          </w:p>
        </w:tc>
        <w:tc>
          <w:tcPr>
            <w:tcW w:w="5080" w:type="dxa"/>
            <w:vAlign w:val="bottom"/>
            <w:gridSpan w:val="2"/>
          </w:tcPr>
          <w:p>
            <w:pPr>
              <w:jc w:val="center"/>
              <w:ind w:left="168"/>
              <w:spacing w:after="0"/>
              <w:rPr>
                <w:sz w:val="20"/>
                <w:szCs w:val="20"/>
                <w:color w:val="auto"/>
              </w:rPr>
            </w:pPr>
            <w:r>
              <w:rPr>
                <w:rFonts w:ascii="Arial" w:cs="Arial" w:eastAsia="Arial" w:hAnsi="Arial"/>
                <w:sz w:val="14"/>
                <w:szCs w:val="14"/>
                <w:color w:val="auto"/>
              </w:rPr>
              <w:t>(State or other jurisdiction of incorporation or organization)</w:t>
            </w:r>
          </w:p>
        </w:tc>
        <w:tc>
          <w:tcPr>
            <w:tcW w:w="0" w:type="dxa"/>
            <w:vAlign w:val="bottom"/>
          </w:tcPr>
          <w:p>
            <w:pPr>
              <w:spacing w:after="0"/>
              <w:rPr>
                <w:sz w:val="1"/>
                <w:szCs w:val="1"/>
                <w:color w:val="auto"/>
              </w:rPr>
            </w:pPr>
          </w:p>
        </w:tc>
      </w:tr>
      <w:tr>
        <w:trPr>
          <w:trHeight w:val="162"/>
        </w:trPr>
        <w:tc>
          <w:tcPr>
            <w:tcW w:w="4240" w:type="dxa"/>
            <w:vAlign w:val="bottom"/>
          </w:tcPr>
          <w:p>
            <w:pPr>
              <w:jc w:val="right"/>
              <w:ind w:right="1108"/>
              <w:spacing w:after="0"/>
              <w:rPr>
                <w:sz w:val="20"/>
                <w:szCs w:val="20"/>
                <w:color w:val="auto"/>
              </w:rPr>
            </w:pPr>
            <w:r>
              <w:rPr>
                <w:rFonts w:ascii="Arial" w:cs="Arial" w:eastAsia="Arial" w:hAnsi="Arial"/>
                <w:sz w:val="14"/>
                <w:szCs w:val="14"/>
                <w:b w:val="1"/>
                <w:bCs w:val="1"/>
                <w:color w:val="auto"/>
              </w:rPr>
              <w:t>52-0684746</w:t>
            </w:r>
          </w:p>
        </w:tc>
        <w:tc>
          <w:tcPr>
            <w:tcW w:w="1340" w:type="dxa"/>
            <w:vAlign w:val="bottom"/>
          </w:tcPr>
          <w:p>
            <w:pPr>
              <w:spacing w:after="0"/>
              <w:rPr>
                <w:sz w:val="14"/>
                <w:szCs w:val="14"/>
                <w:color w:val="auto"/>
              </w:rPr>
            </w:pPr>
          </w:p>
        </w:tc>
        <w:tc>
          <w:tcPr>
            <w:tcW w:w="50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00-0000000</w:t>
            </w:r>
          </w:p>
        </w:tc>
        <w:tc>
          <w:tcPr>
            <w:tcW w:w="0" w:type="dxa"/>
            <w:vAlign w:val="bottom"/>
          </w:tcPr>
          <w:p>
            <w:pPr>
              <w:spacing w:after="0"/>
              <w:rPr>
                <w:sz w:val="1"/>
                <w:szCs w:val="1"/>
                <w:color w:val="auto"/>
              </w:rPr>
            </w:pPr>
          </w:p>
        </w:tc>
      </w:tr>
      <w:tr>
        <w:trPr>
          <w:trHeight w:val="190"/>
        </w:trPr>
        <w:tc>
          <w:tcPr>
            <w:tcW w:w="5580" w:type="dxa"/>
            <w:vAlign w:val="bottom"/>
            <w:gridSpan w:val="2"/>
          </w:tcPr>
          <w:p>
            <w:pPr>
              <w:jc w:val="center"/>
              <w:ind w:right="240"/>
              <w:spacing w:after="0"/>
              <w:rPr>
                <w:sz w:val="20"/>
                <w:szCs w:val="20"/>
                <w:color w:val="auto"/>
              </w:rPr>
            </w:pPr>
            <w:r>
              <w:rPr>
                <w:rFonts w:ascii="Arial" w:cs="Arial" w:eastAsia="Arial" w:hAnsi="Arial"/>
                <w:sz w:val="14"/>
                <w:szCs w:val="14"/>
                <w:color w:val="auto"/>
              </w:rPr>
              <w:t>(I.R.S. Employer Identification Number)</w:t>
            </w:r>
          </w:p>
        </w:tc>
        <w:tc>
          <w:tcPr>
            <w:tcW w:w="980" w:type="dxa"/>
            <w:vAlign w:val="bottom"/>
          </w:tcPr>
          <w:p>
            <w:pPr>
              <w:spacing w:after="0"/>
              <w:rPr>
                <w:sz w:val="16"/>
                <w:szCs w:val="16"/>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color w:val="auto"/>
              </w:rPr>
              <w:t>(I.R.S. Employer Identification Number)</w:t>
            </w:r>
          </w:p>
        </w:tc>
        <w:tc>
          <w:tcPr>
            <w:tcW w:w="0" w:type="dxa"/>
            <w:vAlign w:val="bottom"/>
          </w:tcPr>
          <w:p>
            <w:pPr>
              <w:spacing w:after="0"/>
              <w:rPr>
                <w:sz w:val="1"/>
                <w:szCs w:val="1"/>
                <w:color w:val="auto"/>
              </w:rPr>
            </w:pPr>
          </w:p>
        </w:tc>
      </w:tr>
      <w:tr>
        <w:trPr>
          <w:trHeight w:val="269"/>
        </w:trPr>
        <w:tc>
          <w:tcPr>
            <w:tcW w:w="5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42 rue Saint-Dominique</w:t>
            </w:r>
          </w:p>
        </w:tc>
        <w:tc>
          <w:tcPr>
            <w:tcW w:w="980" w:type="dxa"/>
            <w:vAlign w:val="bottom"/>
          </w:tcPr>
          <w:p>
            <w:pPr>
              <w:spacing w:after="0"/>
              <w:rPr>
                <w:sz w:val="23"/>
                <w:szCs w:val="23"/>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Schlumberger Investment S.A.</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Paris, France 75007</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5, Place de la Gare</w:t>
            </w:r>
          </w:p>
        </w:tc>
        <w:tc>
          <w:tcPr>
            <w:tcW w:w="0" w:type="dxa"/>
            <w:vAlign w:val="bottom"/>
          </w:tcPr>
          <w:p>
            <w:pPr>
              <w:spacing w:after="0"/>
              <w:rPr>
                <w:sz w:val="1"/>
                <w:szCs w:val="1"/>
                <w:color w:val="auto"/>
              </w:rPr>
            </w:pPr>
          </w:p>
        </w:tc>
      </w:tr>
      <w:tr>
        <w:trPr>
          <w:trHeight w:val="162"/>
        </w:trPr>
        <w:tc>
          <w:tcPr>
            <w:tcW w:w="5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5599 San Felipe</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L-1616 Luxembourg,</w:t>
            </w:r>
          </w:p>
        </w:tc>
        <w:tc>
          <w:tcPr>
            <w:tcW w:w="0" w:type="dxa"/>
            <w:vAlign w:val="bottom"/>
          </w:tcPr>
          <w:p>
            <w:pPr>
              <w:spacing w:after="0"/>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100" w:type="dxa"/>
            <w:vAlign w:val="bottom"/>
          </w:tcPr>
          <w:p>
            <w:pPr>
              <w:jc w:val="center"/>
              <w:ind w:right="668"/>
              <w:spacing w:after="0" w:line="145" w:lineRule="exact"/>
              <w:rPr>
                <w:sz w:val="20"/>
                <w:szCs w:val="20"/>
                <w:color w:val="auto"/>
              </w:rPr>
            </w:pPr>
            <w:r>
              <w:rPr>
                <w:rFonts w:ascii="Arial" w:cs="Arial" w:eastAsia="Arial" w:hAnsi="Arial"/>
                <w:sz w:val="14"/>
                <w:szCs w:val="14"/>
                <w:b w:val="1"/>
                <w:bCs w:val="1"/>
                <w:color w:val="auto"/>
              </w:rPr>
              <w:t>Grand Duchy of</w:t>
            </w:r>
          </w:p>
        </w:tc>
        <w:tc>
          <w:tcPr>
            <w:tcW w:w="0" w:type="dxa"/>
            <w:vAlign w:val="bottom"/>
          </w:tcPr>
          <w:p>
            <w:pPr>
              <w:spacing w:after="0"/>
              <w:rPr>
                <w:sz w:val="1"/>
                <w:szCs w:val="1"/>
                <w:color w:val="auto"/>
              </w:rPr>
            </w:pPr>
          </w:p>
        </w:tc>
      </w:tr>
      <w:tr>
        <w:trPr>
          <w:trHeight w:val="180"/>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Houston, Texas, U.S.A. 77056</w:t>
            </w:r>
          </w:p>
        </w:tc>
        <w:tc>
          <w:tcPr>
            <w:tcW w:w="980" w:type="dxa"/>
            <w:vAlign w:val="bottom"/>
          </w:tcPr>
          <w:p>
            <w:pPr>
              <w:spacing w:after="0"/>
              <w:rPr>
                <w:sz w:val="15"/>
                <w:szCs w:val="15"/>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Luxembourg</w:t>
            </w:r>
          </w:p>
        </w:tc>
        <w:tc>
          <w:tcPr>
            <w:tcW w:w="0" w:type="dxa"/>
            <w:vAlign w:val="bottom"/>
          </w:tcPr>
          <w:p>
            <w:pPr>
              <w:spacing w:after="0"/>
              <w:rPr>
                <w:sz w:val="1"/>
                <w:szCs w:val="1"/>
                <w:color w:val="auto"/>
              </w:rPr>
            </w:pPr>
          </w:p>
        </w:tc>
      </w:tr>
      <w:tr>
        <w:trPr>
          <w:trHeight w:val="162"/>
        </w:trPr>
        <w:tc>
          <w:tcPr>
            <w:tcW w:w="5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62 Buckingham Gate</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B 163.122</w:t>
            </w:r>
          </w:p>
        </w:tc>
        <w:tc>
          <w:tcPr>
            <w:tcW w:w="0" w:type="dxa"/>
            <w:vAlign w:val="bottom"/>
          </w:tcPr>
          <w:p>
            <w:pPr>
              <w:spacing w:after="0"/>
              <w:rPr>
                <w:sz w:val="1"/>
                <w:szCs w:val="1"/>
                <w:color w:val="auto"/>
              </w:rPr>
            </w:pPr>
          </w:p>
        </w:tc>
      </w:tr>
      <w:tr>
        <w:trPr>
          <w:trHeight w:val="81"/>
        </w:trPr>
        <w:tc>
          <w:tcPr>
            <w:tcW w:w="5580" w:type="dxa"/>
            <w:vAlign w:val="bottom"/>
            <w:gridSpan w:val="2"/>
            <w:vMerge w:val="continue"/>
          </w:tcPr>
          <w:p>
            <w:pPr>
              <w:spacing w:after="0"/>
              <w:rPr>
                <w:sz w:val="7"/>
                <w:szCs w:val="7"/>
                <w:color w:val="auto"/>
              </w:rPr>
            </w:pPr>
          </w:p>
        </w:tc>
        <w:tc>
          <w:tcPr>
            <w:tcW w:w="508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rPr>
              <w:t>+352 284 878 1045</w:t>
            </w:r>
          </w:p>
        </w:tc>
        <w:tc>
          <w:tcPr>
            <w:tcW w:w="0" w:type="dxa"/>
            <w:vAlign w:val="bottom"/>
          </w:tcPr>
          <w:p>
            <w:pPr>
              <w:spacing w:after="0"/>
              <w:rPr>
                <w:sz w:val="1"/>
                <w:szCs w:val="1"/>
                <w:color w:val="auto"/>
              </w:rPr>
            </w:pPr>
          </w:p>
        </w:tc>
      </w:tr>
      <w:tr>
        <w:trPr>
          <w:trHeight w:val="81"/>
        </w:trPr>
        <w:tc>
          <w:tcPr>
            <w:tcW w:w="5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London, United Kingdom SW1E 6AJ</w:t>
            </w:r>
          </w:p>
        </w:tc>
        <w:tc>
          <w:tcPr>
            <w:tcW w:w="5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580" w:type="dxa"/>
            <w:vAlign w:val="bottom"/>
            <w:gridSpan w:val="2"/>
            <w:vMerge w:val="continue"/>
          </w:tcPr>
          <w:p>
            <w:pPr>
              <w:spacing w:after="0"/>
              <w:rPr>
                <w:sz w:val="10"/>
                <w:szCs w:val="10"/>
                <w:color w:val="auto"/>
              </w:rPr>
            </w:pPr>
          </w:p>
        </w:tc>
        <w:tc>
          <w:tcPr>
            <w:tcW w:w="508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rPr>
              <w:t>(Address, including zip code, and telephone number, including area code, of</w:t>
            </w: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Parkstraat 83</w:t>
            </w:r>
          </w:p>
        </w:tc>
        <w:tc>
          <w:tcPr>
            <w:tcW w:w="980" w:type="dxa"/>
            <w:vAlign w:val="bottom"/>
          </w:tcPr>
          <w:p>
            <w:pPr>
              <w:spacing w:after="0"/>
              <w:rPr>
                <w:sz w:val="17"/>
                <w:szCs w:val="17"/>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color w:val="auto"/>
              </w:rPr>
              <w:t>registrant’s principal executive offices)</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 Hague, The Netherlands, 2514 JG</w:t>
            </w:r>
          </w:p>
        </w:tc>
        <w:tc>
          <w:tcPr>
            <w:tcW w:w="9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80" w:type="dxa"/>
            <w:vAlign w:val="bottom"/>
            <w:gridSpan w:val="2"/>
          </w:tcPr>
          <w:p>
            <w:pPr>
              <w:jc w:val="center"/>
              <w:ind w:right="220"/>
              <w:spacing w:after="0"/>
              <w:rPr>
                <w:sz w:val="20"/>
                <w:szCs w:val="20"/>
                <w:color w:val="auto"/>
              </w:rPr>
            </w:pPr>
            <w:r>
              <w:rPr>
                <w:rFonts w:ascii="Arial" w:cs="Arial" w:eastAsia="Arial" w:hAnsi="Arial"/>
                <w:sz w:val="14"/>
                <w:szCs w:val="14"/>
                <w:color w:val="auto"/>
              </w:rPr>
              <w:t>(Addresses, including zip codes of principal executive offices)</w:t>
            </w:r>
          </w:p>
        </w:tc>
        <w:tc>
          <w:tcPr>
            <w:tcW w:w="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Schlumberger Limited’s telephone number in the United States, including area</w:t>
            </w:r>
          </w:p>
        </w:tc>
        <w:tc>
          <w:tcPr>
            <w:tcW w:w="9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code, is: (713) 513-2000</w:t>
            </w:r>
          </w:p>
        </w:tc>
        <w:tc>
          <w:tcPr>
            <w:tcW w:w="9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Dianne B. Ralston</w:t>
            </w:r>
          </w:p>
        </w:tc>
        <w:tc>
          <w:tcPr>
            <w:tcW w:w="980" w:type="dxa"/>
            <w:vAlign w:val="bottom"/>
          </w:tcPr>
          <w:p>
            <w:pPr>
              <w:spacing w:after="0"/>
              <w:rPr>
                <w:sz w:val="18"/>
                <w:szCs w:val="18"/>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i w:val="1"/>
                <w:iCs w:val="1"/>
                <w:color w:val="auto"/>
              </w:rPr>
              <w:t>Copy to:</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Chief Legal Officer and Secretary</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Andrew L. Fabens</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Schlumberger Limited</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Gibson, Dunn &amp; Crutcher LLP</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5599 San Felipe</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200 Park Avenue</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Houston, Texas, U.S.A. 77056</w:t>
            </w:r>
          </w:p>
        </w:tc>
        <w:tc>
          <w:tcPr>
            <w:tcW w:w="980" w:type="dxa"/>
            <w:vAlign w:val="bottom"/>
          </w:tcPr>
          <w:p>
            <w:pPr>
              <w:spacing w:after="0"/>
              <w:rPr>
                <w:sz w:val="14"/>
                <w:szCs w:val="14"/>
                <w:color w:val="auto"/>
              </w:rPr>
            </w:pPr>
          </w:p>
        </w:tc>
        <w:tc>
          <w:tcPr>
            <w:tcW w:w="4100" w:type="dxa"/>
            <w:vAlign w:val="bottom"/>
          </w:tcPr>
          <w:p>
            <w:pPr>
              <w:jc w:val="center"/>
              <w:ind w:right="668"/>
              <w:spacing w:after="0"/>
              <w:rPr>
                <w:sz w:val="20"/>
                <w:szCs w:val="20"/>
                <w:color w:val="auto"/>
              </w:rPr>
            </w:pPr>
            <w:r>
              <w:rPr>
                <w:rFonts w:ascii="Arial" w:cs="Arial" w:eastAsia="Arial" w:hAnsi="Arial"/>
                <w:sz w:val="14"/>
                <w:szCs w:val="14"/>
                <w:b w:val="1"/>
                <w:bCs w:val="1"/>
                <w:color w:val="auto"/>
              </w:rPr>
              <w:t>New York, New York 10166-0193</w:t>
            </w:r>
          </w:p>
        </w:tc>
        <w:tc>
          <w:tcPr>
            <w:tcW w:w="0" w:type="dxa"/>
            <w:vAlign w:val="bottom"/>
          </w:tcPr>
          <w:p>
            <w:pPr>
              <w:spacing w:after="0"/>
              <w:rPr>
                <w:sz w:val="1"/>
                <w:szCs w:val="1"/>
                <w:color w:val="auto"/>
              </w:rPr>
            </w:pPr>
          </w:p>
        </w:tc>
      </w:tr>
      <w:tr>
        <w:trPr>
          <w:trHeight w:val="162"/>
        </w:trPr>
        <w:tc>
          <w:tcPr>
            <w:tcW w:w="4240" w:type="dxa"/>
            <w:vAlign w:val="bottom"/>
          </w:tcPr>
          <w:p>
            <w:pPr>
              <w:jc w:val="right"/>
              <w:ind w:right="1008"/>
              <w:spacing w:after="0"/>
              <w:rPr>
                <w:sz w:val="20"/>
                <w:szCs w:val="20"/>
                <w:color w:val="auto"/>
              </w:rPr>
            </w:pPr>
            <w:r>
              <w:rPr>
                <w:rFonts w:ascii="Arial" w:cs="Arial" w:eastAsia="Arial" w:hAnsi="Arial"/>
                <w:sz w:val="14"/>
                <w:szCs w:val="14"/>
                <w:b w:val="1"/>
                <w:bCs w:val="1"/>
                <w:color w:val="auto"/>
              </w:rPr>
              <w:t>(713) 375-2000</w:t>
            </w:r>
          </w:p>
        </w:tc>
        <w:tc>
          <w:tcPr>
            <w:tcW w:w="1340" w:type="dxa"/>
            <w:vAlign w:val="bottom"/>
          </w:tcPr>
          <w:p>
            <w:pPr>
              <w:spacing w:after="0"/>
              <w:rPr>
                <w:sz w:val="14"/>
                <w:szCs w:val="14"/>
                <w:color w:val="auto"/>
              </w:rPr>
            </w:pPr>
          </w:p>
        </w:tc>
        <w:tc>
          <w:tcPr>
            <w:tcW w:w="50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(212) 351-4000</w:t>
            </w:r>
          </w:p>
        </w:tc>
        <w:tc>
          <w:tcPr>
            <w:tcW w:w="0" w:type="dxa"/>
            <w:vAlign w:val="bottom"/>
          </w:tcPr>
          <w:p>
            <w:pPr>
              <w:spacing w:after="0"/>
              <w:rPr>
                <w:sz w:val="1"/>
                <w:szCs w:val="1"/>
                <w:color w:val="auto"/>
              </w:rPr>
            </w:pPr>
          </w:p>
        </w:tc>
      </w:tr>
      <w:tr>
        <w:trPr>
          <w:trHeight w:val="162"/>
        </w:trPr>
        <w:tc>
          <w:tcPr>
            <w:tcW w:w="5580" w:type="dxa"/>
            <w:vAlign w:val="bottom"/>
            <w:gridSpan w:val="2"/>
          </w:tcPr>
          <w:p>
            <w:pPr>
              <w:jc w:val="center"/>
              <w:ind w:right="220"/>
              <w:spacing w:after="0"/>
              <w:rPr>
                <w:sz w:val="20"/>
                <w:szCs w:val="20"/>
                <w:color w:val="auto"/>
              </w:rPr>
            </w:pPr>
            <w:r>
              <w:rPr>
                <w:rFonts w:ascii="Arial" w:cs="Arial" w:eastAsia="Arial" w:hAnsi="Arial"/>
                <w:sz w:val="14"/>
                <w:szCs w:val="14"/>
                <w:color w:val="auto"/>
              </w:rPr>
              <w:t>(Name, address, including zip code, and telephone number, including area code, of</w:t>
            </w:r>
          </w:p>
        </w:tc>
        <w:tc>
          <w:tcPr>
            <w:tcW w:w="9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80" w:type="dxa"/>
            <w:vAlign w:val="bottom"/>
            <w:gridSpan w:val="2"/>
          </w:tcPr>
          <w:p>
            <w:pPr>
              <w:jc w:val="center"/>
              <w:ind w:right="220"/>
              <w:spacing w:after="0"/>
              <w:rPr>
                <w:sz w:val="20"/>
                <w:szCs w:val="20"/>
                <w:color w:val="auto"/>
              </w:rPr>
            </w:pPr>
            <w:r>
              <w:rPr>
                <w:rFonts w:ascii="Arial" w:cs="Arial" w:eastAsia="Arial" w:hAnsi="Arial"/>
                <w:sz w:val="14"/>
                <w:szCs w:val="14"/>
                <w:color w:val="auto"/>
              </w:rPr>
              <w:t>agent for service)</w:t>
            </w:r>
          </w:p>
        </w:tc>
        <w:tc>
          <w:tcPr>
            <w:tcW w:w="9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120" w:right="180" w:firstLine="440"/>
        <w:spacing w:after="0" w:line="262"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 as determined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Registrant.</w:t>
      </w:r>
    </w:p>
    <w:p>
      <w:pPr>
        <w:spacing w:after="0" w:line="1"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54" w:lineRule="exact"/>
        <w:rPr>
          <w:sz w:val="24"/>
          <w:szCs w:val="24"/>
          <w:color w:val="auto"/>
        </w:rPr>
      </w:pPr>
    </w:p>
    <w:p>
      <w:pPr>
        <w:ind w:left="120" w:right="140" w:firstLine="440"/>
        <w:spacing w:after="0" w:line="18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600" w:firstLine="440"/>
        <w:spacing w:after="0" w:line="18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500" w:firstLine="44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440" w:firstLine="440"/>
        <w:spacing w:after="0" w:line="18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500" w:firstLine="440"/>
        <w:spacing w:after="0" w:line="18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176" w:lineRule="exact"/>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4"/>
          <w:szCs w:val="14"/>
          <w:color w:val="auto"/>
        </w:rPr>
        <w: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36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ind w:left="120" w:right="200" w:firstLine="440"/>
        <w:spacing w:after="0" w:line="28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163195</wp:posOffset>
            </wp:positionV>
            <wp:extent cx="122555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under number B 163.122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71"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22"/>
          <w:szCs w:val="22"/>
          <w:b w:val="1"/>
          <w:bCs w:val="1"/>
          <w:color w:val="auto"/>
        </w:rPr>
        <w:t>Investing in the securities involves risks. You should carefully consider the information in the “</w:t>
      </w:r>
      <w:r>
        <w:rPr>
          <w:rFonts w:ascii="Arial" w:cs="Arial" w:eastAsia="Arial" w:hAnsi="Arial"/>
          <w:sz w:val="22"/>
          <w:szCs w:val="22"/>
          <w:b w:val="1"/>
          <w:bCs w:val="1"/>
          <w:u w:val="single" w:color="auto"/>
          <w:color w:val="0000EE"/>
        </w:rPr>
        <w:t>Risk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 section beginning on page 5 of this prospectus, including those risks incorporated by reference</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0"/>
          <w:szCs w:val="20"/>
          <w:color w:val="auto"/>
        </w:rPr>
      </w:pPr>
    </w:p>
    <w:p>
      <w:pPr>
        <w:ind w:left="120" w:firstLine="440"/>
        <w:spacing w:after="0" w:line="309"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8, 2023</w:t>
      </w:r>
    </w:p>
    <w:p>
      <w:pPr>
        <w:sectPr>
          <w:pgSz w:w="11900" w:h="16838" w:orient="portrait"/>
          <w:cols w:equalWidth="0" w:num="1">
            <w:col w:w="11100"/>
          </w:cols>
          <w:pgMar w:left="320" w:top="45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2"/>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0000EE"/>
              </w:rPr>
              <w:t>About this Prospectus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About the Guarantor</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6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About the Company</w:t>
            </w:r>
          </w:p>
        </w:tc>
        <w:tc>
          <w:tcPr>
            <w:tcW w:w="2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89"/>
              </w:rPr>
              <w:t>Cautionary Statement</w:t>
            </w:r>
          </w:p>
        </w:tc>
        <w:tc>
          <w:tcPr>
            <w:tcW w:w="6920" w:type="dxa"/>
            <w:vAlign w:val="bottom"/>
            <w:gridSpan w:val="8"/>
          </w:tcPr>
          <w:p>
            <w:pPr>
              <w:ind w:left="200"/>
              <w:spacing w:after="0" w:line="182" w:lineRule="exact"/>
              <w:rPr>
                <w:sz w:val="20"/>
                <w:szCs w:val="20"/>
                <w:color w:val="auto"/>
              </w:rPr>
            </w:pPr>
            <w:r>
              <w:rPr>
                <w:rFonts w:ascii="Arial" w:cs="Arial" w:eastAsia="Arial" w:hAnsi="Arial"/>
                <w:sz w:val="18"/>
                <w:szCs w:val="18"/>
                <w:color w:val="0000EE"/>
              </w:rPr>
              <w:t>Regarding Forward-Looking Statements</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9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Risk Factors</w:t>
            </w: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Where You</w:t>
            </w:r>
          </w:p>
        </w:tc>
        <w:tc>
          <w:tcPr>
            <w:tcW w:w="7500" w:type="dxa"/>
            <w:vAlign w:val="bottom"/>
            <w:gridSpan w:val="12"/>
          </w:tcPr>
          <w:p>
            <w:pPr>
              <w:spacing w:after="0" w:line="182" w:lineRule="exact"/>
              <w:rPr>
                <w:sz w:val="20"/>
                <w:szCs w:val="20"/>
                <w:color w:val="auto"/>
              </w:rPr>
            </w:pPr>
            <w:r>
              <w:rPr>
                <w:rFonts w:ascii="Arial" w:cs="Arial" w:eastAsia="Arial" w:hAnsi="Arial"/>
                <w:sz w:val="18"/>
                <w:szCs w:val="18"/>
                <w:color w:val="0000EE"/>
              </w:rPr>
              <w:t>Can Find More Information</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3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Use of Proceeds</w:t>
            </w:r>
          </w:p>
        </w:tc>
        <w:tc>
          <w:tcPr>
            <w:tcW w:w="5180" w:type="dxa"/>
            <w:vAlign w:val="bottom"/>
            <w:gridSpan w:val="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Plan of Distribution</w:t>
            </w:r>
          </w:p>
        </w:tc>
        <w:tc>
          <w:tcPr>
            <w:tcW w:w="6140" w:type="dxa"/>
            <w:vAlign w:val="bottom"/>
            <w:gridSpan w:val="4"/>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Validity of the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9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Experts</w:t>
            </w:r>
          </w:p>
        </w:tc>
        <w:tc>
          <w:tcPr>
            <w:tcW w:w="6600" w:type="dxa"/>
            <w:vAlign w:val="bottom"/>
            <w:gridSpan w:val="5"/>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“Guarantor” refers to Schlumberger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“SLB Group” refers to Schlumberger Limited and its consolidated subsidiaries, including the Company; and</w:t>
      </w:r>
    </w:p>
    <w:p>
      <w:pPr>
        <w:spacing w:after="0" w:line="117"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 (the “Securities Act”).</w:t>
      </w:r>
    </w:p>
    <w:p>
      <w:pPr>
        <w:spacing w:after="0" w:line="15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5"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Schlumberger Limited’s financial statements. You can read the registration statement and exhibits on the SEC’s website or at the SEC as described under “Where You Can Find More Information.”</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Guarantor</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Schlumberger Limited, together with its subsidiaries, form a global technology company focused on driving energy innovation for a balanced planet. With a global presence in more than 100 countries and employees representing almost twice as many nationalities, the SLB Group works each day on innovating oil and gas, delivering digital at scale, decarbonizing industries, and developing and scaling new energy systems that accelerate the energy transition.</w:t>
      </w:r>
    </w:p>
    <w:p>
      <w:pPr>
        <w:spacing w:after="0" w:line="17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The Guarantor was founded in 1926 and is incorporated under the laws of Curaçao. The Guarantor is the ultimate parent of the Company.</w:t>
      </w:r>
    </w:p>
    <w:p>
      <w:pPr>
        <w:spacing w:after="0" w:line="154" w:lineRule="exact"/>
        <w:rPr>
          <w:sz w:val="20"/>
          <w:szCs w:val="20"/>
          <w:color w:val="auto"/>
        </w:rPr>
      </w:pPr>
    </w:p>
    <w:p>
      <w:pPr>
        <w:ind w:left="120" w:right="840" w:firstLine="440"/>
        <w:spacing w:after="0" w:line="271"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U.S. market for the Guarantor’s common stock is the New York Stock Exchange, where it is traded under the symbol “SLB.”</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Company</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Schlumberger Investment S.A. is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in 2011 under the laws of the Grand Duchy of Luxembourg (“Luxembourg”) and registered with the Luxembourg Trade and Companies Register (</w:t>
      </w:r>
      <w:r>
        <w:rPr>
          <w:rFonts w:ascii="Arial" w:cs="Arial" w:eastAsia="Arial" w:hAnsi="Arial"/>
          <w:sz w:val="18"/>
          <w:szCs w:val="18"/>
          <w:i w:val="1"/>
          <w:iCs w:val="1"/>
          <w:color w:val="auto"/>
        </w:rPr>
        <w:t>Registre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under number B 163.122. The Company has no subsidiaries, and its principal activities are debt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group financing. The Company is part of the SLB Group and all shares of the Company are owned indirectly by the Guarantor.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2" w:lineRule="exact"/>
        <w:rPr>
          <w:sz w:val="20"/>
          <w:szCs w:val="20"/>
          <w:color w:val="auto"/>
        </w:rPr>
      </w:pPr>
    </w:p>
    <w:p>
      <w:pPr>
        <w:ind w:left="1080" w:right="580" w:hanging="424"/>
        <w:spacing w:after="0" w:line="271"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Group’s financial and performance targets and other forecasts or expectations regarding, or dependent on, its business outlook;</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for the SLB Group as a whole and for each of its Divisions (and for specified business lines, geographic areas or technologies within each Division);</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forecasts or expectations regarding energy transition and global climate change;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by the SLB Group and the oil and gas industry;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strategies of the SLB Group, including digital and “fit for basin,” as well as the strategies of its customers;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Group’s effective tax rate;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Group’s Asset Performance Solutions projects, joint ventures, and other alliances;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Group’s response to the COVID-19 pandemic and its preparedness for other widespread health emergencies;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ongoing conflict in Ukraine on global energy supply;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access to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global economic and geopolitical conditions;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liquidity, including free cash flow;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results of operations, such as margin levels.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1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global economic and geopolitical conditions;</w:t>
      </w:r>
    </w:p>
    <w:p>
      <w:pPr>
        <w:spacing w:after="0" w:line="117"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SLB Group’s customers, and changes in the level of oil and natural gas exploration and development;</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operations and financial condition of the SLB Group’s customers and suppliers;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SLB Group’s inability to achieve its financial and performance targets and other forecasts and expectations;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SLB Group’s inability to achieve its net-zero carbon emissions goals or interim emissions reduction goals;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geopolitical and business conditions in key regions of the world;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conflict in Ukraine;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monetary policy by governments;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effects of health pandemics;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the SLB Group’s supply chain;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of future charges;</w:t>
      </w:r>
    </w:p>
    <w:p>
      <w:pPr>
        <w:spacing w:after="0" w:line="117"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SLB Group’s inability to recognize efficiencies and other intended benefits from its business strategies and initiatives, such as digital or new energy, as well as its cost reduction strategies;</w:t>
      </w:r>
    </w:p>
    <w:p>
      <w:pPr>
        <w:spacing w:after="0" w:line="59"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and climate-related initiatives;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competitiveness of alternative energy sources or product substitutes;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1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2022 and the Guarantor’s Quarterly Report on Form 10-Q for the fiscal quarter ended March 31, 2023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5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hanging="424"/>
        <w:spacing w:after="0" w:line="25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Guarantor’s </w:t>
      </w:r>
      <w:hyperlink r:id="rId28">
        <w:r>
          <w:rPr>
            <w:rFonts w:ascii="Arial" w:cs="Arial" w:eastAsia="Arial" w:hAnsi="Arial"/>
            <w:sz w:val="18"/>
            <w:szCs w:val="18"/>
            <w:u w:val="single" w:color="auto"/>
            <w:color w:val="0000EE"/>
          </w:rPr>
          <w:t>Annual Report on Form 10-K for the fiscal year ended December 31, 2022</w:t>
        </w:r>
      </w:hyperlink>
      <w:r>
        <w:rPr>
          <w:rFonts w:ascii="Arial" w:cs="Arial" w:eastAsia="Arial" w:hAnsi="Arial"/>
          <w:sz w:val="18"/>
          <w:szCs w:val="18"/>
          <w:color w:val="auto"/>
        </w:rPr>
        <w:t xml:space="preserve">, as filed with the SEC on January 25, 2023 (including the </w:t>
      </w:r>
      <w:hyperlink r:id="rId29">
        <w:r>
          <w:rPr>
            <w:rFonts w:ascii="Arial" w:cs="Arial" w:eastAsia="Arial" w:hAnsi="Arial"/>
            <w:sz w:val="18"/>
            <w:szCs w:val="18"/>
            <w:u w:val="single" w:color="auto"/>
            <w:color w:val="0000EE"/>
          </w:rPr>
          <w:t>portions of our proxy statement for our 2023 annual meeting of shareholders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therein);</w:t>
      </w:r>
    </w:p>
    <w:p>
      <w:pPr>
        <w:spacing w:after="0" w:line="74"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Form 10-Q for the fiscal quarter ended </w:t>
      </w:r>
      <w:hyperlink r:id="rId30">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as filed with the SEC on April 26, 2023; and</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20" w:hanging="424"/>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Guarantor’s Current Reports on Form 8-K as filed with the SEC on </w:t>
      </w:r>
      <w:hyperlink r:id="rId32">
        <w:r>
          <w:rPr>
            <w:rFonts w:ascii="Arial" w:cs="Arial" w:eastAsia="Arial" w:hAnsi="Arial"/>
            <w:sz w:val="18"/>
            <w:szCs w:val="18"/>
            <w:u w:val="single" w:color="auto"/>
            <w:color w:val="0000EE"/>
          </w:rPr>
          <w:t>April 6,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and </w:t>
      </w:r>
      <w:hyperlink r:id="rId34">
        <w:r>
          <w:rPr>
            <w:rFonts w:ascii="Arial" w:cs="Arial" w:eastAsia="Arial" w:hAnsi="Arial"/>
            <w:sz w:val="18"/>
            <w:szCs w:val="18"/>
            <w:u w:val="single" w:color="auto"/>
            <w:color w:val="0000EE"/>
          </w:rPr>
          <w:t>April 21, 2023</w:t>
        </w:r>
      </w:hyperlink>
      <w:r>
        <w:rPr>
          <w:rFonts w:ascii="Arial" w:cs="Arial" w:eastAsia="Arial" w:hAnsi="Arial"/>
          <w:sz w:val="18"/>
          <w:szCs w:val="18"/>
          <w:color w:val="auto"/>
        </w:rPr>
        <w:t xml:space="preserve"> (Items 5.03 and 5.05 only).</w:t>
      </w:r>
    </w:p>
    <w:p>
      <w:pPr>
        <w:spacing w:after="0" w:line="154" w:lineRule="exact"/>
        <w:rPr>
          <w:rFonts w:ascii="Arial" w:cs="Arial" w:eastAsia="Arial" w:hAnsi="Arial"/>
          <w:sz w:val="18"/>
          <w:szCs w:val="18"/>
          <w:color w:val="auto"/>
        </w:rPr>
      </w:pPr>
    </w:p>
    <w:p>
      <w:pPr>
        <w:ind w:left="120" w:firstLine="440"/>
        <w:spacing w:after="0" w:line="242"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79" w:lineRule="exact"/>
        <w:rPr>
          <w:rFonts w:ascii="Arial" w:cs="Arial" w:eastAsia="Arial" w:hAnsi="Arial"/>
          <w:sz w:val="18"/>
          <w:szCs w:val="18"/>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6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w:t>
      </w:r>
    </w:p>
    <w:p>
      <w:pPr>
        <w:jc w:val="center"/>
        <w:ind w:right="-11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37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rFonts w:ascii="Arial" w:cs="Arial" w:eastAsia="Arial" w:hAnsi="Arial"/>
          <w:sz w:val="18"/>
          <w:szCs w:val="18"/>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10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5"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 “Guarantor” refers to our parent company, Schlumberger Limited, and not to any of its subsidiaries, in each case unless otherwise stated or the context otherwise requires.</w:t>
      </w:r>
    </w:p>
    <w:p>
      <w:pPr>
        <w:spacing w:after="0" w:line="169"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 (as defined below).</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debt securities that we may issue will be senior debt securities that will be issued under an indenture, dated December 3, 2013, among us, Schlumberger Limited, as guarantor, and The Bank of New York Mellon, as trustee, as amended by the second supplemental indenture dated June 26, 2020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80"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5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w:t>
      </w:r>
    </w:p>
    <w:p>
      <w:pPr>
        <w:spacing w:after="0" w:line="2" w:lineRule="exact"/>
        <w:rPr>
          <w:sz w:val="20"/>
          <w:szCs w:val="20"/>
          <w:color w:val="auto"/>
        </w:rPr>
      </w:pPr>
    </w:p>
    <w:p>
      <w:pPr>
        <w:jc w:val="both"/>
        <w:ind w:left="120" w:right="140"/>
        <w:spacing w:after="0" w:line="264" w:lineRule="auto"/>
        <w:rPr>
          <w:sz w:val="20"/>
          <w:szCs w:val="20"/>
          <w:color w:val="auto"/>
        </w:rPr>
      </w:pPr>
      <w:r>
        <w:rPr>
          <w:rFonts w:ascii="Arial" w:cs="Arial" w:eastAsia="Arial" w:hAnsi="Arial"/>
          <w:sz w:val="17"/>
          <w:szCs w:val="17"/>
          <w:color w:val="auto"/>
        </w:rPr>
        <w:t>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6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5580" w:right="3740" w:hanging="4924"/>
        <w:spacing w:after="0" w:line="443"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 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17"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74" w:lineRule="exact"/>
        <w:rPr>
          <w:rFonts w:ascii="Arial" w:cs="Arial" w:eastAsia="Arial" w:hAnsi="Arial"/>
          <w:sz w:val="18"/>
          <w:szCs w:val="18"/>
          <w:color w:val="auto"/>
        </w:rPr>
      </w:pPr>
    </w:p>
    <w:p>
      <w:pPr>
        <w:ind w:left="1080" w:right="60" w:hanging="424"/>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79" w:lineRule="exact"/>
        <w:rPr>
          <w:rFonts w:ascii="Arial" w:cs="Arial" w:eastAsia="Arial" w:hAnsi="Arial"/>
          <w:sz w:val="18"/>
          <w:szCs w:val="18"/>
          <w:color w:val="auto"/>
        </w:rPr>
      </w:pPr>
    </w:p>
    <w:p>
      <w:pPr>
        <w:ind w:left="1080" w:right="320" w:hanging="424"/>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74" w:lineRule="exact"/>
        <w:rPr>
          <w:rFonts w:ascii="Arial" w:cs="Arial" w:eastAsia="Arial" w:hAnsi="Arial"/>
          <w:sz w:val="18"/>
          <w:szCs w:val="18"/>
          <w:color w:val="auto"/>
        </w:rPr>
      </w:pPr>
    </w:p>
    <w:p>
      <w:pPr>
        <w:ind w:left="1080" w:right="68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59"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defer the payment of interest and the duration of such extension or deferral;</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us, in whole or in part, at our option;</w:t>
      </w:r>
    </w:p>
    <w:p>
      <w:pPr>
        <w:spacing w:after="0" w:line="59" w:lineRule="exact"/>
        <w:rPr>
          <w:rFonts w:ascii="Arial" w:cs="Arial" w:eastAsia="Arial" w:hAnsi="Arial"/>
          <w:sz w:val="18"/>
          <w:szCs w:val="18"/>
          <w:color w:val="auto"/>
        </w:rPr>
      </w:pPr>
    </w:p>
    <w:p>
      <w:pPr>
        <w:ind w:left="1080" w:right="300" w:hanging="424"/>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17"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will be issuable;</w:t>
      </w:r>
    </w:p>
    <w:p>
      <w:pPr>
        <w:spacing w:after="0" w:line="59" w:lineRule="exact"/>
        <w:rPr>
          <w:rFonts w:ascii="Arial" w:cs="Arial" w:eastAsia="Arial" w:hAnsi="Arial"/>
          <w:sz w:val="18"/>
          <w:szCs w:val="18"/>
          <w:color w:val="auto"/>
        </w:rPr>
      </w:pPr>
    </w:p>
    <w:p>
      <w:pPr>
        <w:ind w:left="1080" w:right="16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will be payable;</w:t>
      </w:r>
    </w:p>
    <w:p>
      <w:pPr>
        <w:spacing w:after="0" w:line="59"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17" w:lineRule="exact"/>
        <w:rPr>
          <w:rFonts w:ascii="Arial" w:cs="Arial" w:eastAsia="Arial" w:hAnsi="Arial"/>
          <w:sz w:val="18"/>
          <w:szCs w:val="18"/>
          <w:color w:val="auto"/>
        </w:rPr>
      </w:pPr>
    </w:p>
    <w:p>
      <w:pPr>
        <w:jc w:val="both"/>
        <w:ind w:left="1080" w:right="360" w:hanging="424"/>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3" w:lineRule="auto"/>
        <w:rPr>
          <w:sz w:val="20"/>
          <w:szCs w:val="20"/>
          <w:color w:val="auto"/>
        </w:rPr>
      </w:pPr>
      <w:r>
        <w:rPr>
          <w:rFonts w:ascii="Arial" w:cs="Arial" w:eastAsia="Arial" w:hAnsi="Arial"/>
          <w:sz w:val="18"/>
          <w:szCs w:val="18"/>
          <w:color w:val="auto"/>
        </w:rPr>
        <w:t>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74" w:lineRule="exact"/>
        <w:rPr>
          <w:sz w:val="20"/>
          <w:szCs w:val="20"/>
          <w:color w:val="auto"/>
        </w:rPr>
      </w:pPr>
    </w:p>
    <w:p>
      <w:pPr>
        <w:ind w:left="1080" w:hanging="424"/>
        <w:spacing w:after="0" w:line="24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17" w:lineRule="exact"/>
        <w:rPr>
          <w:rFonts w:ascii="Arial" w:cs="Arial" w:eastAsia="Arial" w:hAnsi="Arial"/>
          <w:sz w:val="18"/>
          <w:szCs w:val="18"/>
          <w:color w:val="auto"/>
        </w:rPr>
      </w:pPr>
    </w:p>
    <w:p>
      <w:pPr>
        <w:ind w:left="1080" w:right="340" w:hanging="424"/>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17" w:lineRule="exact"/>
        <w:rPr>
          <w:rFonts w:ascii="Arial" w:cs="Arial" w:eastAsia="Arial" w:hAnsi="Arial"/>
          <w:sz w:val="18"/>
          <w:szCs w:val="18"/>
          <w:color w:val="auto"/>
        </w:rPr>
      </w:pPr>
    </w:p>
    <w:p>
      <w:pPr>
        <w:ind w:left="1080" w:right="520" w:hanging="424"/>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17" w:lineRule="exact"/>
        <w:rPr>
          <w:rFonts w:ascii="Arial" w:cs="Arial" w:eastAsia="Arial" w:hAnsi="Arial"/>
          <w:sz w:val="18"/>
          <w:szCs w:val="18"/>
          <w:color w:val="auto"/>
        </w:rPr>
      </w:pPr>
    </w:p>
    <w:p>
      <w:pPr>
        <w:ind w:left="1080" w:right="560" w:hanging="424"/>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9" w:lineRule="exact"/>
        <w:rPr>
          <w:rFonts w:ascii="Arial" w:cs="Arial" w:eastAsia="Arial" w:hAnsi="Arial"/>
          <w:sz w:val="18"/>
          <w:szCs w:val="18"/>
          <w:color w:val="auto"/>
        </w:rPr>
      </w:pPr>
    </w:p>
    <w:p>
      <w:pPr>
        <w:ind w:left="1080" w:right="80" w:hanging="424"/>
        <w:spacing w:after="0" w:line="24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4"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1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53"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9" w:lineRule="exact"/>
        <w:rPr>
          <w:sz w:val="20"/>
          <w:szCs w:val="20"/>
          <w:color w:val="auto"/>
        </w:rPr>
      </w:pPr>
    </w:p>
    <w:p>
      <w:pPr>
        <w:ind w:left="120" w:right="560" w:firstLine="440"/>
        <w:spacing w:after="0" w:line="25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Schlumberger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jc w:val="both"/>
        <w:ind w:left="1080" w:right="80" w:hanging="424"/>
        <w:spacing w:after="0" w:line="25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280" w:hanging="424"/>
        <w:spacing w:after="0" w:line="27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17" w:lineRule="exact"/>
        <w:rPr>
          <w:sz w:val="20"/>
          <w:szCs w:val="20"/>
          <w:color w:val="auto"/>
        </w:rPr>
      </w:pPr>
    </w:p>
    <w:p>
      <w:pPr>
        <w:ind w:left="1080" w:right="320" w:hanging="424"/>
        <w:spacing w:after="0" w:line="27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59" w:lineRule="exact"/>
        <w:rPr>
          <w:rFonts w:ascii="Arial" w:cs="Arial" w:eastAsia="Arial" w:hAnsi="Arial"/>
          <w:sz w:val="18"/>
          <w:szCs w:val="18"/>
          <w:color w:val="auto"/>
        </w:rPr>
      </w:pPr>
    </w:p>
    <w:p>
      <w:pPr>
        <w:ind w:left="1080" w:right="600" w:hanging="424"/>
        <w:spacing w:after="0" w:line="27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82" w:lineRule="exact"/>
        <w:rPr>
          <w:sz w:val="20"/>
          <w:szCs w:val="20"/>
          <w:color w:val="auto"/>
        </w:rPr>
      </w:pPr>
    </w:p>
    <w:p>
      <w:pPr>
        <w:ind w:left="1080" w:right="180" w:hanging="532"/>
        <w:spacing w:after="0" w:line="242"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84" w:lineRule="exact"/>
        <w:rPr>
          <w:rFonts w:ascii="Arial" w:cs="Arial" w:eastAsia="Arial" w:hAnsi="Arial"/>
          <w:sz w:val="18"/>
          <w:szCs w:val="18"/>
          <w:color w:val="auto"/>
        </w:rPr>
      </w:pPr>
    </w:p>
    <w:p>
      <w:pPr>
        <w:ind w:left="1080" w:right="160" w:hanging="532"/>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7" w:lineRule="exact"/>
        <w:rPr>
          <w:rFonts w:ascii="Arial" w:cs="Arial" w:eastAsia="Arial" w:hAnsi="Arial"/>
          <w:sz w:val="17"/>
          <w:szCs w:val="17"/>
          <w:color w:val="auto"/>
        </w:rPr>
      </w:pPr>
    </w:p>
    <w:p>
      <w:pPr>
        <w:ind w:left="1080" w:right="240" w:hanging="532"/>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79" w:lineRule="exact"/>
        <w:rPr>
          <w:rFonts w:ascii="Arial" w:cs="Arial" w:eastAsia="Arial" w:hAnsi="Arial"/>
          <w:sz w:val="18"/>
          <w:szCs w:val="18"/>
          <w:color w:val="auto"/>
        </w:rPr>
      </w:pPr>
    </w:p>
    <w:p>
      <w:pPr>
        <w:ind w:left="1080" w:right="160" w:hanging="532"/>
        <w:spacing w:after="0" w:line="301"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36" w:lineRule="exact"/>
        <w:rPr>
          <w:rFonts w:ascii="Arial" w:cs="Arial" w:eastAsia="Arial" w:hAnsi="Arial"/>
          <w:sz w:val="17"/>
          <w:szCs w:val="17"/>
          <w:color w:val="auto"/>
        </w:rPr>
      </w:pPr>
    </w:p>
    <w:p>
      <w:pPr>
        <w:ind w:left="1080" w:right="40" w:hanging="532"/>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 or the Guarantee;</w:t>
      </w:r>
    </w:p>
    <w:p>
      <w:pPr>
        <w:spacing w:after="0" w:line="59" w:lineRule="exact"/>
        <w:rPr>
          <w:rFonts w:ascii="Arial" w:cs="Arial" w:eastAsia="Arial" w:hAnsi="Arial"/>
          <w:sz w:val="18"/>
          <w:szCs w:val="18"/>
          <w:color w:val="auto"/>
        </w:rPr>
      </w:pPr>
    </w:p>
    <w:p>
      <w:pPr>
        <w:ind w:left="1080" w:right="16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12"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holder for any present or future stamp, issue, registration, court or documentary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6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7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7"/>
          <w:szCs w:val="17"/>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5" w:lineRule="exact"/>
        <w:rPr>
          <w:sz w:val="20"/>
          <w:szCs w:val="20"/>
          <w:color w:val="auto"/>
        </w:rPr>
      </w:pPr>
    </w:p>
    <w:p>
      <w:pPr>
        <w:ind w:left="1080" w:right="40" w:hanging="532"/>
        <w:spacing w:after="0" w:line="24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right="20" w:hanging="532"/>
        <w:spacing w:after="0" w:line="24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Issue Date, such later date).</w:t>
      </w:r>
    </w:p>
    <w:p>
      <w:pPr>
        <w:spacing w:after="0" w:line="17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83"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69"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in definitive, non-global form for redemption on a pro rata basis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6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76"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7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0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72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debt securities, provided that:</w:t>
      </w:r>
    </w:p>
    <w:p>
      <w:pPr>
        <w:spacing w:after="0" w:line="59" w:lineRule="exact"/>
        <w:rPr>
          <w:sz w:val="20"/>
          <w:szCs w:val="20"/>
          <w:color w:val="auto"/>
        </w:rPr>
      </w:pPr>
    </w:p>
    <w:p>
      <w:pPr>
        <w:ind w:left="540" w:right="460" w:hanging="424"/>
        <w:spacing w:after="0" w:line="27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540" w:right="480" w:hanging="424"/>
        <w:spacing w:after="0" w:line="27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8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9" w:lineRule="exact"/>
        <w:rPr>
          <w:sz w:val="20"/>
          <w:szCs w:val="20"/>
          <w:color w:val="auto"/>
        </w:rPr>
      </w:pPr>
    </w:p>
    <w:p>
      <w:pPr>
        <w:ind w:left="1080" w:right="640" w:hanging="424"/>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59" w:lineRule="exact"/>
        <w:rPr>
          <w:rFonts w:ascii="Arial" w:cs="Arial" w:eastAsia="Arial" w:hAnsi="Arial"/>
          <w:sz w:val="18"/>
          <w:szCs w:val="18"/>
          <w:color w:val="auto"/>
        </w:rPr>
      </w:pPr>
    </w:p>
    <w:p>
      <w:pPr>
        <w:ind w:left="1080" w:right="340" w:hanging="424"/>
        <w:spacing w:after="0" w:line="24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7"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5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14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17"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firstLine="440"/>
        <w:spacing w:after="0" w:line="254"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7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17"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17" w:lineRule="exact"/>
        <w:rPr>
          <w:rFonts w:ascii="Arial" w:cs="Arial" w:eastAsia="Arial" w:hAnsi="Arial"/>
          <w:sz w:val="18"/>
          <w:szCs w:val="18"/>
          <w:color w:val="auto"/>
        </w:rPr>
      </w:pPr>
    </w:p>
    <w:p>
      <w:pPr>
        <w:ind w:left="1080" w:right="200" w:hanging="424"/>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74"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hanging="424"/>
        <w:spacing w:after="0" w:line="24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17" w:lineRule="exact"/>
        <w:rPr>
          <w:rFonts w:ascii="Arial" w:cs="Arial" w:eastAsia="Arial" w:hAnsi="Arial"/>
          <w:sz w:val="18"/>
          <w:szCs w:val="18"/>
          <w:color w:val="auto"/>
        </w:rPr>
      </w:pPr>
    </w:p>
    <w:p>
      <w:pPr>
        <w:ind w:left="1080" w:right="80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59" w:lineRule="exact"/>
        <w:rPr>
          <w:rFonts w:ascii="Arial" w:cs="Arial" w:eastAsia="Arial" w:hAnsi="Arial"/>
          <w:sz w:val="18"/>
          <w:szCs w:val="18"/>
          <w:color w:val="auto"/>
        </w:rPr>
      </w:pPr>
    </w:p>
    <w:p>
      <w:pPr>
        <w:ind w:left="1080" w:right="70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if applicable;</w:t>
      </w:r>
    </w:p>
    <w:p>
      <w:pPr>
        <w:spacing w:after="0" w:line="59" w:lineRule="exact"/>
        <w:rPr>
          <w:rFonts w:ascii="Arial" w:cs="Arial" w:eastAsia="Arial" w:hAnsi="Arial"/>
          <w:sz w:val="18"/>
          <w:szCs w:val="18"/>
          <w:color w:val="auto"/>
        </w:rPr>
      </w:pPr>
    </w:p>
    <w:p>
      <w:pPr>
        <w:ind w:left="1080" w:right="40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9" w:lineRule="exact"/>
        <w:rPr>
          <w:rFonts w:ascii="Arial" w:cs="Arial" w:eastAsia="Arial" w:hAnsi="Arial"/>
          <w:sz w:val="18"/>
          <w:szCs w:val="18"/>
          <w:color w:val="auto"/>
        </w:rPr>
      </w:pPr>
    </w:p>
    <w:p>
      <w:pPr>
        <w:ind w:left="1080" w:right="260" w:hanging="424"/>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9"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17" w:lineRule="exact"/>
        <w:rPr>
          <w:rFonts w:ascii="Arial" w:cs="Arial" w:eastAsia="Arial" w:hAnsi="Arial"/>
          <w:sz w:val="18"/>
          <w:szCs w:val="18"/>
          <w:color w:val="auto"/>
        </w:rPr>
      </w:pPr>
    </w:p>
    <w:p>
      <w:pPr>
        <w:ind w:left="1080" w:right="64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0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79" w:lineRule="exact"/>
        <w:rPr>
          <w:sz w:val="20"/>
          <w:szCs w:val="20"/>
          <w:color w:val="auto"/>
        </w:rPr>
      </w:pPr>
    </w:p>
    <w:p>
      <w:pPr>
        <w:ind w:left="1080" w:right="840" w:hanging="424"/>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9" w:lineRule="exact"/>
        <w:rPr>
          <w:rFonts w:ascii="Arial" w:cs="Arial" w:eastAsia="Arial" w:hAnsi="Arial"/>
          <w:sz w:val="18"/>
          <w:szCs w:val="18"/>
          <w:color w:val="auto"/>
        </w:rPr>
      </w:pPr>
    </w:p>
    <w:p>
      <w:pPr>
        <w:ind w:left="1080" w:right="440" w:hanging="424"/>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5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79"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74"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0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debt securities.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right="300" w:firstLine="440"/>
        <w:spacing w:after="0" w:line="24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17" w:lineRule="exact"/>
        <w:rPr>
          <w:sz w:val="20"/>
          <w:szCs w:val="20"/>
          <w:color w:val="auto"/>
        </w:rPr>
      </w:pPr>
    </w:p>
    <w:p>
      <w:pPr>
        <w:ind w:left="1080" w:right="300" w:hanging="424"/>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9"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74"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5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340" w:hanging="424"/>
        <w:spacing w:after="0" w:line="271"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9"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So long as DTC or its nominee is the registered owner of a global security, DTC or its nominee, as the case may be, will be considered the sole owner and holder of the debt securities represented by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3"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4"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8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0"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6"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5"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380" w:firstLine="440"/>
        <w:spacing w:after="0" w:line="244"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320" w:top="455"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17"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underwriters, brokers or dealers;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1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5"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Validity of the Securities</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320" w:top="455" w:right="6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0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90"/>
        </w:trPr>
        <w:tc>
          <w:tcPr>
            <w:tcW w:w="6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SEC registration fee</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Printing expenses</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Trustee fees and expenses</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expenses</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300" w:type="dxa"/>
            <w:vAlign w:val="bottom"/>
            <w:shd w:val="clear" w:color="auto" w:fill="CCEEFF"/>
          </w:tcPr>
          <w:p>
            <w:pPr>
              <w:spacing w:after="0"/>
              <w:rPr>
                <w:sz w:val="17"/>
                <w:szCs w:val="17"/>
                <w:color w:val="auto"/>
              </w:rPr>
            </w:pPr>
          </w:p>
        </w:tc>
        <w:tc>
          <w:tcPr>
            <w:tcW w:w="65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60" w:hanging="424"/>
        <w:spacing w:after="0" w:line="24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as amended, we are deferring payment of all of the registration fee for the securities offered by this registration statement.</w:t>
      </w: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Article 10 of Schlumberger Limited’s Articles of Incorporation and Article V of Schlumberger Limited’s Amended and Restated By-laws contain provisions providing for indemnification of the Guarantor’s directors, officers, employees and agents. Article 10 of the Articles of Incorporation permits (but does not require) the Guarantor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the Guarantor’s Amended and Restated By-laws contains mandatory indemnification for current and former directors and officers as described below.</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To the fullest extent permitted by applicable law, the Guarantor will indemnify any person who was or is a party or is threatened to be made a party to any threatened, pending or completed action, suit or proceeding, whether civil, criminal, administrative or investigative (other than an action by or in the right of the Guarantor) by reason of the fact that he or she is or was a director, officer, employee or agent of the Guarantor,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Guarantor,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Guarantor, and, with respect to any criminal action or proceeding, had reasonable cause to believe that such person’s conduct was unlawful.</w:t>
      </w:r>
    </w:p>
    <w:p>
      <w:pPr>
        <w:spacing w:after="0" w:line="15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Guarantor is required to indemnify any current or former officer or director of the Guarantor to the fullest extent allowed by the preceding paragraphs in the event of a “Change of Control.” “Change of Control” means a change in control of the Guarantor, which will be deemed to have occurred if at any time:</w:t>
      </w:r>
    </w:p>
    <w:p>
      <w:pPr>
        <w:spacing w:after="0" w:line="74" w:lineRule="exact"/>
        <w:rPr>
          <w:sz w:val="20"/>
          <w:szCs w:val="20"/>
          <w:color w:val="auto"/>
        </w:rPr>
      </w:pPr>
    </w:p>
    <w:p>
      <w:pPr>
        <w:ind w:left="1080" w:right="180" w:hanging="424"/>
        <w:spacing w:after="0" w:line="24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the Guarantor representing 30% or more of the combined voting power of the Guarantor’s then outstanding shares without the prior approval of at least two-thirds of the members of our board of directors in office immediately prior to such entity, person or organization attaining such percentage interest;</w:t>
      </w:r>
    </w:p>
    <w:p>
      <w:pPr>
        <w:spacing w:after="0" w:line="79"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Guarantor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74" w:lineRule="exact"/>
        <w:rPr>
          <w:rFonts w:ascii="Arial" w:cs="Arial" w:eastAsia="Arial" w:hAnsi="Arial"/>
          <w:sz w:val="18"/>
          <w:szCs w:val="18"/>
          <w:color w:val="auto"/>
        </w:rPr>
      </w:pPr>
    </w:p>
    <w:p>
      <w:pPr>
        <w:jc w:val="both"/>
        <w:ind w:left="1080" w:right="160" w:hanging="424"/>
        <w:spacing w:after="0" w:line="24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the Guarantor’s stockholders was approved by a vote of at least two-thirds of the directors then still in office who were directors at the beginning of such period) cease for any reason to constitute at least a majority of our board of directors.</w:t>
      </w:r>
    </w:p>
    <w:p>
      <w:pPr>
        <w:spacing w:after="0" w:line="17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To the fullest extent permitted by applicable law, the Guarantor will indemnify any current or former director or officer who was or is a party or is threatened to be made a party to any threatened, pending or completed action or suit by or in the right of the Guarantor to procure a judgment in the Guarantor’s favor by reason of the fact that such person is or was a director, officer, employee or agent of the Guarantor, or is or was serving at the request of the Guarantor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Guarantor and except that no indemnification may be made with respect to any claim, issue or matter as to which such person has been finally adjudged to be liable to the Guarantor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Guarantor is required to indemnify any present or former officer or director to the fullest extent allowed by this paragraph in the event of a Change of Control (as defined above).</w:t>
      </w:r>
    </w:p>
    <w:p>
      <w:pPr>
        <w:spacing w:after="0" w:line="189"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SLB only as authorized by the Chief Executive Officer or by contract approved, or by-laws, resolution or other action adopted or taken, by the Guarantor’s board of directors or by the Guarantor’s stockholders.</w:t>
      </w:r>
    </w:p>
    <w:p>
      <w:pPr>
        <w:spacing w:after="0" w:line="16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Expenses (including attorneys’ fees) incurred by a current or former director or a current officer in defending any civil or criminal, administrative or investigative action, suit or proceeding will be paid by the Guarantor in advance of the final disposition of such action, suit or proceeding upon receipt of an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undertaking by or on behalf of such person to repay such amount if it is ultimately determined that such person is not entitled to be indemnified by the Guarantor.</w:t>
      </w:r>
    </w:p>
    <w:p>
      <w:pPr>
        <w:spacing w:after="0" w:line="15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Guarantor may pay such expenses (including attorneys’ fees) incurred by former officers or other employees and agents upon such terms and conditions, if any, it deems appropriate.</w:t>
      </w:r>
    </w:p>
    <w:p>
      <w:pPr>
        <w:spacing w:after="0" w:line="15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Guarantor has the power to purchase and maintain insurance on behalf of any person who is or was a director, officer, employee or agent of the Guarantor, or is or was serving at the request of the Guarantor in such a capacity for another corporation, partnership, joint venture, trust or other enterprise or entity against any liability asserted against that person and incurred by that person in any of those capacities or arising out of such person’s status as such, whether or not the Guarantor would have the power to indemnify such person against such liability.</w:t>
      </w:r>
    </w:p>
    <w:p>
      <w:pPr>
        <w:spacing w:after="0" w:line="17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References in this Item 15 to the Guarantor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85"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References to “other enterprises” includes employee benefit plans; references to “fines” includes any excise taxes assessed on a person with respect to any employee benefit plan; and references to “serving at the request of the Guarantor” includes any service as a director, officer, employee or agent of the Guarantor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the Guarantor.”</w:t>
      </w:r>
    </w:p>
    <w:p>
      <w:pPr>
        <w:spacing w:after="0" w:line="17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the Guarantor and upon such information, opinions, reports or statements presented to the Guarantor by any of the Guarantor’s officers or employees, or committees of our board of directors, or by any other person as to matters the member reasonably believes are within such other person’s professional or expert competence and who has been selected with reasonable care by or on behalf of the Guarantor.</w:t>
      </w:r>
    </w:p>
    <w:p>
      <w:pPr>
        <w:spacing w:after="0" w:line="176"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In addition, the Guarantor maintains directors’ and officers’ liability insurance that insures against certain liabilities that the officers and directors of the Guarantor may incur in such capacities.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Schlumberger Investment S.A.</w:t>
      </w:r>
    </w:p>
    <w:p>
      <w:pPr>
        <w:spacing w:after="0" w:line="10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coordinated version of the articles of association of Schlumberger Investment S.A. dated 2 September 2011 (the “Articles of Association”), provide that directors may not be held personally liable by reason of their mandate for any commitment they have legally and validly made in the Company’s name, provided those commitments comply with the Articles of Association and the Luxembourg law of 10 August 1915 on commercial companies, as amended (the “Luxembourg Companies Law”). Under Luxembourg law, the Company may not indemnify its directors against any matter arising from a director’s fraud, dishonesty, gross negligence or willful misconduct or any criminal actions.</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board of directors is the Company’s main decision-making body. Directors are agents of the company and owe a duty of care and loyalty to the company (as opposed to any individual shareholder), in whose interest they execute their mandate. The directors’ duty is to manage the affairs of the Company and have the power to take any action they consider necessary or useful to achieve the Company’s purpose, as defined in the Articles of Association, unless that action is reserved to the general meeting of shareholders (e.g., approval of the annual accounts) by the Luxembourg Companies Law or the Articles of Association. Although Luxembourg law, unlike common law jurisdictions, contains no such concept as “fiduciary duty” of directors, the directors of the Company are subject to various duties including the duty to act with loyalty, honesty and in good faith, in the Company’s corporate interest.</w:t>
      </w:r>
    </w:p>
    <w:p>
      <w:pPr>
        <w:spacing w:after="0" w:line="185"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Luxembourg law provides that the directors are liable to the Company in accordance with general law for the execution of the mandate given to them and for any misconduct in the management of the Company’s affairs. They are, in principle, not held personally liable for the indebtedness or other obligations of the Company. They will be jointly and severally liable both towards the Company and any third parties for damages resulting from the violation of the Luxembourg Companies Law or the Articles of Association. They will be discharged from such liability in a case of violation to which they were not a party provided no misconduct is attributable to them and they have reported such violation in the first general meeting after they had acquired knowledge thereof. In addition, directors may under specific circumstances also be subject to criminal liability, such as in the case of an abuse of corporate assets. In the event of bankruptcy directors may be subject to specific criminal and civil liabilities, including the extension of the bankruptcy to the directors.</w:t>
      </w:r>
    </w:p>
    <w:p>
      <w:pPr>
        <w:spacing w:after="0" w:line="180"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 xml:space="preserve">Luxembourg law </w:t>
      </w:r>
      <w:r>
        <w:rPr>
          <w:rFonts w:ascii="Arial" w:cs="Arial" w:eastAsia="Arial" w:hAnsi="Arial"/>
          <w:sz w:val="18"/>
          <w:szCs w:val="18"/>
          <w:i w:val="1"/>
          <w:iCs w:val="1"/>
          <w:color w:val="auto"/>
        </w:rPr>
        <w:t>considers</w:t>
      </w:r>
      <w:r>
        <w:rPr>
          <w:rFonts w:ascii="Arial" w:cs="Arial" w:eastAsia="Arial" w:hAnsi="Arial"/>
          <w:sz w:val="18"/>
          <w:szCs w:val="18"/>
          <w:color w:val="auto"/>
        </w:rPr>
        <w:t xml:space="preserve"> the provisions relating to the directors’ liability towards the Company to be of public order (</w:t>
      </w:r>
      <w:r>
        <w:rPr>
          <w:rFonts w:ascii="Arial" w:cs="Arial" w:eastAsia="Arial" w:hAnsi="Arial"/>
          <w:sz w:val="18"/>
          <w:szCs w:val="18"/>
          <w:i w:val="1"/>
          <w:iCs w:val="1"/>
          <w:color w:val="auto"/>
        </w:rPr>
        <w:t>ordre public</w:t>
      </w:r>
      <w:r>
        <w:rPr>
          <w:rFonts w:ascii="Arial" w:cs="Arial" w:eastAsia="Arial" w:hAnsi="Arial"/>
          <w:sz w:val="18"/>
          <w:szCs w:val="18"/>
          <w:color w:val="auto"/>
        </w:rPr>
        <w:t>). As a result, the Company cannot exonerate a director in advance of his or her liability being triggered towards the Company. Similarly, the Company cannot hold a director harmless for such liability. However, the Company can hold directors harmless for their liability towards third parties (i.e., other than the Company). The Company can purchase directors’ and officers’ liability insurance for its directors to cover both their civil liability towards the Company and third parties. Such insurances would, in principle, be valid, as they would only shift the monetary consequences of the directors’ liability, without affecting the right of the Company or third parties to bring such an action. Directors’ and officers’ liability insurance can never cover willful misconduct, fraudulent acts or acts caused by gross negligence since it would be contrary to public order and it is not effective in relation to fines and penalties related to criminal offenses.</w:t>
      </w:r>
    </w:p>
    <w:p>
      <w:pPr>
        <w:spacing w:after="0" w:line="180"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The approval of the Company’s purchase of directors’ and officers’ liability insurance itself, however, may raise a conflict of interest issue for its directors. In this respect, under Luxembourg law, any director having directly or indirectly a financial interest (</w:t>
      </w:r>
      <w:r>
        <w:rPr>
          <w:rFonts w:ascii="Arial" w:cs="Arial" w:eastAsia="Arial" w:hAnsi="Arial"/>
          <w:sz w:val="18"/>
          <w:szCs w:val="18"/>
          <w:i w:val="1"/>
          <w:iCs w:val="1"/>
          <w:color w:val="auto"/>
        </w:rPr>
        <w:t>intérêt de nature</w:t>
      </w:r>
      <w:r>
        <w:rPr>
          <w:rFonts w:ascii="Arial" w:cs="Arial" w:eastAsia="Arial" w:hAnsi="Arial"/>
          <w:sz w:val="18"/>
          <w:szCs w:val="18"/>
          <w:color w:val="auto"/>
        </w:rPr>
        <w:t xml:space="preserve"> </w:t>
      </w:r>
      <w:r>
        <w:rPr>
          <w:rFonts w:ascii="Arial" w:cs="Arial" w:eastAsia="Arial" w:hAnsi="Arial"/>
          <w:sz w:val="18"/>
          <w:szCs w:val="18"/>
          <w:i w:val="1"/>
          <w:iCs w:val="1"/>
          <w:color w:val="auto"/>
        </w:rPr>
        <w:t>patrimoniale</w:t>
      </w:r>
      <w:r>
        <w:rPr>
          <w:rFonts w:ascii="Arial" w:cs="Arial" w:eastAsia="Arial" w:hAnsi="Arial"/>
          <w:sz w:val="18"/>
          <w:szCs w:val="18"/>
          <w:color w:val="auto"/>
        </w:rPr>
        <w:t>) in a transaction submitted for approval to the board of directors that conflicts with that of the Company shall be obliged to</w:t>
      </w:r>
      <w:r>
        <w:rPr>
          <w:rFonts w:ascii="Arial" w:cs="Arial" w:eastAsia="Arial" w:hAnsi="Arial"/>
          <w:sz w:val="18"/>
          <w:szCs w:val="18"/>
          <w:i w:val="1"/>
          <w:iCs w:val="1"/>
          <w:color w:val="auto"/>
        </w:rPr>
        <w:t xml:space="preserve"> </w:t>
      </w:r>
      <w:r>
        <w:rPr>
          <w:rFonts w:ascii="Arial" w:cs="Arial" w:eastAsia="Arial" w:hAnsi="Arial"/>
          <w:sz w:val="18"/>
          <w:szCs w:val="18"/>
          <w:color w:val="auto"/>
        </w:rPr>
        <w:t>advise the board of directors of the conflict and to cause a record of his or her statement to be included in the minutes of the meeting of the board of directors. Such director may not take part in these deliberations and shall abstain from voting on any such transaction. At the next general meeting of shareholders of the Company, before any other resolution is put to vote, a special report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shall be made on any transactions in which any director may have an interest conflicting with that of the Company. These provisions do not apply where the decision of the board of directors relates to transactions entered into under normal conditions in the ordinary course of business.</w:t>
      </w:r>
    </w:p>
    <w:p>
      <w:pPr>
        <w:spacing w:after="0" w:line="169"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If the number of directors required by the articles of association of the Company to decide and vote on the relevant matter is not reached because of conflicts of interest, the board of directors may decide to refer the decision on that matter to the general meeting of shareholders of the Company.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are the exhibits included as part of this Registration Statement.</w:t>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0"/>
        </w:trPr>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Exhibit</w:t>
            </w:r>
          </w:p>
        </w:tc>
        <w:tc>
          <w:tcPr>
            <w:tcW w:w="984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Number</w:t>
            </w:r>
          </w:p>
        </w:tc>
        <w:tc>
          <w:tcPr>
            <w:tcW w:w="9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300" w:hanging="118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 of Underwriting Agreement.*</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3.1</w:t>
            </w:r>
          </w:p>
        </w:tc>
        <w:tc>
          <w:tcPr>
            <w:tcW w:w="9820" w:type="dxa"/>
            <w:vAlign w:val="bottom"/>
            <w:gridSpan w:val="16"/>
          </w:tcPr>
          <w:p>
            <w:pPr>
              <w:spacing w:after="0"/>
              <w:rPr>
                <w:rFonts w:ascii="Arial" w:cs="Arial" w:eastAsia="Arial" w:hAnsi="Arial"/>
                <w:sz w:val="18"/>
                <w:szCs w:val="18"/>
                <w:color w:val="0000EE"/>
              </w:rPr>
            </w:pPr>
            <w:hyperlink r:id="rId64">
              <w:r>
                <w:rPr>
                  <w:rFonts w:ascii="Arial" w:cs="Arial" w:eastAsia="Arial" w:hAnsi="Arial"/>
                  <w:sz w:val="18"/>
                  <w:szCs w:val="18"/>
                  <w:color w:val="0000EE"/>
                </w:rPr>
                <w:t>Articles of Incorporation of Schlumberger Limited (Schlumberger N.V.), as amended on April 6, 2016 (incorporated by</w:t>
              </w:r>
            </w:hyperlink>
          </w:p>
        </w:tc>
      </w:tr>
      <w:tr>
        <w:trPr>
          <w:trHeight w:val="183"/>
        </w:trPr>
        <w:tc>
          <w:tcPr>
            <w:tcW w:w="1180" w:type="dxa"/>
            <w:vAlign w:val="bottom"/>
          </w:tcPr>
          <w:p>
            <w:pPr>
              <w:spacing w:after="0"/>
              <w:rPr>
                <w:sz w:val="15"/>
                <w:szCs w:val="15"/>
                <w:color w:val="auto"/>
              </w:rPr>
            </w:pPr>
          </w:p>
        </w:tc>
        <w:tc>
          <w:tcPr>
            <w:tcW w:w="93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reference to Exhibit 3.1 to SLB’s Current Report on Form 8-K filed on April 6, 2016).</w:t>
              </w:r>
            </w:hyperlink>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3.2</w:t>
            </w:r>
          </w:p>
        </w:tc>
        <w:tc>
          <w:tcPr>
            <w:tcW w:w="9820" w:type="dxa"/>
            <w:vAlign w:val="bottom"/>
            <w:gridSpan w:val="16"/>
          </w:tcPr>
          <w:p>
            <w:pPr>
              <w:spacing w:after="0"/>
              <w:rPr>
                <w:rFonts w:ascii="Arial" w:cs="Arial" w:eastAsia="Arial" w:hAnsi="Arial"/>
                <w:sz w:val="18"/>
                <w:szCs w:val="18"/>
                <w:color w:val="0000EE"/>
              </w:rPr>
            </w:pPr>
            <w:hyperlink r:id="rId65">
              <w:r>
                <w:rPr>
                  <w:rFonts w:ascii="Arial" w:cs="Arial" w:eastAsia="Arial" w:hAnsi="Arial"/>
                  <w:sz w:val="18"/>
                  <w:szCs w:val="18"/>
                  <w:color w:val="0000EE"/>
                </w:rPr>
                <w:t>Amended and Restated By-Laws of Schlumberger Limited (Schlumberger N.V.), as amended on April 20, 2023</w:t>
              </w:r>
            </w:hyperlink>
          </w:p>
        </w:tc>
      </w:tr>
      <w:tr>
        <w:trPr>
          <w:trHeight w:val="183"/>
        </w:trPr>
        <w:tc>
          <w:tcPr>
            <w:tcW w:w="1180" w:type="dxa"/>
            <w:vAlign w:val="bottom"/>
          </w:tcPr>
          <w:p>
            <w:pPr>
              <w:spacing w:after="0"/>
              <w:rPr>
                <w:sz w:val="15"/>
                <w:szCs w:val="15"/>
                <w:color w:val="auto"/>
              </w:rPr>
            </w:pPr>
          </w:p>
        </w:tc>
        <w:tc>
          <w:tcPr>
            <w:tcW w:w="88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(incorporated by reference to Exhibit 3 to SLB’s Current Report on Form 8-K filed on April 21, 2023).</w:t>
              </w:r>
            </w:hyperlink>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3.3</w:t>
            </w:r>
          </w:p>
        </w:tc>
        <w:tc>
          <w:tcPr>
            <w:tcW w:w="9820" w:type="dxa"/>
            <w:vAlign w:val="bottom"/>
            <w:gridSpan w:val="16"/>
          </w:tcPr>
          <w:p>
            <w:pPr>
              <w:spacing w:after="0"/>
              <w:rPr>
                <w:rFonts w:ascii="Arial" w:cs="Arial" w:eastAsia="Arial" w:hAnsi="Arial"/>
                <w:sz w:val="18"/>
                <w:szCs w:val="18"/>
                <w:color w:val="0000EE"/>
              </w:rPr>
            </w:pPr>
            <w:hyperlink r:id="rId66">
              <w:r>
                <w:rPr>
                  <w:rFonts w:ascii="Arial" w:cs="Arial" w:eastAsia="Arial" w:hAnsi="Arial"/>
                  <w:sz w:val="18"/>
                  <w:szCs w:val="18"/>
                  <w:color w:val="0000EE"/>
                </w:rPr>
                <w:t>Consolidated Text of the Articles of Association of Schlumberger Investment S.A. (incorporated by reference to Exhibit 3.3</w:t>
              </w:r>
            </w:hyperlink>
          </w:p>
        </w:tc>
      </w:tr>
      <w:tr>
        <w:trPr>
          <w:trHeight w:val="182"/>
        </w:trPr>
        <w:tc>
          <w:tcPr>
            <w:tcW w:w="1180" w:type="dxa"/>
            <w:vAlign w:val="bottom"/>
          </w:tcPr>
          <w:p>
            <w:pPr>
              <w:spacing w:after="0"/>
              <w:rPr>
                <w:sz w:val="15"/>
                <w:szCs w:val="15"/>
                <w:color w:val="auto"/>
              </w:rPr>
            </w:pPr>
          </w:p>
        </w:tc>
        <w:tc>
          <w:tcPr>
            <w:tcW w:w="96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to SLB’s Registration Statement on Form S-3 filed on August 26, 2013).</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4.1</w:t>
            </w:r>
          </w:p>
        </w:tc>
        <w:tc>
          <w:tcPr>
            <w:tcW w:w="9820" w:type="dxa"/>
            <w:vAlign w:val="bottom"/>
            <w:gridSpan w:val="16"/>
          </w:tcPr>
          <w:p>
            <w:pPr>
              <w:spacing w:after="0"/>
              <w:rPr>
                <w:rFonts w:ascii="Arial" w:cs="Arial" w:eastAsia="Arial" w:hAnsi="Arial"/>
                <w:sz w:val="18"/>
                <w:szCs w:val="18"/>
                <w:color w:val="0000EE"/>
              </w:rPr>
            </w:pPr>
            <w:hyperlink r:id="rId67">
              <w:r>
                <w:rPr>
                  <w:rFonts w:ascii="Arial" w:cs="Arial" w:eastAsia="Arial" w:hAnsi="Arial"/>
                  <w:sz w:val="18"/>
                  <w:szCs w:val="18"/>
                  <w:color w:val="0000EE"/>
                </w:rPr>
                <w:t>Indenture dated as of December 3, 2013, by and among Schlumberger Investment S.A., as issuer, Schlumberger Limited,</w:t>
              </w:r>
            </w:hyperlink>
          </w:p>
        </w:tc>
      </w:tr>
      <w:tr>
        <w:trPr>
          <w:trHeight w:val="183"/>
        </w:trPr>
        <w:tc>
          <w:tcPr>
            <w:tcW w:w="1180" w:type="dxa"/>
            <w:vAlign w:val="bottom"/>
          </w:tcPr>
          <w:p>
            <w:pPr>
              <w:spacing w:after="0"/>
              <w:rPr>
                <w:sz w:val="15"/>
                <w:szCs w:val="15"/>
                <w:color w:val="auto"/>
              </w:rPr>
            </w:pPr>
          </w:p>
        </w:tc>
        <w:tc>
          <w:tcPr>
            <w:tcW w:w="97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as guarantor, and The Bank of New York Mellon, as trustee (incorporated by reference to Exhibit 4.1 to SLB’s Current</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3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Report on Form 8-K filed on December 3, 2013).</w:t>
              </w:r>
            </w:hyperlink>
          </w:p>
        </w:tc>
        <w:tc>
          <w:tcPr>
            <w:tcW w:w="2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4.2</w:t>
            </w:r>
          </w:p>
        </w:tc>
        <w:tc>
          <w:tcPr>
            <w:tcW w:w="9820" w:type="dxa"/>
            <w:vAlign w:val="bottom"/>
            <w:gridSpan w:val="16"/>
          </w:tcPr>
          <w:p>
            <w:pPr>
              <w:spacing w:after="0"/>
              <w:rPr>
                <w:rFonts w:ascii="Arial" w:cs="Arial" w:eastAsia="Arial" w:hAnsi="Arial"/>
                <w:sz w:val="18"/>
                <w:szCs w:val="18"/>
                <w:color w:val="0000EE"/>
              </w:rPr>
            </w:pPr>
            <w:hyperlink r:id="rId68">
              <w:r>
                <w:rPr>
                  <w:rFonts w:ascii="Arial" w:cs="Arial" w:eastAsia="Arial" w:hAnsi="Arial"/>
                  <w:sz w:val="18"/>
                  <w:szCs w:val="18"/>
                  <w:color w:val="0000EE"/>
                </w:rPr>
                <w:t>Second Supplemental Indenture dated as of June 26, 2020, by and among Schlumberger Investment S.A., as issuer,</w:t>
              </w:r>
            </w:hyperlink>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9820" w:type="dxa"/>
            <w:vAlign w:val="bottom"/>
            <w:gridSpan w:val="16"/>
          </w:tcPr>
          <w:p>
            <w:pPr>
              <w:spacing w:after="0" w:line="182"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Schlumberger Limited, as guarantor, and The Bank of New York Mellon, as trustee (incorporated by reference to Exhibit 4.1</w:t>
              </w:r>
            </w:hyperlink>
          </w:p>
        </w:tc>
      </w:tr>
      <w:tr>
        <w:trPr>
          <w:trHeight w:val="182"/>
        </w:trPr>
        <w:tc>
          <w:tcPr>
            <w:tcW w:w="1180" w:type="dxa"/>
            <w:vAlign w:val="bottom"/>
          </w:tcPr>
          <w:p>
            <w:pPr>
              <w:spacing w:after="0"/>
              <w:rPr>
                <w:sz w:val="15"/>
                <w:szCs w:val="15"/>
                <w:color w:val="auto"/>
              </w:rPr>
            </w:pPr>
          </w:p>
        </w:tc>
        <w:tc>
          <w:tcPr>
            <w:tcW w:w="4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to SLB’s Current Report on Form 8-K filed on June 26, 2020).</w:t>
              </w:r>
            </w:hyperlink>
          </w:p>
        </w:tc>
        <w:tc>
          <w:tcPr>
            <w:tcW w:w="49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335"/>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4.3</w:t>
            </w:r>
          </w:p>
        </w:tc>
        <w:tc>
          <w:tcPr>
            <w:tcW w:w="9820" w:type="dxa"/>
            <w:vAlign w:val="bottom"/>
            <w:gridSpan w:val="16"/>
          </w:tcPr>
          <w:p>
            <w:pPr>
              <w:spacing w:after="0"/>
              <w:rPr>
                <w:sz w:val="20"/>
                <w:szCs w:val="20"/>
                <w:color w:val="auto"/>
              </w:rPr>
            </w:pPr>
            <w:r>
              <w:rPr>
                <w:rFonts w:ascii="Arial" w:cs="Arial" w:eastAsia="Arial" w:hAnsi="Arial"/>
                <w:sz w:val="18"/>
                <w:szCs w:val="18"/>
                <w:color w:val="auto"/>
              </w:rPr>
              <w:t>Form of Debt Securities.*</w:t>
            </w:r>
          </w:p>
        </w:tc>
      </w:tr>
      <w:tr>
        <w:trPr>
          <w:trHeight w:val="266"/>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5.1</w:t>
            </w:r>
          </w:p>
        </w:tc>
        <w:tc>
          <w:tcPr>
            <w:tcW w:w="9820" w:type="dxa"/>
            <w:vAlign w:val="bottom"/>
            <w:gridSpan w:val="16"/>
          </w:tcPr>
          <w:p>
            <w:pPr>
              <w:spacing w:after="0"/>
              <w:rPr>
                <w:sz w:val="20"/>
                <w:szCs w:val="20"/>
                <w:color w:val="auto"/>
              </w:rPr>
            </w:pPr>
            <w:r>
              <w:rPr>
                <w:rFonts w:ascii="Arial" w:cs="Arial" w:eastAsia="Arial" w:hAnsi="Arial"/>
                <w:sz w:val="18"/>
                <w:szCs w:val="18"/>
                <w:color w:val="0000EE"/>
              </w:rPr>
              <w:t>Opinion of Gibson, Dunn &amp; Crutcher LLP.</w:t>
            </w:r>
          </w:p>
        </w:tc>
      </w:tr>
      <w:tr>
        <w:trPr>
          <w:trHeight w:val="20"/>
        </w:trPr>
        <w:tc>
          <w:tcPr>
            <w:tcW w:w="118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r>
      <w:tr>
        <w:trPr>
          <w:trHeight w:val="290"/>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5.2</w:t>
            </w:r>
          </w:p>
        </w:tc>
        <w:tc>
          <w:tcPr>
            <w:tcW w:w="9820" w:type="dxa"/>
            <w:vAlign w:val="bottom"/>
            <w:gridSpan w:val="16"/>
          </w:tcPr>
          <w:p>
            <w:pPr>
              <w:spacing w:after="0"/>
              <w:rPr>
                <w:sz w:val="20"/>
                <w:szCs w:val="20"/>
                <w:color w:val="auto"/>
              </w:rPr>
            </w:pPr>
            <w:r>
              <w:rPr>
                <w:rFonts w:ascii="Arial" w:cs="Arial" w:eastAsia="Arial" w:hAnsi="Arial"/>
                <w:sz w:val="18"/>
                <w:szCs w:val="18"/>
                <w:color w:val="0000EE"/>
              </w:rPr>
              <w:t>Opinion of STvB Advocaten (Europe) N.V.</w:t>
            </w:r>
          </w:p>
        </w:tc>
      </w:tr>
      <w:tr>
        <w:trPr>
          <w:trHeight w:val="20"/>
        </w:trPr>
        <w:tc>
          <w:tcPr>
            <w:tcW w:w="118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r>
      <w:tr>
        <w:trPr>
          <w:trHeight w:val="290"/>
        </w:trPr>
        <w:tc>
          <w:tcPr>
            <w:tcW w:w="1180" w:type="dxa"/>
            <w:vAlign w:val="bottom"/>
          </w:tcPr>
          <w:p>
            <w:pPr>
              <w:jc w:val="right"/>
              <w:ind w:right="850"/>
              <w:spacing w:after="0"/>
              <w:rPr>
                <w:sz w:val="20"/>
                <w:szCs w:val="20"/>
                <w:color w:val="auto"/>
              </w:rPr>
            </w:pPr>
            <w:r>
              <w:rPr>
                <w:rFonts w:ascii="Arial" w:cs="Arial" w:eastAsia="Arial" w:hAnsi="Arial"/>
                <w:sz w:val="18"/>
                <w:szCs w:val="18"/>
                <w:color w:val="auto"/>
                <w:w w:val="87"/>
              </w:rPr>
              <w:t>5.3</w:t>
            </w:r>
          </w:p>
        </w:tc>
        <w:tc>
          <w:tcPr>
            <w:tcW w:w="3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Opinion of Loyens &amp; Loeff Luxembourg SARL.</w:t>
            </w:r>
          </w:p>
        </w:tc>
        <w:tc>
          <w:tcPr>
            <w:tcW w:w="6120" w:type="dxa"/>
            <w:vAlign w:val="bottom"/>
            <w:gridSpan w:val="13"/>
          </w:tcPr>
          <w:p>
            <w:pPr>
              <w:spacing w:after="0"/>
              <w:rPr>
                <w:sz w:val="24"/>
                <w:szCs w:val="24"/>
                <w:color w:val="auto"/>
              </w:rPr>
            </w:pPr>
          </w:p>
        </w:tc>
      </w:tr>
    </w:tbl>
    <w:p>
      <w:pPr>
        <w:spacing w:after="0" w:line="103" w:lineRule="exact"/>
        <w:rPr>
          <w:sz w:val="20"/>
          <w:szCs w:val="20"/>
          <w:color w:val="auto"/>
        </w:rPr>
      </w:pPr>
    </w:p>
    <w:p>
      <w:pPr>
        <w:ind w:left="1300" w:right="20" w:hanging="1184"/>
        <w:spacing w:after="0" w:line="271" w:lineRule="auto"/>
        <w:tabs>
          <w:tab w:leader="none" w:pos="1300" w:val="left"/>
        </w:tabs>
        <w:numPr>
          <w:ilvl w:val="0"/>
          <w:numId w:val="31"/>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Issuers of Registered Guaranteed Debt Securities (incorporated by reference to Exhibit 22 to SLB’s Annual Report on Form</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10-K for the year ended December 31, 2022, filed on January 26, 2023).</w:t>
        </w:r>
      </w:hyperlink>
    </w:p>
    <w:p>
      <w:pPr>
        <w:spacing w:after="0" w:line="33" w:lineRule="exact"/>
        <w:rPr>
          <w:rFonts w:ascii="Arial" w:cs="Arial" w:eastAsia="Arial" w:hAnsi="Arial"/>
          <w:sz w:val="18"/>
          <w:szCs w:val="18"/>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jc w:val="right"/>
              <w:ind w:right="750"/>
              <w:spacing w:after="0"/>
              <w:rPr>
                <w:sz w:val="20"/>
                <w:szCs w:val="20"/>
                <w:color w:val="auto"/>
              </w:rPr>
            </w:pPr>
            <w:r>
              <w:rPr>
                <w:rFonts w:ascii="Arial" w:cs="Arial" w:eastAsia="Arial" w:hAnsi="Arial"/>
                <w:sz w:val="18"/>
                <w:szCs w:val="18"/>
                <w:color w:val="auto"/>
                <w:w w:val="91"/>
              </w:rPr>
              <w:t>23.1</w:t>
            </w:r>
          </w:p>
        </w:tc>
        <w:tc>
          <w:tcPr>
            <w:tcW w:w="5700" w:type="dxa"/>
            <w:vAlign w:val="bottom"/>
            <w:gridSpan w:val="4"/>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118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180" w:type="dxa"/>
            <w:vAlign w:val="bottom"/>
          </w:tcPr>
          <w:p>
            <w:pPr>
              <w:jc w:val="right"/>
              <w:ind w:right="750"/>
              <w:spacing w:after="0"/>
              <w:rPr>
                <w:sz w:val="20"/>
                <w:szCs w:val="20"/>
                <w:color w:val="auto"/>
              </w:rPr>
            </w:pPr>
            <w:r>
              <w:rPr>
                <w:rFonts w:ascii="Arial" w:cs="Arial" w:eastAsia="Arial" w:hAnsi="Arial"/>
                <w:sz w:val="18"/>
                <w:szCs w:val="18"/>
                <w:color w:val="auto"/>
                <w:w w:val="91"/>
              </w:rPr>
              <w:t>23.2</w:t>
            </w:r>
          </w:p>
        </w:tc>
        <w:tc>
          <w:tcPr>
            <w:tcW w:w="52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Consent of Gibson, Dunn &amp; Crutcher LLP (set forth in Exhibit 5.1).</w:t>
            </w:r>
          </w:p>
        </w:tc>
        <w:tc>
          <w:tcPr>
            <w:tcW w:w="440" w:type="dxa"/>
            <w:vAlign w:val="bottom"/>
            <w:gridSpan w:val="2"/>
          </w:tcPr>
          <w:p>
            <w:pPr>
              <w:spacing w:after="0"/>
              <w:rPr>
                <w:sz w:val="24"/>
                <w:szCs w:val="24"/>
                <w:color w:val="auto"/>
              </w:rPr>
            </w:pPr>
          </w:p>
        </w:tc>
      </w:tr>
      <w:tr>
        <w:trPr>
          <w:trHeight w:val="291"/>
        </w:trPr>
        <w:tc>
          <w:tcPr>
            <w:tcW w:w="1180" w:type="dxa"/>
            <w:vAlign w:val="bottom"/>
          </w:tcPr>
          <w:p>
            <w:pPr>
              <w:jc w:val="right"/>
              <w:ind w:right="750"/>
              <w:spacing w:after="0"/>
              <w:rPr>
                <w:sz w:val="20"/>
                <w:szCs w:val="20"/>
                <w:color w:val="auto"/>
              </w:rPr>
            </w:pPr>
            <w:r>
              <w:rPr>
                <w:rFonts w:ascii="Arial" w:cs="Arial" w:eastAsia="Arial" w:hAnsi="Arial"/>
                <w:sz w:val="18"/>
                <w:szCs w:val="18"/>
                <w:color w:val="auto"/>
                <w:w w:val="91"/>
              </w:rPr>
              <w:t>23.3</w:t>
            </w:r>
          </w:p>
        </w:tc>
        <w:tc>
          <w:tcPr>
            <w:tcW w:w="5700" w:type="dxa"/>
            <w:vAlign w:val="bottom"/>
            <w:gridSpan w:val="4"/>
          </w:tcPr>
          <w:p>
            <w:pPr>
              <w:spacing w:after="0"/>
              <w:rPr>
                <w:sz w:val="20"/>
                <w:szCs w:val="20"/>
                <w:color w:val="auto"/>
              </w:rPr>
            </w:pPr>
            <w:r>
              <w:rPr>
                <w:rFonts w:ascii="Arial" w:cs="Arial" w:eastAsia="Arial" w:hAnsi="Arial"/>
                <w:sz w:val="18"/>
                <w:szCs w:val="18"/>
                <w:color w:val="0000EE"/>
              </w:rPr>
              <w:t>Consent of STvB Advocaten (Europe) N.V. (set forth in Exhibit 5.2).</w:t>
            </w:r>
          </w:p>
        </w:tc>
      </w:tr>
      <w:tr>
        <w:trPr>
          <w:trHeight w:val="20"/>
        </w:trPr>
        <w:tc>
          <w:tcPr>
            <w:tcW w:w="1180" w:type="dxa"/>
            <w:vAlign w:val="bottom"/>
          </w:tcPr>
          <w:p>
            <w:pPr>
              <w:spacing w:after="0" w:line="20" w:lineRule="exact"/>
              <w:rPr>
                <w:sz w:val="1"/>
                <w:szCs w:val="1"/>
                <w:color w:val="auto"/>
              </w:rPr>
            </w:pPr>
          </w:p>
        </w:tc>
        <w:tc>
          <w:tcPr>
            <w:tcW w:w="53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180" w:type="dxa"/>
            <w:vAlign w:val="bottom"/>
          </w:tcPr>
          <w:p>
            <w:pPr>
              <w:jc w:val="right"/>
              <w:ind w:right="750"/>
              <w:spacing w:after="0"/>
              <w:rPr>
                <w:sz w:val="20"/>
                <w:szCs w:val="20"/>
                <w:color w:val="auto"/>
              </w:rPr>
            </w:pPr>
            <w:r>
              <w:rPr>
                <w:rFonts w:ascii="Arial" w:cs="Arial" w:eastAsia="Arial" w:hAnsi="Arial"/>
                <w:sz w:val="18"/>
                <w:szCs w:val="18"/>
                <w:color w:val="auto"/>
                <w:w w:val="91"/>
              </w:rPr>
              <w:t>23.4</w:t>
            </w:r>
          </w:p>
        </w:tc>
        <w:tc>
          <w:tcPr>
            <w:tcW w:w="5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Consent of Loyens &amp; Loeff Luxembourg SARL. (set forth in Exhibit 5.3).</w:t>
            </w:r>
          </w:p>
        </w:tc>
      </w:tr>
      <w:tr>
        <w:trPr>
          <w:trHeight w:val="375"/>
        </w:trPr>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gridSpan w:val="3"/>
          </w:tcPr>
          <w:p>
            <w:pPr>
              <w:ind w:left="8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20" w:type="dxa"/>
            <w:vAlign w:val="bottom"/>
          </w:tcPr>
          <w:p>
            <w:pPr>
              <w:jc w:val="center"/>
              <w:ind w:right="2488"/>
              <w:spacing w:after="0"/>
              <w:rPr>
                <w:sz w:val="20"/>
                <w:szCs w:val="20"/>
                <w:color w:val="auto"/>
              </w:rPr>
            </w:pPr>
            <w:r>
              <w:rPr>
                <w:rFonts w:ascii="Arial" w:cs="Arial" w:eastAsia="Arial" w:hAnsi="Arial"/>
                <w:sz w:val="14"/>
                <w:szCs w:val="14"/>
                <w:b w:val="1"/>
                <w:bCs w:val="1"/>
                <w:color w:val="auto"/>
              </w:rPr>
              <w:t>Exhibit</w:t>
            </w:r>
          </w:p>
        </w:tc>
        <w:tc>
          <w:tcPr>
            <w:tcW w:w="338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3120" w:type="dxa"/>
            <w:vAlign w:val="bottom"/>
          </w:tcPr>
          <w:p>
            <w:pPr>
              <w:jc w:val="center"/>
              <w:ind w:right="2508"/>
              <w:spacing w:after="0"/>
              <w:rPr>
                <w:sz w:val="20"/>
                <w:szCs w:val="20"/>
                <w:color w:val="auto"/>
              </w:rPr>
            </w:pPr>
            <w:r>
              <w:rPr>
                <w:rFonts w:ascii="Arial" w:cs="Arial" w:eastAsia="Arial" w:hAnsi="Arial"/>
                <w:sz w:val="14"/>
                <w:szCs w:val="14"/>
                <w:b w:val="1"/>
                <w:bCs w:val="1"/>
                <w:u w:val="single" w:color="auto"/>
                <w:color w:val="auto"/>
              </w:rPr>
              <w:t>Number</w:t>
            </w:r>
          </w:p>
        </w:tc>
        <w:tc>
          <w:tcPr>
            <w:tcW w:w="3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-15240</wp:posOffset>
            </wp:positionV>
            <wp:extent cx="6240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44" w:lineRule="exact"/>
        <w:rPr>
          <w:sz w:val="20"/>
          <w:szCs w:val="20"/>
          <w:color w:val="auto"/>
        </w:rPr>
      </w:pPr>
    </w:p>
    <w:p>
      <w:pPr>
        <w:ind w:left="1300" w:hanging="118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0000EE"/>
        </w:rPr>
        <w:t>Power of Attorney.</w:t>
      </w:r>
    </w:p>
    <w:p>
      <w:pPr>
        <w:spacing w:after="0" w:line="103" w:lineRule="exact"/>
        <w:rPr>
          <w:rFonts w:ascii="Arial" w:cs="Arial" w:eastAsia="Arial" w:hAnsi="Arial"/>
          <w:sz w:val="18"/>
          <w:szCs w:val="18"/>
          <w:color w:val="auto"/>
        </w:rPr>
      </w:pPr>
    </w:p>
    <w:p>
      <w:pPr>
        <w:ind w:left="1300" w:hanging="118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0000EE"/>
        </w:rPr>
        <w:t>Statement of Eligibility and Qualification under the Trust Indenture Act of 1939 of The Bank of New York Mellon, as trustee.</w:t>
      </w:r>
    </w:p>
    <w:p>
      <w:pPr>
        <w:spacing w:after="0" w:line="115" w:lineRule="exact"/>
        <w:rPr>
          <w:sz w:val="20"/>
          <w:szCs w:val="20"/>
          <w:color w:val="auto"/>
        </w:rPr>
      </w:pPr>
    </w:p>
    <w:p>
      <w:pPr>
        <w:ind w:left="1300" w:hanging="118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660" w:hanging="424"/>
        <w:spacing w:after="0" w:line="271"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by reference in the registration statement.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undersigned registrants hereby undertake:</w:t>
      </w:r>
    </w:p>
    <w:p>
      <w:pPr>
        <w:spacing w:after="0" w:line="104" w:lineRule="exact"/>
        <w:rPr>
          <w:sz w:val="20"/>
          <w:szCs w:val="20"/>
          <w:color w:val="auto"/>
        </w:rPr>
      </w:pPr>
    </w:p>
    <w:p>
      <w:pPr>
        <w:ind w:left="1240" w:hanging="261"/>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5"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to include any prospectus required by Section 10(a)(3) of the Securities Act of 1933;</w:t>
      </w:r>
    </w:p>
    <w:p>
      <w:pPr>
        <w:spacing w:after="0" w:line="104" w:lineRule="exact"/>
        <w:rPr>
          <w:sz w:val="20"/>
          <w:szCs w:val="20"/>
          <w:color w:val="auto"/>
        </w:rPr>
      </w:pPr>
    </w:p>
    <w:p>
      <w:pPr>
        <w:ind w:left="560" w:right="40" w:firstLine="419"/>
        <w:spacing w:after="0"/>
        <w:tabs>
          <w:tab w:leader="none" w:pos="12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6" w:lineRule="exact"/>
        <w:rPr>
          <w:rFonts w:ascii="Arial" w:cs="Arial" w:eastAsia="Arial" w:hAnsi="Arial"/>
          <w:sz w:val="18"/>
          <w:szCs w:val="18"/>
          <w:color w:val="auto"/>
        </w:rPr>
      </w:pPr>
    </w:p>
    <w:p>
      <w:pPr>
        <w:ind w:left="560" w:right="640" w:firstLine="419"/>
        <w:spacing w:after="0" w:line="271" w:lineRule="auto"/>
        <w:tabs>
          <w:tab w:leader="none" w:pos="12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above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SEC by a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66" w:lineRule="exact"/>
        <w:rPr>
          <w:sz w:val="20"/>
          <w:szCs w:val="20"/>
          <w:color w:val="auto"/>
        </w:rPr>
      </w:pPr>
    </w:p>
    <w:p>
      <w:pPr>
        <w:jc w:val="both"/>
        <w:ind w:left="560" w:right="280" w:firstLine="419"/>
        <w:spacing w:after="0" w:line="253" w:lineRule="auto"/>
        <w:tabs>
          <w:tab w:leader="none" w:pos="12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Arial" w:cs="Arial" w:eastAsia="Arial" w:hAnsi="Arial"/>
          <w:sz w:val="18"/>
          <w:szCs w:val="18"/>
          <w:color w:val="auto"/>
        </w:rPr>
      </w:pPr>
    </w:p>
    <w:p>
      <w:pPr>
        <w:ind w:left="560" w:right="220" w:firstLine="419"/>
        <w:spacing w:after="0" w:line="271" w:lineRule="auto"/>
        <w:tabs>
          <w:tab w:leader="none" w:pos="12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45" w:lineRule="exact"/>
        <w:rPr>
          <w:rFonts w:ascii="Arial" w:cs="Arial" w:eastAsia="Arial" w:hAnsi="Arial"/>
          <w:sz w:val="18"/>
          <w:szCs w:val="18"/>
          <w:color w:val="auto"/>
        </w:rPr>
      </w:pPr>
    </w:p>
    <w:p>
      <w:pPr>
        <w:ind w:left="1240" w:hanging="26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04" w:lineRule="exact"/>
        <w:rPr>
          <w:sz w:val="20"/>
          <w:szCs w:val="20"/>
          <w:color w:val="auto"/>
        </w:rPr>
      </w:pPr>
    </w:p>
    <w:p>
      <w:pPr>
        <w:ind w:left="560" w:right="20" w:firstLine="419"/>
        <w:spacing w:after="0" w:line="271" w:lineRule="auto"/>
        <w:tabs>
          <w:tab w:leader="none" w:pos="12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firstLine="419"/>
        <w:spacing w:after="0"/>
        <w:tabs>
          <w:tab w:leader="none" w:pos="12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0"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 statement made in a registration statement or prospectus that is part of the registration statement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sz w:val="20"/>
          <w:szCs w:val="20"/>
          <w:color w:val="auto"/>
        </w:rPr>
      </w:pPr>
    </w:p>
    <w:p>
      <w:pPr>
        <w:ind w:left="560" w:right="20" w:firstLine="419"/>
        <w:spacing w:after="0" w:line="244" w:lineRule="auto"/>
        <w:tabs>
          <w:tab w:leader="none" w:pos="12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of 1933, as amended,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68" w:lineRule="exact"/>
        <w:rPr>
          <w:sz w:val="20"/>
          <w:szCs w:val="20"/>
          <w:color w:val="auto"/>
        </w:rPr>
      </w:pPr>
    </w:p>
    <w:p>
      <w:pPr>
        <w:ind w:left="560" w:right="180" w:firstLine="419"/>
        <w:spacing w:after="0" w:line="271" w:lineRule="auto"/>
        <w:tabs>
          <w:tab w:leader="none" w:pos="12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preliminary prospectus or prospectus of an undersigned registrant relating to the offering required to be filed pursuant to Rule 424;</w:t>
      </w:r>
    </w:p>
    <w:p>
      <w:pPr>
        <w:spacing w:after="0" w:line="45" w:lineRule="exact"/>
        <w:rPr>
          <w:rFonts w:ascii="Arial" w:cs="Arial" w:eastAsia="Arial" w:hAnsi="Arial"/>
          <w:sz w:val="18"/>
          <w:szCs w:val="18"/>
          <w:color w:val="auto"/>
        </w:rPr>
      </w:pPr>
    </w:p>
    <w:p>
      <w:pPr>
        <w:ind w:left="560" w:right="60" w:firstLine="419"/>
        <w:spacing w:after="0" w:line="271" w:lineRule="auto"/>
        <w:tabs>
          <w:tab w:leader="none" w:pos="12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an undersigned registrant;</w:t>
      </w:r>
    </w:p>
    <w:p>
      <w:pPr>
        <w:spacing w:after="0" w:line="45" w:lineRule="exact"/>
        <w:rPr>
          <w:rFonts w:ascii="Arial" w:cs="Arial" w:eastAsia="Arial" w:hAnsi="Arial"/>
          <w:sz w:val="18"/>
          <w:szCs w:val="18"/>
          <w:color w:val="auto"/>
        </w:rPr>
      </w:pPr>
    </w:p>
    <w:p>
      <w:pPr>
        <w:ind w:left="560" w:firstLine="419"/>
        <w:spacing w:after="0" w:line="271" w:lineRule="auto"/>
        <w:tabs>
          <w:tab w:leader="none" w:pos="128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45" w:lineRule="exact"/>
        <w:rPr>
          <w:rFonts w:ascii="Arial" w:cs="Arial" w:eastAsia="Arial" w:hAnsi="Arial"/>
          <w:sz w:val="18"/>
          <w:szCs w:val="18"/>
          <w:color w:val="auto"/>
        </w:rPr>
      </w:pPr>
    </w:p>
    <w:p>
      <w:pPr>
        <w:ind w:left="1280" w:hanging="301"/>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03" w:lineRule="exact"/>
        <w:rPr>
          <w:rFonts w:ascii="Arial" w:cs="Arial" w:eastAsia="Arial" w:hAnsi="Arial"/>
          <w:sz w:val="18"/>
          <w:szCs w:val="18"/>
          <w:color w:val="auto"/>
        </w:rPr>
      </w:pPr>
    </w:p>
    <w:p>
      <w:pPr>
        <w:ind w:left="120" w:firstLine="436"/>
        <w:spacing w:after="0" w:line="242" w:lineRule="auto"/>
        <w:tabs>
          <w:tab w:leader="none" w:pos="8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as amended, each filing of Schlumberger Limited’s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Arial" w:cs="Arial" w:eastAsia="Arial" w:hAnsi="Arial"/>
          <w:sz w:val="18"/>
          <w:szCs w:val="18"/>
          <w:color w:val="auto"/>
        </w:rPr>
      </w:pPr>
    </w:p>
    <w:p>
      <w:pPr>
        <w:ind w:left="120" w:right="20" w:firstLine="436"/>
        <w:spacing w:after="0" w:line="24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as amended,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as amended, and is, therefore, unenforceable. In the event that a claim for indemnification against such liabilities (other than the payment by a registrant of expenses incurred or paid by a director, officer or controlling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66" w:lineRule="exact"/>
        <w:rPr>
          <w:sz w:val="20"/>
          <w:szCs w:val="20"/>
          <w:color w:val="auto"/>
        </w:rPr>
      </w:pPr>
    </w:p>
    <w:p>
      <w:pPr>
        <w:ind w:left="120" w:right="100" w:firstLine="436"/>
        <w:spacing w:after="0" w:line="253" w:lineRule="auto"/>
        <w:tabs>
          <w:tab w:leader="none" w:pos="8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ind w:left="120" w:right="380" w:firstLine="44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8th day of May, 2023.</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SCHLUMBERGER N.V.</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(Schlumberger Limited)</w:t>
      </w:r>
    </w:p>
    <w:p>
      <w:pPr>
        <w:spacing w:after="0" w:line="194" w:lineRule="exact"/>
        <w:rPr>
          <w:sz w:val="20"/>
          <w:szCs w:val="20"/>
          <w:color w:val="auto"/>
        </w:rPr>
      </w:pPr>
    </w:p>
    <w:p>
      <w:pPr>
        <w:ind w:left="674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8890</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Howard Guild</w:t>
      </w:r>
    </w:p>
    <w:p>
      <w:pPr>
        <w:ind w:left="7100"/>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ind w:left="120" w:right="70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Chief Executive Officer and Director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(Olivier Le Peuch)</w:t>
            </w:r>
          </w:p>
        </w:tc>
        <w:tc>
          <w:tcPr>
            <w:tcW w:w="120" w:type="dxa"/>
            <w:vAlign w:val="bottom"/>
          </w:tcPr>
          <w:p>
            <w:pPr>
              <w:spacing w:after="0"/>
              <w:rPr>
                <w:sz w:val="20"/>
                <w:szCs w:val="20"/>
                <w:color w:val="auto"/>
              </w:rPr>
            </w:pP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Executive Officer)</w:t>
            </w:r>
          </w:p>
        </w:tc>
        <w:tc>
          <w:tcPr>
            <w:tcW w:w="2020" w:type="dxa"/>
            <w:vAlign w:val="bottom"/>
          </w:tcPr>
          <w:p>
            <w:pPr>
              <w:spacing w:after="0"/>
              <w:rPr>
                <w:sz w:val="20"/>
                <w:szCs w:val="20"/>
                <w:color w:val="auto"/>
              </w:rPr>
            </w:pPr>
          </w:p>
        </w:tc>
      </w:tr>
      <w:tr>
        <w:trPr>
          <w:trHeight w:val="38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Executive Vice President and 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(Stephane Biguet)</w:t>
            </w:r>
          </w:p>
        </w:tc>
        <w:tc>
          <w:tcPr>
            <w:tcW w:w="120" w:type="dxa"/>
            <w:vAlign w:val="bottom"/>
          </w:tcPr>
          <w:p>
            <w:pPr>
              <w:spacing w:after="0"/>
              <w:rPr>
                <w:sz w:val="20"/>
                <w:szCs w:val="20"/>
                <w:color w:val="auto"/>
              </w:rPr>
            </w:pPr>
          </w:p>
        </w:tc>
        <w:tc>
          <w:tcPr>
            <w:tcW w:w="4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(Principal Financial Officer)</w:t>
            </w: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Howard Guild</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Chief Accounting Officer (Principal Accounting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(Howard Guild)</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(Peter Coleman)</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(Patrick de La Chevardière)</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(Miguel Galuccio)</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rPr>
              <w:t>(James Hackett)</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(Samuel Leupold)</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8"/>
              </w:rPr>
              <w:t>(Tatiana Mitrova)</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8, 2023</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(Maria Moræus Hanssen)</w:t>
            </w: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2240"/>
        <w:spacing w:after="0"/>
        <w:tabs>
          <w:tab w:leader="none" w:pos="6400" w:val="left"/>
          <w:tab w:leader="none" w:pos="9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7514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(Vanitha Narayanan)</w:t>
      </w:r>
    </w:p>
    <w:p>
      <w:pPr>
        <w:spacing w:after="0" w:line="207" w:lineRule="exact"/>
        <w:rPr>
          <w:sz w:val="20"/>
          <w:szCs w:val="20"/>
          <w:color w:val="auto"/>
        </w:rPr>
      </w:pPr>
    </w:p>
    <w:p>
      <w:pPr>
        <w:jc w:val="both"/>
        <w:ind w:left="2240"/>
        <w:spacing w:after="0"/>
        <w:tabs>
          <w:tab w:leader="none" w:pos="5800" w:val="left"/>
          <w:tab w:leader="none" w:pos="9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Chairman of the Board</w:t>
      </w:r>
      <w:r>
        <w:rPr>
          <w:sz w:val="20"/>
          <w:szCs w:val="20"/>
          <w:color w:val="auto"/>
        </w:rPr>
        <w:tab/>
      </w:r>
      <w:r>
        <w:rPr>
          <w:rFonts w:ascii="Arial" w:cs="Arial" w:eastAsia="Arial" w:hAnsi="Arial"/>
          <w:sz w:val="17"/>
          <w:szCs w:val="17"/>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7514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(Mark Papa)</w:t>
      </w:r>
    </w:p>
    <w:p>
      <w:pPr>
        <w:spacing w:after="0" w:line="207" w:lineRule="exact"/>
        <w:rPr>
          <w:sz w:val="20"/>
          <w:szCs w:val="20"/>
          <w:color w:val="auto"/>
        </w:rPr>
      </w:pPr>
    </w:p>
    <w:p>
      <w:pPr>
        <w:jc w:val="both"/>
        <w:ind w:left="2240"/>
        <w:spacing w:after="0"/>
        <w:tabs>
          <w:tab w:leader="none" w:pos="6400" w:val="left"/>
          <w:tab w:leader="none" w:pos="9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751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(Jeff Sheets)</w:t>
      </w:r>
    </w:p>
    <w:p>
      <w:pPr>
        <w:spacing w:after="0" w:line="207" w:lineRule="exact"/>
        <w:rPr>
          <w:sz w:val="20"/>
          <w:szCs w:val="20"/>
          <w:color w:val="auto"/>
        </w:rPr>
      </w:pPr>
    </w:p>
    <w:p>
      <w:pPr>
        <w:jc w:val="both"/>
        <w:ind w:left="2240"/>
        <w:spacing w:after="0"/>
        <w:tabs>
          <w:tab w:leader="none" w:pos="6400" w:val="left"/>
          <w:tab w:leader="none" w:pos="9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751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(Ulrich Spiesshofer)</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8890</wp:posOffset>
            </wp:positionV>
            <wp:extent cx="25457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Dianne B. Ralston</w:t>
      </w:r>
    </w:p>
    <w:p>
      <w:pPr>
        <w:ind w:left="560"/>
        <w:spacing w:after="0"/>
        <w:rPr>
          <w:sz w:val="20"/>
          <w:szCs w:val="20"/>
          <w:color w:val="auto"/>
        </w:rPr>
      </w:pPr>
      <w:r>
        <w:rPr>
          <w:rFonts w:ascii="Arial" w:cs="Arial" w:eastAsia="Arial" w:hAnsi="Arial"/>
          <w:sz w:val="18"/>
          <w:szCs w:val="18"/>
          <w:color w:val="auto"/>
        </w:rPr>
        <w:t>Attorney-in-Fact</w:t>
      </w:r>
    </w:p>
    <w:p>
      <w:pPr>
        <w:spacing w:after="0" w:line="12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0620"/>
          </w:cols>
          <w:pgMar w:left="320" w:top="455" w:right="9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ind w:left="120" w:right="380" w:firstLine="44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Luxembourg, on the 8th day of May, 2023.</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SCHLUMBERGER INVESTMENT S.A.</w:t>
      </w:r>
    </w:p>
    <w:p>
      <w:pPr>
        <w:spacing w:after="0" w:line="212"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 Joanna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8890</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Carol Joanna Todd</w:t>
      </w:r>
    </w:p>
    <w:p>
      <w:pPr>
        <w:ind w:left="7100"/>
        <w:spacing w:after="0"/>
        <w:rPr>
          <w:sz w:val="20"/>
          <w:szCs w:val="20"/>
          <w:color w:val="auto"/>
        </w:rPr>
      </w:pPr>
      <w:r>
        <w:rPr>
          <w:rFonts w:ascii="Arial" w:cs="Arial" w:eastAsia="Arial" w:hAnsi="Arial"/>
          <w:sz w:val="18"/>
          <w:szCs w:val="18"/>
          <w:color w:val="auto"/>
        </w:rPr>
        <w:t>Class B Director</w:t>
      </w:r>
    </w:p>
    <w:p>
      <w:pPr>
        <w:spacing w:after="0" w:line="194" w:lineRule="exact"/>
        <w:rPr>
          <w:sz w:val="20"/>
          <w:szCs w:val="20"/>
          <w:color w:val="auto"/>
        </w:rPr>
      </w:pPr>
    </w:p>
    <w:p>
      <w:pPr>
        <w:ind w:left="120" w:right="70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98"/>
        </w:trPr>
        <w:tc>
          <w:tcPr>
            <w:tcW w:w="3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9"/>
              </w:rPr>
              <w:t>/s/ Carol Joanna Todd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Class B Director</w:t>
            </w:r>
          </w:p>
        </w:tc>
        <w:tc>
          <w:tcPr>
            <w:tcW w:w="1880" w:type="dxa"/>
            <w:vAlign w:val="bottom"/>
          </w:tcPr>
          <w:p>
            <w:pPr>
              <w:jc w:val="center"/>
              <w:spacing w:after="0"/>
              <w:rPr>
                <w:sz w:val="20"/>
                <w:szCs w:val="20"/>
                <w:color w:val="auto"/>
              </w:rPr>
            </w:pPr>
            <w:r>
              <w:rPr>
                <w:rFonts w:ascii="Arial" w:cs="Arial" w:eastAsia="Arial" w:hAnsi="Arial"/>
                <w:sz w:val="18"/>
                <w:szCs w:val="18"/>
                <w:color w:val="auto"/>
              </w:rPr>
              <w:t>May 8, 2023</w:t>
            </w:r>
          </w:p>
        </w:tc>
      </w:tr>
      <w:tr>
        <w:trPr>
          <w:trHeight w:val="232"/>
        </w:trPr>
        <w:tc>
          <w:tcPr>
            <w:tcW w:w="380" w:type="dxa"/>
            <w:vAlign w:val="bottom"/>
          </w:tcPr>
          <w:p>
            <w:pPr>
              <w:spacing w:after="0"/>
              <w:rPr>
                <w:sz w:val="20"/>
                <w:szCs w:val="20"/>
                <w:color w:val="auto"/>
              </w:rPr>
            </w:pPr>
          </w:p>
        </w:tc>
        <w:tc>
          <w:tcPr>
            <w:tcW w:w="45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Carol Joanna Todd</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6"/>
        </w:trPr>
        <w:tc>
          <w:tcPr>
            <w:tcW w:w="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Class A Director</w:t>
            </w:r>
          </w:p>
        </w:tc>
        <w:tc>
          <w:tcPr>
            <w:tcW w:w="1880" w:type="dxa"/>
            <w:vAlign w:val="bottom"/>
          </w:tcPr>
          <w:p>
            <w:pPr>
              <w:jc w:val="center"/>
              <w:spacing w:after="0"/>
              <w:rPr>
                <w:sz w:val="20"/>
                <w:szCs w:val="20"/>
                <w:color w:val="auto"/>
              </w:rPr>
            </w:pPr>
            <w:r>
              <w:rPr>
                <w:rFonts w:ascii="Arial" w:cs="Arial" w:eastAsia="Arial" w:hAnsi="Arial"/>
                <w:sz w:val="18"/>
                <w:szCs w:val="18"/>
                <w:color w:val="auto"/>
              </w:rPr>
              <w:t>May 8, 2023</w:t>
            </w:r>
          </w:p>
        </w:tc>
      </w:tr>
      <w:tr>
        <w:trPr>
          <w:trHeight w:val="232"/>
        </w:trPr>
        <w:tc>
          <w:tcPr>
            <w:tcW w:w="380" w:type="dxa"/>
            <w:vAlign w:val="bottom"/>
          </w:tcPr>
          <w:p>
            <w:pPr>
              <w:spacing w:after="0"/>
              <w:rPr>
                <w:sz w:val="20"/>
                <w:szCs w:val="20"/>
                <w:color w:val="auto"/>
              </w:rPr>
            </w:pPr>
          </w:p>
        </w:tc>
        <w:tc>
          <w:tcPr>
            <w:tcW w:w="4580" w:type="dxa"/>
            <w:vAlign w:val="bottom"/>
            <w:gridSpan w:val="2"/>
          </w:tcPr>
          <w:p>
            <w:pPr>
              <w:jc w:val="center"/>
              <w:ind w:right="380"/>
              <w:spacing w:after="0"/>
              <w:rPr>
                <w:sz w:val="20"/>
                <w:szCs w:val="20"/>
                <w:color w:val="auto"/>
              </w:rPr>
            </w:pPr>
            <w:r>
              <w:rPr>
                <w:rFonts w:ascii="Arial" w:cs="Arial" w:eastAsia="Arial" w:hAnsi="Arial"/>
                <w:sz w:val="18"/>
                <w:szCs w:val="18"/>
                <w:color w:val="auto"/>
              </w:rPr>
              <w:t>Simona-Elena Leotescu</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6"/>
        </w:trPr>
        <w:tc>
          <w:tcPr>
            <w:tcW w:w="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Class A Director</w:t>
            </w:r>
          </w:p>
        </w:tc>
        <w:tc>
          <w:tcPr>
            <w:tcW w:w="1880" w:type="dxa"/>
            <w:vAlign w:val="bottom"/>
          </w:tcPr>
          <w:p>
            <w:pPr>
              <w:jc w:val="center"/>
              <w:spacing w:after="0"/>
              <w:rPr>
                <w:sz w:val="20"/>
                <w:szCs w:val="20"/>
                <w:color w:val="auto"/>
              </w:rPr>
            </w:pPr>
            <w:r>
              <w:rPr>
                <w:rFonts w:ascii="Arial" w:cs="Arial" w:eastAsia="Arial" w:hAnsi="Arial"/>
                <w:sz w:val="18"/>
                <w:szCs w:val="18"/>
                <w:color w:val="auto"/>
              </w:rPr>
              <w:t>May 8, 2023</w:t>
            </w:r>
          </w:p>
        </w:tc>
      </w:tr>
      <w:tr>
        <w:trPr>
          <w:trHeight w:val="232"/>
        </w:trPr>
        <w:tc>
          <w:tcPr>
            <w:tcW w:w="380" w:type="dxa"/>
            <w:vAlign w:val="bottom"/>
          </w:tcPr>
          <w:p>
            <w:pPr>
              <w:spacing w:after="0"/>
              <w:rPr>
                <w:sz w:val="20"/>
                <w:szCs w:val="20"/>
                <w:color w:val="auto"/>
              </w:rPr>
            </w:pPr>
          </w:p>
        </w:tc>
        <w:tc>
          <w:tcPr>
            <w:tcW w:w="4580" w:type="dxa"/>
            <w:vAlign w:val="bottom"/>
            <w:gridSpan w:val="2"/>
          </w:tcPr>
          <w:p>
            <w:pPr>
              <w:jc w:val="center"/>
              <w:ind w:right="380"/>
              <w:spacing w:after="0"/>
              <w:rPr>
                <w:sz w:val="20"/>
                <w:szCs w:val="20"/>
                <w:color w:val="auto"/>
              </w:rPr>
            </w:pPr>
            <w:r>
              <w:rPr>
                <w:rFonts w:ascii="Arial" w:cs="Arial" w:eastAsia="Arial" w:hAnsi="Arial"/>
                <w:sz w:val="18"/>
                <w:szCs w:val="18"/>
                <w:color w:val="auto"/>
              </w:rPr>
              <w:t>Daniel Andoh Morrison</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3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260"/>
              <w:spacing w:after="0"/>
              <w:rPr>
                <w:sz w:val="20"/>
                <w:szCs w:val="20"/>
                <w:color w:val="auto"/>
              </w:rPr>
            </w:pPr>
            <w:r>
              <w:rPr>
                <w:rFonts w:ascii="Arial" w:cs="Arial" w:eastAsia="Arial" w:hAnsi="Arial"/>
                <w:sz w:val="18"/>
                <w:szCs w:val="18"/>
                <w:color w:val="auto"/>
              </w:rPr>
              <w:t>/s/ Carol Joanna Todd</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7"/>
        </w:trPr>
        <w:tc>
          <w:tcPr>
            <w:tcW w:w="380" w:type="dxa"/>
            <w:vAlign w:val="bottom"/>
          </w:tcPr>
          <w:p>
            <w:pPr>
              <w:spacing w:after="0"/>
              <w:rPr>
                <w:sz w:val="15"/>
                <w:szCs w:val="15"/>
                <w:color w:val="auto"/>
              </w:rPr>
            </w:pPr>
          </w:p>
        </w:tc>
        <w:tc>
          <w:tcPr>
            <w:tcW w:w="402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color w:val="auto"/>
              </w:rPr>
              <w:t>Carol Joanna Todd</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39"/>
        </w:trPr>
        <w:tc>
          <w:tcPr>
            <w:tcW w:w="380" w:type="dxa"/>
            <w:vAlign w:val="bottom"/>
          </w:tcPr>
          <w:p>
            <w:pPr>
              <w:spacing w:after="0"/>
              <w:rPr>
                <w:sz w:val="20"/>
                <w:szCs w:val="20"/>
                <w:color w:val="auto"/>
              </w:rPr>
            </w:pPr>
          </w:p>
        </w:tc>
        <w:tc>
          <w:tcPr>
            <w:tcW w:w="4580" w:type="dxa"/>
            <w:vAlign w:val="bottom"/>
            <w:gridSpan w:val="2"/>
          </w:tcPr>
          <w:p>
            <w:pPr>
              <w:ind w:left="60"/>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51"/>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II-11</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3" w:name="page44"/>
    <w:bookmarkEnd w:id="43"/>
    <w:p>
      <w:pPr>
        <w:ind w:left="1012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1971675" cy="300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1971675" cy="30035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170180</wp:posOffset>
            </wp:positionV>
            <wp:extent cx="1311275" cy="797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1311275" cy="797560"/>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May 8,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 (Schlumberger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 Schlumberger N.V.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rPr>
          <w:sz w:val="20"/>
          <w:szCs w:val="20"/>
          <w:color w:val="auto"/>
        </w:rPr>
      </w:pPr>
      <w:r>
        <w:rPr>
          <w:rFonts w:ascii="Arial" w:cs="Arial" w:eastAsia="Arial" w:hAnsi="Arial"/>
          <w:sz w:val="18"/>
          <w:szCs w:val="18"/>
          <w:color w:val="auto"/>
        </w:rPr>
        <w:t>Houston, Texas 77056</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i w:val="1"/>
          <w:iCs w:val="1"/>
          <w:color w:val="auto"/>
        </w:rPr>
        <w:t>Schlumberger Investment S.A. and Schlumberger N.V. (Schlumberger Limited)</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We have acted as counsel to Schlumberger Investment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the Grand Duchy of Luxembourg (the “</w:t>
      </w:r>
      <w:r>
        <w:rPr>
          <w:rFonts w:ascii="Arial" w:cs="Arial" w:eastAsia="Arial" w:hAnsi="Arial"/>
          <w:sz w:val="18"/>
          <w:szCs w:val="18"/>
          <w:u w:val="single" w:color="auto"/>
          <w:color w:val="auto"/>
        </w:rPr>
        <w:t>Company</w:t>
      </w:r>
      <w:r>
        <w:rPr>
          <w:rFonts w:ascii="Arial" w:cs="Arial" w:eastAsia="Arial" w:hAnsi="Arial"/>
          <w:sz w:val="18"/>
          <w:szCs w:val="18"/>
          <w:color w:val="auto"/>
        </w:rPr>
        <w:t>”) and Schlumberger N.V. (Schlumberger Limited), a Curaçao company (the “</w:t>
      </w:r>
      <w:r>
        <w:rPr>
          <w:rFonts w:ascii="Arial" w:cs="Arial" w:eastAsia="Arial" w:hAnsi="Arial"/>
          <w:sz w:val="18"/>
          <w:szCs w:val="18"/>
          <w:u w:val="single" w:color="auto"/>
          <w:color w:val="auto"/>
        </w:rPr>
        <w:t>Guarantor</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S-3 (the “</w:t>
      </w:r>
      <w:r>
        <w:rPr>
          <w:rFonts w:ascii="Arial" w:cs="Arial" w:eastAsia="Arial" w:hAnsi="Arial"/>
          <w:sz w:val="18"/>
          <w:szCs w:val="18"/>
          <w:u w:val="single" w:color="auto"/>
          <w:color w:val="auto"/>
        </w:rPr>
        <w:t>Re</w:t>
      </w:r>
      <w:r>
        <w:rPr>
          <w:rFonts w:ascii="Arial" w:cs="Arial" w:eastAsia="Arial" w:hAnsi="Arial"/>
          <w:sz w:val="18"/>
          <w:szCs w:val="18"/>
          <w:color w:val="auto"/>
        </w:rPr>
        <w:t>g</w:t>
      </w:r>
      <w:r>
        <w:rPr>
          <w:rFonts w:ascii="Arial" w:cs="Arial" w:eastAsia="Arial" w:hAnsi="Arial"/>
          <w:sz w:val="18"/>
          <w:szCs w:val="18"/>
          <w:u w:val="single" w:color="auto"/>
          <w:color w:val="auto"/>
        </w:rPr>
        <w:t>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179" w:lineRule="exact"/>
        <w:rPr>
          <w:sz w:val="20"/>
          <w:szCs w:val="20"/>
          <w:color w:val="auto"/>
        </w:rPr>
      </w:pPr>
    </w:p>
    <w:p>
      <w:pPr>
        <w:ind w:left="640" w:hanging="20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senior unsecured debt securities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680" w:hanging="24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guarantees of the Debt Securities by the Guarantor (the “</w:t>
      </w:r>
      <w:r>
        <w:rPr>
          <w:rFonts w:ascii="Arial" w:cs="Arial" w:eastAsia="Arial" w:hAnsi="Arial"/>
          <w:sz w:val="18"/>
          <w:szCs w:val="18"/>
          <w:u w:val="single" w:color="auto"/>
          <w:color w:val="auto"/>
        </w:rPr>
        <w:t>Debt Securities Guarantees</w:t>
      </w:r>
      <w:r>
        <w:rPr>
          <w:rFonts w:ascii="Arial" w:cs="Arial" w:eastAsia="Arial" w:hAnsi="Arial"/>
          <w:sz w:val="18"/>
          <w:szCs w:val="18"/>
          <w:color w:val="auto"/>
        </w:rPr>
        <w:t>”).</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Debt Securities and Debt Securities Guarantees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Debt Securities are to be issued under an indenture dated December 3, 2013, among the Company, the Guarantor and The Bank of New York Mellon, as indenture trustee (the “Base Indenture”). In addition, the Base Indenture may be supplemented or amended as necessary to set forth the terms of the debt securities issued under the indenture.</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the Base Indenture and such other documents, corporate records, certificates of officers of the Company, the Guarantor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not admitted or qualified to practice law in Luxembourg or Curaçao. Therefore, we have relied upon the opinions of Loyens &amp; Loeff Luxembourg S.à r.l. and STvB Advocaten (Europe) N.V., filed as exhibits to the Registration Statement, with respect to matters governed by the laws of Luxembourg and Curaçao.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136525</wp:posOffset>
            </wp:positionV>
            <wp:extent cx="509206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092065" cy="32575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71675"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971675" cy="300355"/>
                    </a:xfrm>
                    <a:prstGeom prst="rect">
                      <a:avLst/>
                    </a:prstGeom>
                    <a:noFill/>
                  </pic:spPr>
                </pic:pic>
              </a:graphicData>
            </a:graphic>
          </wp:anchor>
        </w:drawing>
        <w:t>May 8,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117" w:lineRule="exact"/>
        <w:rPr>
          <w:sz w:val="20"/>
          <w:szCs w:val="20"/>
          <w:color w:val="auto"/>
        </w:rPr>
      </w:pPr>
    </w:p>
    <w:p>
      <w:pPr>
        <w:ind w:left="960" w:right="60" w:hanging="532"/>
        <w:spacing w:after="0" w:line="253"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time any Securities are sold pursuant to the Registration Statement (the “</w:t>
      </w:r>
      <w:r>
        <w:rPr>
          <w:rFonts w:ascii="Arial" w:cs="Arial" w:eastAsia="Arial" w:hAnsi="Arial"/>
          <w:sz w:val="18"/>
          <w:szCs w:val="18"/>
          <w:u w:val="single" w:color="auto"/>
          <w:color w:val="auto"/>
        </w:rPr>
        <w:t>Relevant Time</w:t>
      </w:r>
      <w:r>
        <w:rPr>
          <w:rFonts w:ascii="Arial" w:cs="Arial" w:eastAsia="Arial" w:hAnsi="Arial"/>
          <w:sz w:val="18"/>
          <w:szCs w:val="18"/>
          <w:color w:val="auto"/>
        </w:rPr>
        <w:t>”), the Registration Statement and any supplements and amendments thereto (including post-effective amendments) will be effective and will comply with all applicable laws;</w:t>
      </w:r>
    </w:p>
    <w:p>
      <w:pPr>
        <w:spacing w:after="0" w:line="60" w:lineRule="exact"/>
        <w:rPr>
          <w:rFonts w:ascii="Arial" w:cs="Arial" w:eastAsia="Arial" w:hAnsi="Arial"/>
          <w:sz w:val="18"/>
          <w:szCs w:val="18"/>
          <w:color w:val="auto"/>
        </w:rPr>
      </w:pPr>
    </w:p>
    <w:p>
      <w:pPr>
        <w:ind w:right="160" w:firstLine="436"/>
        <w:spacing w:after="0" w:line="271" w:lineRule="auto"/>
        <w:tabs>
          <w:tab w:leader="none" w:pos="6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45" w:lineRule="exact"/>
        <w:rPr>
          <w:rFonts w:ascii="Arial" w:cs="Arial" w:eastAsia="Arial" w:hAnsi="Arial"/>
          <w:sz w:val="18"/>
          <w:szCs w:val="18"/>
          <w:color w:val="auto"/>
        </w:rPr>
      </w:pPr>
    </w:p>
    <w:p>
      <w:pPr>
        <w:ind w:right="920" w:firstLine="436"/>
        <w:spacing w:after="0" w:line="271" w:lineRule="auto"/>
        <w:tabs>
          <w:tab w:leader="none" w:pos="7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Securities will be issued and sold in the manner stated in the Registration Statement and the applicable prospectus supplement;</w:t>
      </w:r>
    </w:p>
    <w:p>
      <w:pPr>
        <w:spacing w:after="0" w:line="45" w:lineRule="exact"/>
        <w:rPr>
          <w:rFonts w:ascii="Arial" w:cs="Arial" w:eastAsia="Arial" w:hAnsi="Arial"/>
          <w:sz w:val="18"/>
          <w:szCs w:val="18"/>
          <w:color w:val="auto"/>
        </w:rPr>
      </w:pPr>
    </w:p>
    <w:p>
      <w:pPr>
        <w:ind w:firstLine="436"/>
        <w:spacing w:after="0" w:line="24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Relevant Time, all corporate or other action required to be taken by the Company and the Guarantor to duly authorize each proposed issuance of Securities and any related documentation (including the execution (in the case of certificated Securities), delivery and performance of the Securities and any related documentation referred to in paragraphs 1 through 3 below) shall have been duly completed and shall remain in full force and effect;</w:t>
      </w:r>
    </w:p>
    <w:p>
      <w:pPr>
        <w:spacing w:after="0" w:line="65" w:lineRule="exact"/>
        <w:rPr>
          <w:rFonts w:ascii="Arial" w:cs="Arial" w:eastAsia="Arial" w:hAnsi="Arial"/>
          <w:sz w:val="18"/>
          <w:szCs w:val="18"/>
          <w:color w:val="auto"/>
        </w:rPr>
      </w:pPr>
    </w:p>
    <w:p>
      <w:pPr>
        <w:ind w:left="700" w:hanging="26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Relevant Time, the relevant trustee shall have been qualified under the Trust Indenture Act of 1939, as amended (the</w:t>
      </w:r>
    </w:p>
    <w:p>
      <w:pPr>
        <w:spacing w:after="0" w:line="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TIA</w:t>
      </w:r>
      <w:r>
        <w:rPr>
          <w:rFonts w:ascii="Arial" w:cs="Arial" w:eastAsia="Arial" w:hAnsi="Arial"/>
          <w:sz w:val="17"/>
          <w:szCs w:val="17"/>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41" w:lineRule="exact"/>
        <w:rPr>
          <w:sz w:val="20"/>
          <w:szCs w:val="20"/>
          <w:color w:val="auto"/>
        </w:rPr>
      </w:pPr>
    </w:p>
    <w:p>
      <w:pPr>
        <w:ind w:right="160" w:firstLine="436"/>
        <w:spacing w:after="0" w:line="25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the Guarantor and duly executed and delivered by the Company, the Guarantor and the other parties thereto.</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 with respect to any Debt Securities and related Debt Securities Guarantees, when:</w:t>
      </w:r>
    </w:p>
    <w:p>
      <w:pPr>
        <w:spacing w:after="0" w:line="46" w:lineRule="exact"/>
        <w:rPr>
          <w:sz w:val="20"/>
          <w:szCs w:val="20"/>
          <w:color w:val="auto"/>
        </w:rPr>
      </w:pPr>
    </w:p>
    <w:p>
      <w:pPr>
        <w:ind w:right="680" w:firstLine="436"/>
        <w:spacing w:after="0" w:line="27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of such Securities have been duly established by supplemental indenture or officers’ certificate in accordance with the terms and conditions of the relevant Base Indenture,</w:t>
      </w:r>
    </w:p>
    <w:p>
      <w:pPr>
        <w:spacing w:after="0" w:line="45" w:lineRule="exact"/>
        <w:rPr>
          <w:rFonts w:ascii="Arial" w:cs="Arial" w:eastAsia="Arial" w:hAnsi="Arial"/>
          <w:sz w:val="18"/>
          <w:szCs w:val="18"/>
          <w:color w:val="auto"/>
        </w:rPr>
      </w:pPr>
    </w:p>
    <w:p>
      <w:pPr>
        <w:ind w:right="160" w:firstLine="436"/>
        <w:spacing w:after="0" w:line="27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the Guarantor and the relevant trustee (together with the relevant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45" w:lineRule="exact"/>
        <w:rPr>
          <w:rFonts w:ascii="Arial" w:cs="Arial" w:eastAsia="Arial" w:hAnsi="Arial"/>
          <w:sz w:val="18"/>
          <w:szCs w:val="18"/>
          <w:color w:val="auto"/>
        </w:rPr>
      </w:pPr>
    </w:p>
    <w:p>
      <w:pPr>
        <w:ind w:right="160" w:firstLine="436"/>
        <w:spacing w:after="0" w:line="253"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69" w:lineRule="exact"/>
        <w:rPr>
          <w:sz w:val="20"/>
          <w:szCs w:val="20"/>
          <w:color w:val="auto"/>
        </w:rPr>
      </w:pPr>
    </w:p>
    <w:p>
      <w:pPr>
        <w:ind w:right="320" w:firstLine="440"/>
        <w:spacing w:after="0" w:line="253" w:lineRule="auto"/>
        <w:rPr>
          <w:sz w:val="20"/>
          <w:szCs w:val="20"/>
          <w:color w:val="auto"/>
        </w:rPr>
      </w:pPr>
      <w:r>
        <w:rPr>
          <w:rFonts w:ascii="Arial" w:cs="Arial" w:eastAsia="Arial" w:hAnsi="Arial"/>
          <w:sz w:val="18"/>
          <w:szCs w:val="18"/>
          <w:color w:val="auto"/>
        </w:rPr>
        <w:t>such Debt Securities will be legal, valid and binding obligations of the Company, enforceable against the Company in accordance with their respective terms, and the Guarantees of such Debt Securities will be legal, valid and binding obligations of the Guarantor obligated thereon, enforceable against such Guarantor in accordance with their respective terms.</w:t>
      </w:r>
    </w:p>
    <w:p>
      <w:pPr>
        <w:sectPr>
          <w:pgSz w:w="11900" w:h="16838" w:orient="portrait"/>
          <w:cols w:equalWidth="0" w:num="1">
            <w:col w:w="11020"/>
          </w:cols>
          <w:pgMar w:left="440" w:top="850" w:right="439" w:bottom="1440" w:gutter="0" w:footer="0" w:header="0"/>
        </w:sectPr>
      </w:pPr>
    </w:p>
    <w:bookmarkStart w:id="45" w:name="page46"/>
    <w:bookmarkEnd w:id="4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7167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971675" cy="300355"/>
                    </a:xfrm>
                    <a:prstGeom prst="rect">
                      <a:avLst/>
                    </a:prstGeom>
                    <a:noFill/>
                  </pic:spPr>
                </pic:pic>
              </a:graphicData>
            </a:graphic>
          </wp:anchor>
        </w:drawing>
        <w:t>May 8, 2023</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104" w:lineRule="exact"/>
        <w:rPr>
          <w:sz w:val="20"/>
          <w:szCs w:val="20"/>
          <w:color w:val="auto"/>
        </w:rPr>
      </w:pPr>
    </w:p>
    <w:p>
      <w:pPr>
        <w:ind w:left="4" w:right="60" w:firstLine="440"/>
        <w:spacing w:after="0" w:line="247" w:lineRule="auto"/>
        <w:rPr>
          <w:sz w:val="20"/>
          <w:szCs w:val="20"/>
          <w:color w:val="auto"/>
        </w:rPr>
      </w:pPr>
      <w:r>
        <w:rPr>
          <w:rFonts w:ascii="Arial" w:cs="Arial" w:eastAsia="Arial" w:hAnsi="Arial"/>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66" w:lineRule="exact"/>
        <w:rPr>
          <w:sz w:val="20"/>
          <w:szCs w:val="20"/>
          <w:color w:val="auto"/>
        </w:rPr>
      </w:pPr>
    </w:p>
    <w:p>
      <w:pPr>
        <w:ind w:left="4" w:firstLine="440"/>
        <w:spacing w:after="0" w:line="242" w:lineRule="auto"/>
        <w:rPr>
          <w:sz w:val="20"/>
          <w:szCs w:val="20"/>
          <w:color w:val="auto"/>
        </w:rPr>
      </w:pPr>
      <w:r>
        <w:rPr>
          <w:rFonts w:ascii="Arial" w:cs="Arial" w:eastAsia="Arial" w:hAnsi="Arial"/>
          <w:sz w:val="18"/>
          <w:szCs w:val="18"/>
          <w:color w:val="auto"/>
        </w:rPr>
        <w:t>B. The opinions above with respect to the Indenture, the Debt Securities and the related Debt Securities Guarantees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We express no opinion regarding the effectiveness of (i) any waiver of stay, extension or usury laws or of unknown future rights;</w:t>
      </w:r>
    </w:p>
    <w:p>
      <w:pPr>
        <w:spacing w:after="0" w:line="14" w:lineRule="exact"/>
        <w:rPr>
          <w:sz w:val="20"/>
          <w:szCs w:val="20"/>
          <w:color w:val="auto"/>
        </w:rPr>
      </w:pPr>
    </w:p>
    <w:p>
      <w:pPr>
        <w:ind w:left="4" w:right="60" w:hanging="4"/>
        <w:spacing w:after="0" w:line="236" w:lineRule="auto"/>
        <w:tabs>
          <w:tab w:leader="none" w:pos="2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Documents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88" w:lineRule="exact"/>
        <w:rPr>
          <w:sz w:val="20"/>
          <w:szCs w:val="20"/>
          <w:color w:val="auto"/>
        </w:rPr>
      </w:pPr>
    </w:p>
    <w:p>
      <w:pPr>
        <w:ind w:left="4" w:right="60"/>
        <w:spacing w:after="0" w:line="244" w:lineRule="auto"/>
        <w:rPr>
          <w:sz w:val="20"/>
          <w:szCs w:val="20"/>
          <w:color w:val="auto"/>
        </w:rPr>
      </w:pPr>
      <w:r>
        <w:rPr>
          <w:rFonts w:ascii="Arial" w:cs="Arial" w:eastAsia="Arial" w:hAnsi="Arial"/>
          <w:sz w:val="18"/>
          <w:szCs w:val="18"/>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76"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1004"/>
          </w:cols>
          <w:pgMar w:left="436" w:top="850"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 May 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We have acted as legal counsel to Schlumberger N.V. (also referred to as Schlumberger Limited), a limited liability company organized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the filing by the Company and Schlumberger Investment SA, a public company limited by shares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the Grand Duchy of Luxembourg (“</w:t>
      </w:r>
      <w:r>
        <w:rPr>
          <w:rFonts w:ascii="Times New Roman" w:cs="Times New Roman" w:eastAsia="Times New Roman" w:hAnsi="Times New Roman"/>
          <w:sz w:val="18"/>
          <w:szCs w:val="18"/>
          <w:b w:val="1"/>
          <w:bCs w:val="1"/>
          <w:color w:val="auto"/>
        </w:rPr>
        <w:t>SISA</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registration under the Act of (i) senior unsecured debt securities of SISA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and (ii) guarantees of the Debt Securities by the Company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and, together with the Debt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that may be issued and sold from time to time pursuant to Rule 415 under the Act, as amended, certain legal matters in connection with the Securities are being passed upon for you by us. At your request, this opinion is being furnished to you for filing as Exhibit 5.2 to the Registration Statement.</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limited to matters governed by the laws of Curaçao.</w:t>
      </w:r>
    </w:p>
    <w:p>
      <w:pPr>
        <w:spacing w:after="0" w:line="225"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our examination as aforesaid, we are of the opinion that:</w:t>
      </w:r>
    </w:p>
    <w:p>
      <w:pPr>
        <w:spacing w:after="0" w:line="131" w:lineRule="exact"/>
        <w:rPr>
          <w:sz w:val="20"/>
          <w:szCs w:val="20"/>
          <w:color w:val="auto"/>
        </w:rPr>
      </w:pPr>
    </w:p>
    <w:p>
      <w:pPr>
        <w:ind w:left="424" w:right="160" w:hanging="424"/>
        <w:spacing w:after="0" w:line="282"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and is currently validly existing as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Curaçao.</w:t>
      </w:r>
    </w:p>
    <w:p>
      <w:pPr>
        <w:sectPr>
          <w:pgSz w:w="11900" w:h="16838" w:orient="portrait"/>
          <w:cols w:equalWidth="0" w:num="1">
            <w:col w:w="11024"/>
          </w:cols>
          <w:pgMar w:left="436" w:top="117" w:right="439" w:bottom="1440" w:gutter="0" w:footer="0" w:header="0"/>
        </w:sectPr>
      </w:pPr>
    </w:p>
    <w:bookmarkStart w:id="47" w:name="page48"/>
    <w:bookmarkEnd w:id="47"/>
    <w:p>
      <w:pPr>
        <w:ind w:left="424" w:hanging="424"/>
        <w:spacing w:after="0" w:line="26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5.2 to the Registration Statement. In giving this consent, we do not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STvB Advocaten (Europe) N.V.</w:t>
      </w:r>
    </w:p>
    <w:p>
      <w:pPr>
        <w:spacing w:after="0" w:line="158"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764"/>
          </w:cols>
          <w:pgMar w:left="436" w:top="270" w:right="699" w:bottom="1440" w:gutter="0" w:footer="0" w:header="0"/>
        </w:sectPr>
      </w:pPr>
    </w:p>
    <w:bookmarkStart w:id="48" w:name="page49"/>
    <w:bookmarkEnd w:id="48"/>
    <w:tbl>
      <w:tblPr>
        <w:tblLayout w:type="fixed"/>
        <w:tblInd w:w="6704" w:type="dxa"/>
        <w:tblCellMar>
          <w:top w:w="0" w:type="dxa"/>
          <w:left w:w="0" w:type="dxa"/>
          <w:bottom w:w="0" w:type="dxa"/>
          <w:right w:w="0" w:type="dxa"/>
        </w:tblCellMar>
      </w:tblPr>
      <w:tr>
        <w:trPr>
          <w:trHeight w:val="246"/>
        </w:trPr>
        <w:tc>
          <w:tcPr>
            <w:tcW w:w="1680" w:type="dxa"/>
            <w:vAlign w:val="bottom"/>
          </w:tcPr>
          <w:p>
            <w:pPr>
              <w:spacing w:after="0"/>
              <w:rPr>
                <w:sz w:val="21"/>
                <w:szCs w:val="21"/>
                <w:color w:val="auto"/>
              </w:rPr>
            </w:pPr>
          </w:p>
        </w:tc>
        <w:tc>
          <w:tcPr>
            <w:tcW w:w="2640" w:type="dxa"/>
            <w:vAlign w:val="bottom"/>
          </w:tcPr>
          <w:p>
            <w:pPr>
              <w:ind w:left="1740"/>
              <w:spacing w:after="0"/>
              <w:rPr>
                <w:sz w:val="20"/>
                <w:szCs w:val="20"/>
                <w:color w:val="auto"/>
              </w:rPr>
            </w:pPr>
            <w:r>
              <w:rPr>
                <w:rFonts w:ascii="Arial" w:cs="Arial" w:eastAsia="Arial" w:hAnsi="Arial"/>
                <w:sz w:val="18"/>
                <w:szCs w:val="18"/>
                <w:b w:val="1"/>
                <w:bCs w:val="1"/>
                <w:color w:val="auto"/>
                <w:w w:val="97"/>
              </w:rPr>
              <w:t>Exhibit 5.3</w:t>
            </w:r>
          </w:p>
        </w:tc>
      </w:tr>
      <w:tr>
        <w:trPr>
          <w:trHeight w:val="644"/>
        </w:trPr>
        <w:tc>
          <w:tcPr>
            <w:tcW w:w="1680" w:type="dxa"/>
            <w:vAlign w:val="bottom"/>
          </w:tcPr>
          <w:p>
            <w:pPr>
              <w:jc w:val="right"/>
              <w:ind w:right="10"/>
              <w:spacing w:after="0"/>
              <w:rPr>
                <w:sz w:val="20"/>
                <w:szCs w:val="20"/>
                <w:color w:val="auto"/>
              </w:rPr>
            </w:pPr>
            <w:r>
              <w:rPr>
                <w:rFonts w:ascii="Arial" w:cs="Arial" w:eastAsia="Arial" w:hAnsi="Arial"/>
                <w:sz w:val="18"/>
                <w:szCs w:val="18"/>
                <w:color w:val="auto"/>
                <w:w w:val="98"/>
              </w:rPr>
              <w:t>OFFICE ADDRESS</w:t>
            </w:r>
          </w:p>
        </w:tc>
        <w:tc>
          <w:tcPr>
            <w:tcW w:w="2640" w:type="dxa"/>
            <w:vAlign w:val="bottom"/>
          </w:tcPr>
          <w:p>
            <w:pPr>
              <w:ind w:left="100"/>
              <w:spacing w:after="0"/>
              <w:rPr>
                <w:sz w:val="20"/>
                <w:szCs w:val="20"/>
                <w:color w:val="auto"/>
              </w:rPr>
            </w:pPr>
            <w:r>
              <w:rPr>
                <w:rFonts w:ascii="Arial" w:cs="Arial" w:eastAsia="Arial" w:hAnsi="Arial"/>
                <w:sz w:val="18"/>
                <w:szCs w:val="18"/>
                <w:color w:val="auto"/>
              </w:rPr>
              <w:t>18-20, rue Edward Steichen</w:t>
            </w:r>
          </w:p>
        </w:tc>
      </w:tr>
      <w:tr>
        <w:trPr>
          <w:trHeight w:val="216"/>
        </w:trPr>
        <w:tc>
          <w:tcPr>
            <w:tcW w:w="168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L-2540 LUXEMBOURG</w:t>
            </w:r>
          </w:p>
        </w:tc>
      </w:tr>
      <w:tr>
        <w:trPr>
          <w:trHeight w:val="203"/>
        </w:trPr>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TELEPHONE</w:t>
            </w:r>
          </w:p>
        </w:tc>
        <w:tc>
          <w:tcPr>
            <w:tcW w:w="2640" w:type="dxa"/>
            <w:vAlign w:val="bottom"/>
          </w:tcPr>
          <w:p>
            <w:pPr>
              <w:ind w:left="100"/>
              <w:spacing w:after="0" w:line="202" w:lineRule="exact"/>
              <w:rPr>
                <w:sz w:val="20"/>
                <w:szCs w:val="20"/>
                <w:color w:val="auto"/>
              </w:rPr>
            </w:pPr>
            <w:r>
              <w:rPr>
                <w:rFonts w:ascii="Arial" w:cs="Arial" w:eastAsia="Arial" w:hAnsi="Arial"/>
                <w:sz w:val="18"/>
                <w:szCs w:val="18"/>
                <w:color w:val="auto"/>
              </w:rPr>
              <w:t>+352 466 230</w:t>
            </w:r>
          </w:p>
        </w:tc>
      </w:tr>
      <w:tr>
        <w:trPr>
          <w:trHeight w:val="203"/>
        </w:trPr>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FAX</w:t>
            </w:r>
          </w:p>
        </w:tc>
        <w:tc>
          <w:tcPr>
            <w:tcW w:w="2640" w:type="dxa"/>
            <w:vAlign w:val="bottom"/>
          </w:tcPr>
          <w:p>
            <w:pPr>
              <w:ind w:left="100"/>
              <w:spacing w:after="0" w:line="202" w:lineRule="exact"/>
              <w:rPr>
                <w:sz w:val="20"/>
                <w:szCs w:val="20"/>
                <w:color w:val="auto"/>
              </w:rPr>
            </w:pPr>
            <w:r>
              <w:rPr>
                <w:rFonts w:ascii="Arial" w:cs="Arial" w:eastAsia="Arial" w:hAnsi="Arial"/>
                <w:sz w:val="18"/>
                <w:szCs w:val="18"/>
                <w:color w:val="auto"/>
              </w:rPr>
              <w:t>+352 466 234</w:t>
            </w:r>
          </w:p>
        </w:tc>
      </w:tr>
      <w:tr>
        <w:trPr>
          <w:trHeight w:val="239"/>
        </w:trPr>
        <w:tc>
          <w:tcPr>
            <w:tcW w:w="1680" w:type="dxa"/>
            <w:vAlign w:val="bottom"/>
          </w:tcPr>
          <w:p>
            <w:pPr>
              <w:jc w:val="right"/>
              <w:ind w:right="10"/>
              <w:spacing w:after="0"/>
              <w:rPr>
                <w:sz w:val="20"/>
                <w:szCs w:val="20"/>
                <w:color w:val="auto"/>
              </w:rPr>
            </w:pPr>
            <w:r>
              <w:rPr>
                <w:rFonts w:ascii="Arial" w:cs="Arial" w:eastAsia="Arial" w:hAnsi="Arial"/>
                <w:sz w:val="18"/>
                <w:szCs w:val="18"/>
                <w:color w:val="auto"/>
              </w:rPr>
              <w:t>INTERNET</w:t>
            </w:r>
          </w:p>
        </w:tc>
        <w:tc>
          <w:tcPr>
            <w:tcW w:w="2640" w:type="dxa"/>
            <w:vAlign w:val="bottom"/>
          </w:tcPr>
          <w:p>
            <w:pPr>
              <w:ind w:left="100"/>
              <w:spacing w:after="0"/>
              <w:rPr>
                <w:sz w:val="20"/>
                <w:szCs w:val="20"/>
                <w:color w:val="auto"/>
              </w:rPr>
            </w:pPr>
            <w:r>
              <w:rPr>
                <w:rFonts w:ascii="Arial" w:cs="Arial" w:eastAsia="Arial" w:hAnsi="Arial"/>
                <w:sz w:val="18"/>
                <w:szCs w:val="18"/>
                <w:color w:val="auto"/>
              </w:rPr>
              <w:t>loyensloeff.lu</w:t>
            </w: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Investment S.A.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 Place de la Gare</w:t>
      </w:r>
    </w:p>
    <w:p>
      <w:pPr>
        <w:ind w:left="4"/>
        <w:spacing w:after="0" w:line="234" w:lineRule="auto"/>
        <w:rPr>
          <w:sz w:val="20"/>
          <w:szCs w:val="20"/>
          <w:color w:val="auto"/>
        </w:rPr>
      </w:pPr>
      <w:r>
        <w:rPr>
          <w:rFonts w:ascii="Arial" w:cs="Arial" w:eastAsia="Arial" w:hAnsi="Arial"/>
          <w:sz w:val="18"/>
          <w:szCs w:val="18"/>
          <w:color w:val="auto"/>
        </w:rPr>
        <w:t>L-1616 Luxembourg</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Grand Duchy of Luxembourg</w:t>
      </w:r>
    </w:p>
    <w:p>
      <w:pPr>
        <w:spacing w:after="0" w:line="221" w:lineRule="exact"/>
        <w:rPr>
          <w:sz w:val="20"/>
          <w:szCs w:val="20"/>
          <w:color w:val="auto"/>
        </w:rPr>
      </w:pPr>
    </w:p>
    <w:p>
      <w:pPr>
        <w:ind w:left="4"/>
        <w:spacing w:after="0"/>
        <w:tabs>
          <w:tab w:leader="none" w:pos="1744"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8"/>
          <w:szCs w:val="18"/>
          <w:b w:val="1"/>
          <w:bCs w:val="1"/>
          <w:color w:val="auto"/>
        </w:rPr>
        <w:t>Luxembourg law legal opinion – Schlumberger Investment S.A. – S-3 Registration Statement</w:t>
      </w:r>
    </w:p>
    <w:p>
      <w:pPr>
        <w:spacing w:after="0" w:line="104" w:lineRule="exact"/>
        <w:rPr>
          <w:sz w:val="20"/>
          <w:szCs w:val="20"/>
          <w:color w:val="auto"/>
        </w:rPr>
      </w:pPr>
    </w:p>
    <w:p>
      <w:pPr>
        <w:ind w:left="4"/>
        <w:spacing w:after="0"/>
        <w:tabs>
          <w:tab w:leader="none" w:pos="1744" w:val="left"/>
        </w:tabs>
        <w:rPr>
          <w:sz w:val="20"/>
          <w:szCs w:val="20"/>
          <w:color w:val="auto"/>
        </w:rPr>
      </w:pPr>
      <w:r>
        <w:rPr>
          <w:rFonts w:ascii="Arial" w:cs="Arial" w:eastAsia="Arial" w:hAnsi="Arial"/>
          <w:sz w:val="15"/>
          <w:szCs w:val="15"/>
          <w:color w:val="auto"/>
        </w:rPr>
        <w:t>REFERENCE</w:t>
      </w:r>
      <w:r>
        <w:rPr>
          <w:sz w:val="20"/>
          <w:szCs w:val="20"/>
          <w:color w:val="auto"/>
        </w:rPr>
        <w:tab/>
      </w:r>
      <w:r>
        <w:rPr>
          <w:rFonts w:ascii="Arial" w:cs="Arial" w:eastAsia="Arial" w:hAnsi="Arial"/>
          <w:sz w:val="18"/>
          <w:szCs w:val="18"/>
          <w:b w:val="1"/>
          <w:bCs w:val="1"/>
          <w:color w:val="auto"/>
        </w:rPr>
        <w:t>70135624</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Luxembourg, 8 May 2023</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 or Madam,</w:t>
      </w:r>
    </w:p>
    <w:p>
      <w:pPr>
        <w:spacing w:after="0" w:line="239"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have acted as your special legal counsel on certain matters of Luxembourg law in respect of the Company. We render this opinion regarding the filing of a Registration Statement (as defined below).</w:t>
      </w:r>
    </w:p>
    <w:p>
      <w:pPr>
        <w:spacing w:after="0" w:line="18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tab/>
        <w:t>Capitalised terms which are not otherwise defined herein are used as defined in the Schedules to this opinion letter.</w:t>
      </w:r>
    </w:p>
    <w:p>
      <w:pPr>
        <w:spacing w:after="0" w:line="11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tab/>
        <w:t>In this opinion letter:</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Securities Act of 1933, as amended.</w:t>
      </w:r>
    </w:p>
    <w:p>
      <w:pPr>
        <w:spacing w:after="0" w:line="212" w:lineRule="exact"/>
        <w:rPr>
          <w:sz w:val="20"/>
          <w:szCs w:val="20"/>
          <w:color w:val="auto"/>
        </w:rPr>
      </w:pPr>
    </w:p>
    <w:p>
      <w:pPr>
        <w:ind w:left="444" w:right="500"/>
        <w:spacing w:after="0" w:line="271" w:lineRule="auto"/>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consolidated text of the articles of association of the Company as at 2 September 2011 drawn up by Maître</w:t>
      </w:r>
      <w:r>
        <w:rPr>
          <w:rFonts w:ascii="Arial" w:cs="Arial" w:eastAsia="Arial" w:hAnsi="Arial"/>
          <w:sz w:val="18"/>
          <w:szCs w:val="18"/>
          <w:b w:val="1"/>
          <w:bCs w:val="1"/>
          <w:color w:val="auto"/>
        </w:rPr>
        <w:t xml:space="preserve"> </w:t>
      </w:r>
      <w:r>
        <w:rPr>
          <w:rFonts w:ascii="Arial" w:cs="Arial" w:eastAsia="Arial" w:hAnsi="Arial"/>
          <w:sz w:val="18"/>
          <w:szCs w:val="18"/>
          <w:color w:val="auto"/>
        </w:rPr>
        <w:t>Martine Schaeffer, notary residing in Luxembourg, Grand Duchy of Luxembourg.</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 the authorisation of the board of directors of the Company covering the issuance of the Debt Securities.</w:t>
      </w:r>
    </w:p>
    <w:p>
      <w:pPr>
        <w:spacing w:after="0" w:line="212" w:lineRule="exact"/>
        <w:rPr>
          <w:sz w:val="20"/>
          <w:szCs w:val="20"/>
          <w:color w:val="auto"/>
        </w:rPr>
      </w:pPr>
    </w:p>
    <w:p>
      <w:pPr>
        <w:ind w:left="4" w:right="40"/>
        <w:spacing w:after="0" w:line="244" w:lineRule="auto"/>
        <w:rPr>
          <w:sz w:val="20"/>
          <w:szCs w:val="20"/>
          <w:color w:val="auto"/>
        </w:rPr>
      </w:pPr>
      <w:r>
        <w:rPr>
          <w:rFonts w:ascii="Arial" w:cs="Arial" w:eastAsia="Arial" w:hAnsi="Arial"/>
          <w:sz w:val="18"/>
          <w:szCs w:val="18"/>
          <w:color w:val="auto"/>
        </w:rPr>
        <w:t>All services are provided by Loyens &amp; Loeff Luxembourg S.à 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w:t>
      </w:r>
    </w:p>
    <w:p>
      <w:pPr>
        <w:spacing w:after="0" w:line="207" w:lineRule="exact"/>
        <w:rPr>
          <w:sz w:val="20"/>
          <w:szCs w:val="20"/>
          <w:color w:val="auto"/>
        </w:rPr>
      </w:pPr>
    </w:p>
    <w:p>
      <w:pPr>
        <w:jc w:val="center"/>
        <w:ind w:right="16"/>
        <w:spacing w:after="0"/>
        <w:tabs>
          <w:tab w:leader="none" w:pos="140" w:val="left"/>
          <w:tab w:leader="none" w:pos="140" w:val="left"/>
          <w:tab w:leader="none" w:pos="140" w:val="left"/>
          <w:tab w:leader="none" w:pos="140" w:val="left"/>
          <w:tab w:leader="none" w:pos="140" w:val="left"/>
          <w:tab w:leader="none" w:pos="160" w:val="left"/>
          <w:tab w:leader="none" w:pos="160" w:val="left"/>
          <w:tab w:leader="none" w:pos="140" w:val="left"/>
        </w:tabs>
        <w:rPr>
          <w:sz w:val="20"/>
          <w:szCs w:val="20"/>
          <w:color w:val="auto"/>
        </w:rPr>
      </w:pPr>
      <w:r>
        <w:rPr>
          <w:rFonts w:ascii="Arial" w:cs="Arial" w:eastAsia="Arial" w:hAnsi="Arial"/>
          <w:sz w:val="15"/>
          <w:szCs w:val="15"/>
          <w:color w:val="auto"/>
        </w:rPr>
        <w:t>AMSTERDAM</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BRUSSELS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LUXEMBOURG</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ROTTERDAM</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HONG KONG</w:t>
      </w:r>
    </w:p>
    <w:p>
      <w:pPr>
        <w:spacing w:after="0" w:line="29" w:lineRule="exact"/>
        <w:rPr>
          <w:sz w:val="20"/>
          <w:szCs w:val="20"/>
          <w:color w:val="auto"/>
        </w:rPr>
      </w:pPr>
    </w:p>
    <w:p>
      <w:pPr>
        <w:jc w:val="center"/>
        <w:ind w:right="16"/>
        <w:spacing w:after="0"/>
        <w:tabs>
          <w:tab w:leader="none" w:pos="160" w:val="left"/>
          <w:tab w:leader="none" w:pos="140" w:val="left"/>
          <w:tab w:leader="none" w:pos="140" w:val="left"/>
          <w:tab w:leader="none" w:pos="140" w:val="left"/>
          <w:tab w:leader="none" w:pos="140" w:val="left"/>
          <w:tab w:leader="none" w:pos="140" w:val="left"/>
          <w:tab w:leader="none" w:pos="140" w:val="left"/>
          <w:tab w:leader="none" w:pos="160" w:val="left"/>
          <w:tab w:leader="none" w:pos="140" w:val="left"/>
          <w:tab w:leader="none" w:pos="140" w:val="left"/>
        </w:tabs>
        <w:rPr>
          <w:sz w:val="20"/>
          <w:szCs w:val="20"/>
          <w:color w:val="auto"/>
        </w:rPr>
      </w:pPr>
      <w:r>
        <w:rPr>
          <w:rFonts w:ascii="Arial" w:cs="Arial" w:eastAsia="Arial" w:hAnsi="Arial"/>
          <w:sz w:val="15"/>
          <w:szCs w:val="15"/>
          <w:color w:val="auto"/>
        </w:rPr>
        <w:t>LONDON</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NEW YORK</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PARIS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SINGAPORE</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TOKYO</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4"/>
          <w:szCs w:val="14"/>
          <w:color w:val="auto"/>
        </w:rPr>
        <w:t>ZURICH</w:t>
      </w:r>
    </w:p>
    <w:p>
      <w:pPr>
        <w:sectPr>
          <w:pgSz w:w="11900" w:h="16838" w:orient="portrait"/>
          <w:cols w:equalWidth="0" w:num="1">
            <w:col w:w="11024"/>
          </w:cols>
          <w:pgMar w:left="436" w:top="122" w:right="439" w:bottom="1440" w:gutter="0" w:footer="0" w:header="0"/>
        </w:sectPr>
      </w:pPr>
    </w:p>
    <w:bookmarkStart w:id="49" w:name="page50"/>
    <w:bookmarkEnd w:id="49"/>
    <w:p>
      <w:pPr>
        <w:ind w:right="22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 xml:space="preserve">Company </w:t>
      </w:r>
      <w:r>
        <w:rPr>
          <w:rFonts w:ascii="Arial" w:cs="Arial" w:eastAsia="Arial" w:hAnsi="Arial"/>
          <w:sz w:val="18"/>
          <w:szCs w:val="18"/>
          <w:color w:val="auto"/>
        </w:rPr>
        <w:t>means 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organised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Luxembourg with registered office at 5, Place de la Gare, L-1616 Luxembourg, and registered with the RCS under number B 163.122.</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 xml:space="preserve">Deed of Incorporation </w:t>
      </w:r>
      <w:r>
        <w:rPr>
          <w:rFonts w:ascii="Arial" w:cs="Arial" w:eastAsia="Arial" w:hAnsi="Arial"/>
          <w:sz w:val="18"/>
          <w:szCs w:val="18"/>
          <w:color w:val="auto"/>
        </w:rPr>
        <w:t>means the deed of incorporation of the Company dated 18 August 2011 and drawn up by Maître Martine</w:t>
      </w:r>
      <w:r>
        <w:rPr>
          <w:rFonts w:ascii="Arial" w:cs="Arial" w:eastAsia="Arial" w:hAnsi="Arial"/>
          <w:sz w:val="18"/>
          <w:szCs w:val="18"/>
          <w:b w:val="1"/>
          <w:bCs w:val="1"/>
          <w:color w:val="auto"/>
        </w:rPr>
        <w:t xml:space="preserve"> </w:t>
      </w:r>
      <w:r>
        <w:rPr>
          <w:rFonts w:ascii="Arial" w:cs="Arial" w:eastAsia="Arial" w:hAnsi="Arial"/>
          <w:sz w:val="18"/>
          <w:szCs w:val="18"/>
          <w:color w:val="auto"/>
        </w:rPr>
        <w:t>Schaeffer, notary residing in Luxembourg.</w:t>
      </w:r>
    </w:p>
    <w:p>
      <w:pPr>
        <w:spacing w:after="0" w:line="15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 xml:space="preserve">Debt Securities </w:t>
      </w:r>
      <w:r>
        <w:rPr>
          <w:rFonts w:ascii="Arial" w:cs="Arial" w:eastAsia="Arial" w:hAnsi="Arial"/>
          <w:sz w:val="18"/>
          <w:szCs w:val="18"/>
          <w:color w:val="auto"/>
        </w:rPr>
        <w:t>means the senior unsecured debt securities to be issued by the Company, guaranteed by the Guarantor and</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detail in the prospectus dated 8 May 2023 which forms part of the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Excerpt </w:t>
      </w:r>
      <w:r>
        <w:rPr>
          <w:rFonts w:ascii="Arial" w:cs="Arial" w:eastAsia="Arial" w:hAnsi="Arial"/>
          <w:sz w:val="18"/>
          <w:szCs w:val="18"/>
          <w:color w:val="auto"/>
        </w:rPr>
        <w:t>means an excerpt pertaining to the Company delivered by the RCS dated 5 May 2023.</w:t>
      </w:r>
    </w:p>
    <w:p>
      <w:pPr>
        <w:spacing w:after="0" w:line="212"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means Schlumberger Limited a public limited company organised under the laws of Curaçao and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Curaçao Commercial Register with company number 1674.</w:t>
      </w:r>
    </w:p>
    <w:p>
      <w:pPr>
        <w:spacing w:after="0" w:line="154"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color w:val="auto"/>
        </w:rPr>
        <w:t xml:space="preserve">Insolvency Proceedings </w:t>
      </w:r>
      <w:r>
        <w:rPr>
          <w:rFonts w:ascii="Arial" w:cs="Arial" w:eastAsia="Arial" w:hAnsi="Arial"/>
          <w:sz w:val="18"/>
          <w:szCs w:val="18"/>
          <w:color w:val="auto"/>
        </w:rPr>
        <w:t>means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suspension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w:t>
      </w:r>
      <w:r>
        <w:rPr>
          <w:rFonts w:ascii="Arial" w:cs="Arial" w:eastAsia="Arial" w:hAnsi="Arial"/>
          <w:sz w:val="18"/>
          <w:szCs w:val="18"/>
          <w:i w:val="1"/>
          <w:iCs w:val="1"/>
          <w:color w:val="auto"/>
        </w:rPr>
        <w:t>sursis de paiements</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insolvency, liquidation, dissolution, reorganisation, restructuring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and any similar Luxembourg or non-Luxembourg proceedings, regimes or officers relating to, or affecting, the rights of creditors generally.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Insolvency Regulation </w:t>
      </w:r>
      <w:r>
        <w:rPr>
          <w:rFonts w:ascii="Arial" w:cs="Arial" w:eastAsia="Arial" w:hAnsi="Arial"/>
          <w:sz w:val="18"/>
          <w:szCs w:val="18"/>
          <w:color w:val="auto"/>
        </w:rPr>
        <w:t>means the Regulation (EU) No 2015/848 on insolvency proceedings, as amended.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Luxembourg </w:t>
      </w:r>
      <w:r>
        <w:rPr>
          <w:rFonts w:ascii="Arial" w:cs="Arial" w:eastAsia="Arial" w:hAnsi="Arial"/>
          <w:sz w:val="18"/>
          <w:szCs w:val="18"/>
          <w:color w:val="auto"/>
        </w:rPr>
        <w:t>means the Grand Duchy of Luxembourg.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RCS </w:t>
      </w:r>
      <w:r>
        <w:rPr>
          <w:rFonts w:ascii="Arial" w:cs="Arial" w:eastAsia="Arial" w:hAnsi="Arial"/>
          <w:sz w:val="18"/>
          <w:szCs w:val="18"/>
          <w:color w:val="auto"/>
        </w:rPr>
        <w:t>means the Luxembourg Register of Commerce and Companies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RCS Certificate </w:t>
      </w:r>
      <w:r>
        <w:rPr>
          <w:rFonts w:ascii="Arial" w:cs="Arial" w:eastAsia="Arial" w:hAnsi="Arial"/>
          <w:sz w:val="18"/>
          <w:szCs w:val="18"/>
          <w:color w:val="auto"/>
        </w:rPr>
        <w:t>means a certificate of absence of a judicial decision (</w:t>
      </w:r>
      <w:r>
        <w:rPr>
          <w:rFonts w:ascii="Arial" w:cs="Arial" w:eastAsia="Arial" w:hAnsi="Arial"/>
          <w:sz w:val="18"/>
          <w:szCs w:val="18"/>
          <w:i w:val="1"/>
          <w:iCs w:val="1"/>
          <w:color w:val="auto"/>
        </w:rPr>
        <w:t>certificat de non-inscription d’une décision judiciaire</w:t>
      </w:r>
      <w:r>
        <w:rPr>
          <w:rFonts w:ascii="Arial" w:cs="Arial" w:eastAsia="Arial" w:hAnsi="Arial"/>
          <w:sz w:val="18"/>
          <w:szCs w:val="18"/>
          <w:color w:val="auto"/>
        </w:rPr>
        <w:t>) pertaining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delivered by the RCS on 5 May 2023, with respect to the situation of the Company as at 4 May 2023.</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means the Form S-3 automatic shelf registration statement under the Act dated 8 May 2023, to be filed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 by the Guarantor and the Company on or about the date of this opinion letter.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date of the Registration Statement and the date of this opinion letter.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14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863" w:right="459" w:bottom="1440" w:gutter="0" w:footer="0" w:header="0"/>
        </w:sectPr>
      </w:pPr>
    </w:p>
    <w:bookmarkStart w:id="50" w:name="page51"/>
    <w:bookmarkEnd w:id="50"/>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SCOPE OF INQUIRY</w:t>
      </w:r>
    </w:p>
    <w:p>
      <w:pPr>
        <w:spacing w:after="0" w:line="117" w:lineRule="exact"/>
        <w:rPr>
          <w:sz w:val="20"/>
          <w:szCs w:val="20"/>
          <w:color w:val="auto"/>
        </w:rPr>
      </w:pPr>
    </w:p>
    <w:p>
      <w:pPr>
        <w:ind w:left="424" w:right="520" w:hanging="431"/>
        <w:spacing w:after="0" w:line="271" w:lineRule="auto"/>
        <w:tabs>
          <w:tab w:leader="none" w:pos="404" w:val="left"/>
        </w:tabs>
        <w:rPr>
          <w:sz w:val="20"/>
          <w:szCs w:val="20"/>
          <w:color w:val="auto"/>
        </w:rPr>
      </w:pPr>
      <w:r>
        <w:rPr>
          <w:rFonts w:ascii="Arial" w:cs="Arial" w:eastAsia="Arial" w:hAnsi="Arial"/>
          <w:sz w:val="18"/>
          <w:szCs w:val="18"/>
          <w:color w:val="auto"/>
        </w:rPr>
        <w:t>3.1</w:t>
        <w:tab/>
        <w:t>For the purpose of rendering this opinion letter, we have only examined and relied upon electronically transmitted copies of the Registration Statement and electronically transmitted copies of the Articles, the Excerpt and the RCS Certificate.</w:t>
      </w:r>
    </w:p>
    <w:p>
      <w:pPr>
        <w:spacing w:after="0" w:line="59" w:lineRule="exact"/>
        <w:rPr>
          <w:sz w:val="20"/>
          <w:szCs w:val="20"/>
          <w:color w:val="auto"/>
        </w:rPr>
      </w:pPr>
    </w:p>
    <w:p>
      <w:pPr>
        <w:ind w:left="424" w:right="60" w:hanging="431"/>
        <w:spacing w:after="0" w:line="271" w:lineRule="auto"/>
        <w:tabs>
          <w:tab w:leader="none" w:pos="404" w:val="left"/>
        </w:tabs>
        <w:rPr>
          <w:sz w:val="20"/>
          <w:szCs w:val="20"/>
          <w:color w:val="auto"/>
        </w:rPr>
      </w:pPr>
      <w:r>
        <w:rPr>
          <w:rFonts w:ascii="Arial" w:cs="Arial" w:eastAsia="Arial" w:hAnsi="Arial"/>
          <w:sz w:val="18"/>
          <w:szCs w:val="18"/>
          <w:color w:val="auto"/>
        </w:rPr>
        <w:t>3.2</w:t>
        <w:tab/>
        <w:t>We have not reviewed the prospectus or any other documents incorporated by reference or referred to in the Registration Statement and therefore our opinions do not extend to such documents.</w:t>
      </w:r>
    </w:p>
    <w:p>
      <w:pPr>
        <w:spacing w:after="0" w:line="18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OPINION</w:t>
      </w:r>
    </w:p>
    <w:p>
      <w:pPr>
        <w:spacing w:after="0" w:line="117" w:lineRule="exact"/>
        <w:rPr>
          <w:sz w:val="20"/>
          <w:szCs w:val="20"/>
          <w:color w:val="auto"/>
        </w:rPr>
      </w:pPr>
    </w:p>
    <w:p>
      <w:pPr>
        <w:jc w:val="both"/>
        <w:ind w:left="424" w:hanging="431"/>
        <w:spacing w:after="0" w:line="253" w:lineRule="auto"/>
        <w:tabs>
          <w:tab w:leader="none" w:pos="404" w:val="left"/>
        </w:tabs>
        <w:rPr>
          <w:sz w:val="20"/>
          <w:szCs w:val="20"/>
          <w:color w:val="auto"/>
        </w:rPr>
      </w:pPr>
      <w:r>
        <w:rPr>
          <w:rFonts w:ascii="Arial" w:cs="Arial" w:eastAsia="Arial" w:hAnsi="Arial"/>
          <w:sz w:val="18"/>
          <w:szCs w:val="18"/>
          <w:color w:val="auto"/>
        </w:rPr>
        <w:t>4.1</w:t>
        <w:tab/>
        <w:t>This opinion letter speaks as of the date hereof and we only express an opinion on matters of Luxembourg law in force on the date of this opinion letter, excluding unpublished case law. We undertake no obligation to update it or to advise of any changes in such laws or case law, their construction or application.</w:t>
      </w:r>
    </w:p>
    <w:p>
      <w:pPr>
        <w:spacing w:after="0" w:line="74" w:lineRule="exact"/>
        <w:rPr>
          <w:sz w:val="20"/>
          <w:szCs w:val="20"/>
          <w:color w:val="auto"/>
        </w:rPr>
      </w:pPr>
    </w:p>
    <w:p>
      <w:pPr>
        <w:ind w:left="424" w:right="40" w:hanging="431"/>
        <w:spacing w:after="0" w:line="242" w:lineRule="auto"/>
        <w:tabs>
          <w:tab w:leader="none" w:pos="404" w:val="left"/>
        </w:tabs>
        <w:rPr>
          <w:sz w:val="20"/>
          <w:szCs w:val="20"/>
          <w:color w:val="auto"/>
        </w:rPr>
      </w:pPr>
      <w:r>
        <w:rPr>
          <w:rFonts w:ascii="Arial" w:cs="Arial" w:eastAsia="Arial" w:hAnsi="Arial"/>
          <w:sz w:val="18"/>
          <w:szCs w:val="18"/>
          <w:color w:val="auto"/>
        </w:rPr>
        <w:t>4.2</w:t>
        <w:tab/>
        <w:t>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regulatory and tax matters (including EMIR, AIFMD, MiFID II, MiFIR, SFTR, SFDR, the Securitisation Regulation and DAC 6 (including, in each case, their respective EU and national delegated or implementing legislation or regulation)), as well as on transfer pricing, competition, GDPR, accounting or administrative law, sanction laws and regulations or as to the consequences thereof</w:t>
      </w:r>
    </w:p>
    <w:p>
      <w:pPr>
        <w:spacing w:after="0" w:line="84" w:lineRule="exact"/>
        <w:rPr>
          <w:sz w:val="20"/>
          <w:szCs w:val="20"/>
          <w:color w:val="auto"/>
        </w:rPr>
      </w:pPr>
    </w:p>
    <w:p>
      <w:pPr>
        <w:ind w:left="424" w:right="160" w:hanging="431"/>
        <w:spacing w:after="0" w:line="244" w:lineRule="auto"/>
        <w:tabs>
          <w:tab w:leader="none" w:pos="404" w:val="left"/>
        </w:tabs>
        <w:rPr>
          <w:sz w:val="20"/>
          <w:szCs w:val="20"/>
          <w:color w:val="auto"/>
        </w:rPr>
      </w:pPr>
      <w:r>
        <w:rPr>
          <w:rFonts w:ascii="Arial" w:cs="Arial" w:eastAsia="Arial" w:hAnsi="Arial"/>
          <w:sz w:val="18"/>
          <w:szCs w:val="18"/>
          <w:color w:val="auto"/>
        </w:rPr>
        <w:t>4.3</w:t>
        <w:tab/>
        <w:t>Our opinion is strictly limited to the matters stated herein. We do not express any opinion on matters of fact, on the commercial and other non-legal aspects of the transactions contemplated by the Registration Statement or the Debt Securities and on any representations, warranties or other information included in the Registration Statement and any other document examined in connection with this opinion letter, except as expressly stated in this opinion letter. We have made no investigation in the Luxembourg register of beneficial owners.</w:t>
      </w:r>
    </w:p>
    <w:p>
      <w:pPr>
        <w:spacing w:after="0" w:line="82" w:lineRule="exact"/>
        <w:rPr>
          <w:sz w:val="20"/>
          <w:szCs w:val="20"/>
          <w:color w:val="auto"/>
        </w:rPr>
      </w:pPr>
    </w:p>
    <w:p>
      <w:pPr>
        <w:ind w:left="424" w:right="40" w:hanging="431"/>
        <w:spacing w:after="0" w:line="242" w:lineRule="auto"/>
        <w:tabs>
          <w:tab w:leader="none" w:pos="404" w:val="left"/>
        </w:tabs>
        <w:rPr>
          <w:sz w:val="20"/>
          <w:szCs w:val="20"/>
          <w:color w:val="auto"/>
        </w:rPr>
      </w:pPr>
      <w:r>
        <w:rPr>
          <w:rFonts w:ascii="Arial" w:cs="Arial" w:eastAsia="Arial" w:hAnsi="Arial"/>
          <w:sz w:val="18"/>
          <w:szCs w:val="18"/>
          <w:color w:val="auto"/>
        </w:rPr>
        <w:t>4.4</w:t>
        <w:tab/>
        <w:t>In this opinion letter Luxembourg legal concepts are sometimes expressed in English terms and not in their original French or German terms. The concepts concerned may not be identical to the concepts described by the same English term as they exist under the laws of other jurisdictions. In addition, for the purpose of different areas of Luxembourg law, for instance tax law, a term may have a different meaning than for the purpose of other areas of Luxembourg law. The meaning to be attributed to the concepts described by the English terms shall be the meaning to be attributed to the equivalent Luxembourg concepts under the relevant area of Luxembourg law.</w:t>
      </w:r>
    </w:p>
    <w:p>
      <w:pPr>
        <w:spacing w:after="0" w:line="84" w:lineRule="exact"/>
        <w:rPr>
          <w:sz w:val="20"/>
          <w:szCs w:val="20"/>
          <w:color w:val="auto"/>
        </w:rPr>
      </w:pPr>
    </w:p>
    <w:p>
      <w:pPr>
        <w:ind w:left="424" w:right="220" w:hanging="431"/>
        <w:spacing w:after="0" w:line="271" w:lineRule="auto"/>
        <w:tabs>
          <w:tab w:leader="none" w:pos="404" w:val="left"/>
        </w:tabs>
        <w:rPr>
          <w:sz w:val="20"/>
          <w:szCs w:val="20"/>
          <w:color w:val="auto"/>
        </w:rPr>
      </w:pPr>
      <w:r>
        <w:rPr>
          <w:rFonts w:ascii="Arial" w:cs="Arial" w:eastAsia="Arial" w:hAnsi="Arial"/>
          <w:sz w:val="18"/>
          <w:szCs w:val="18"/>
          <w:color w:val="auto"/>
        </w:rPr>
        <w:t>4.5</w:t>
        <w:tab/>
        <w:t>This opinion letter may only be relied upon under the express condition that any issue of interpretation or liability arising hereunder will be governed by Luxembourg law and be brought exclusively before the courts of the district of Luxembourg-City.</w:t>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863" w:right="459" w:bottom="1440" w:gutter="0" w:footer="0" w:header="0"/>
        </w:sectPr>
      </w:pPr>
    </w:p>
    <w:bookmarkStart w:id="51" w:name="page52"/>
    <w:bookmarkEnd w:id="51"/>
    <w:p>
      <w:pPr>
        <w:jc w:val="both"/>
        <w:ind w:left="424" w:right="80" w:hanging="431"/>
        <w:spacing w:after="0" w:line="253"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4.6</w:t>
        <w:tab/>
        <w:t>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w:t>
      </w:r>
    </w:p>
    <w:p>
      <w:pPr>
        <w:spacing w:after="0" w:line="196"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103" w:lineRule="exact"/>
        <w:rPr>
          <w:rFonts w:ascii="Arial" w:cs="Arial" w:eastAsia="Arial" w:hAnsi="Arial"/>
          <w:sz w:val="18"/>
          <w:szCs w:val="18"/>
          <w:b w:val="1"/>
          <w:bCs w:val="1"/>
          <w:color w:val="auto"/>
        </w:rPr>
      </w:pPr>
    </w:p>
    <w:p>
      <w:pPr>
        <w:ind w:left="444" w:right="1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opinions expressed in this paragraph 5 (Opinions) should be read in conjunction with the assumptions set out in Schedule 1 (Assumptions) and the qualifications set out in Schedule 2 (Qualifications). On the basis of these Assumptions and subject to these Qualifications and any factual matters or information not disclosed to us in the course of our investigation, we are of the opinion that as at the date of this opinion letter:</w:t>
      </w:r>
    </w:p>
    <w:p>
      <w:pPr>
        <w:spacing w:after="0" w:line="7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Corporate status</w:t>
      </w:r>
    </w:p>
    <w:p>
      <w:pPr>
        <w:spacing w:after="0" w:line="104" w:lineRule="exact"/>
        <w:rPr>
          <w:sz w:val="20"/>
          <w:szCs w:val="20"/>
          <w:color w:val="auto"/>
        </w:rPr>
      </w:pPr>
    </w:p>
    <w:p>
      <w:pPr>
        <w:ind w:left="444" w:right="280"/>
        <w:spacing w:after="0" w:line="271" w:lineRule="auto"/>
        <w:rPr>
          <w:sz w:val="20"/>
          <w:szCs w:val="20"/>
          <w:color w:val="auto"/>
        </w:rPr>
      </w:pPr>
      <w:r>
        <w:rPr>
          <w:rFonts w:ascii="Arial" w:cs="Arial" w:eastAsia="Arial" w:hAnsi="Arial"/>
          <w:sz w:val="18"/>
          <w:szCs w:val="18"/>
          <w:color w:val="auto"/>
        </w:rPr>
        <w:t>The Company is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duly incorporated and validly existing under Luxembourg law for an unlimited duration.</w:t>
      </w:r>
    </w:p>
    <w:p>
      <w:pPr>
        <w:spacing w:after="0" w:line="5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Due authorization</w:t>
      </w:r>
    </w:p>
    <w:p>
      <w:pPr>
        <w:spacing w:after="0" w:line="104" w:lineRule="exact"/>
        <w:rPr>
          <w:sz w:val="20"/>
          <w:szCs w:val="20"/>
          <w:color w:val="auto"/>
        </w:rPr>
      </w:pPr>
    </w:p>
    <w:p>
      <w:pPr>
        <w:ind w:left="444" w:right="440"/>
        <w:spacing w:after="0" w:line="301" w:lineRule="auto"/>
        <w:rPr>
          <w:sz w:val="20"/>
          <w:szCs w:val="20"/>
          <w:color w:val="auto"/>
        </w:rPr>
      </w:pPr>
      <w:r>
        <w:rPr>
          <w:rFonts w:ascii="Arial" w:cs="Arial" w:eastAsia="Arial" w:hAnsi="Arial"/>
          <w:sz w:val="17"/>
          <w:szCs w:val="17"/>
          <w:color w:val="auto"/>
        </w:rPr>
        <w:t>The Debt Securities, if and when the issue and the amount of such Debt Securities have been duly authorised by the board of directors of the Company, will be duly authorised according to Luxembourg laws applicable to commercial companies generally.</w:t>
      </w:r>
    </w:p>
    <w:p>
      <w:pPr>
        <w:spacing w:after="0" w:line="158"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ADDRESSEE</w:t>
      </w:r>
    </w:p>
    <w:p>
      <w:pPr>
        <w:spacing w:after="0" w:line="103" w:lineRule="exact"/>
        <w:rPr>
          <w:rFonts w:ascii="Arial" w:cs="Arial" w:eastAsia="Arial" w:hAnsi="Arial"/>
          <w:sz w:val="18"/>
          <w:szCs w:val="18"/>
          <w:b w:val="1"/>
          <w:bCs w:val="1"/>
          <w:color w:val="auto"/>
        </w:rPr>
      </w:pPr>
    </w:p>
    <w:p>
      <w:pPr>
        <w:ind w:left="444" w:right="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This opinion letter is addressed to you and may only be relied upon by you in connection with the transactions to which the Registration Statement and the Debt Securities relate and may not be disclosed to and relied upon by any other person without our prior written consent.</w:t>
      </w:r>
    </w:p>
    <w:p>
      <w:pPr>
        <w:spacing w:after="0" w:line="169" w:lineRule="exact"/>
        <w:rPr>
          <w:sz w:val="20"/>
          <w:szCs w:val="20"/>
          <w:color w:val="auto"/>
        </w:rPr>
      </w:pPr>
    </w:p>
    <w:p>
      <w:pPr>
        <w:jc w:val="both"/>
        <w:ind w:left="444"/>
        <w:spacing w:after="0" w:line="253" w:lineRule="auto"/>
        <w:rPr>
          <w:sz w:val="20"/>
          <w:szCs w:val="20"/>
          <w:color w:val="auto"/>
        </w:rPr>
      </w:pPr>
      <w:r>
        <w:rPr>
          <w:rFonts w:ascii="Arial" w:cs="Arial" w:eastAsia="Arial" w:hAnsi="Arial"/>
          <w:sz w:val="18"/>
          <w:szCs w:val="18"/>
          <w:color w:val="auto"/>
        </w:rPr>
        <w:t xml:space="preserve">We hereby consent to the filing of this opinion letter as an </w:t>
      </w:r>
      <w:r>
        <w:rPr>
          <w:rFonts w:ascii="Arial" w:cs="Arial" w:eastAsia="Arial" w:hAnsi="Arial"/>
          <w:sz w:val="18"/>
          <w:szCs w:val="18"/>
          <w:b w:val="1"/>
          <w:bCs w:val="1"/>
          <w:color w:val="auto"/>
        </w:rPr>
        <w:t>Exhibit 5.3</w:t>
      </w:r>
      <w:r>
        <w:rPr>
          <w:rFonts w:ascii="Arial" w:cs="Arial" w:eastAsia="Arial" w:hAnsi="Arial"/>
          <w:sz w:val="18"/>
          <w:szCs w:val="18"/>
          <w:color w:val="auto"/>
        </w:rPr>
        <w:t xml:space="preserve"> to the Registration Statement. In giving this consent, we do not admit that we are in the category of persons whose consent is required under Section 7 of the Act or the rules and regulations of the SEC.</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863" w:right="459" w:bottom="1440" w:gutter="0" w:footer="0" w:header="0"/>
        </w:sectPr>
      </w:pPr>
    </w:p>
    <w:bookmarkStart w:id="52" w:name="page53"/>
    <w:bookmarkEnd w:id="5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Yours faithfully,</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Loyens &amp; Loeff Luxembourg SARL</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21"/>
        </w:trPr>
        <w:tc>
          <w:tcPr>
            <w:tcW w:w="5180" w:type="dxa"/>
            <w:vAlign w:val="bottom"/>
          </w:tcPr>
          <w:p>
            <w:pPr>
              <w:spacing w:after="0"/>
              <w:rPr>
                <w:sz w:val="20"/>
                <w:szCs w:val="20"/>
                <w:color w:val="auto"/>
              </w:rPr>
            </w:pPr>
            <w:r>
              <w:rPr>
                <w:rFonts w:ascii="Arial" w:cs="Arial" w:eastAsia="Arial" w:hAnsi="Arial"/>
                <w:sz w:val="18"/>
                <w:szCs w:val="18"/>
                <w:color w:val="auto"/>
              </w:rPr>
              <w:t>/s/ Judith Raijmakers</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Anne-Marie Nicolas</w:t>
            </w:r>
          </w:p>
        </w:tc>
      </w:tr>
      <w:tr>
        <w:trPr>
          <w:trHeight w:val="35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Judith Raijmakers</w:t>
            </w:r>
            <w:r>
              <w:rPr>
                <w:rFonts w:ascii="Arial" w:cs="Arial" w:eastAsia="Arial" w:hAnsi="Arial"/>
                <w:sz w:val="26"/>
                <w:szCs w:val="26"/>
                <w:color w:val="auto"/>
                <w:vertAlign w:val="superscript"/>
              </w:rPr>
              <w:t>1</w:t>
            </w:r>
          </w:p>
        </w:tc>
        <w:tc>
          <w:tcPr>
            <w:tcW w:w="660" w:type="dxa"/>
            <w:vAlign w:val="bottom"/>
          </w:tcPr>
          <w:p>
            <w:pPr>
              <w:spacing w:after="0"/>
              <w:rPr>
                <w:sz w:val="24"/>
                <w:szCs w:val="24"/>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Anne-Marie Nicolas</w:t>
            </w:r>
            <w:r>
              <w:rPr>
                <w:rFonts w:ascii="Arial" w:cs="Arial" w:eastAsia="Arial" w:hAnsi="Arial"/>
                <w:sz w:val="26"/>
                <w:szCs w:val="26"/>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90" w:lineRule="auto"/>
        <w:tabs>
          <w:tab w:leader="none" w:pos="424"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Acting as representative (</w:t>
      </w:r>
      <w:r>
        <w:rPr>
          <w:rFonts w:ascii="Arial" w:cs="Arial" w:eastAsia="Arial" w:hAnsi="Arial"/>
          <w:sz w:val="18"/>
          <w:szCs w:val="18"/>
          <w:i w:val="1"/>
          <w:iCs w:val="1"/>
          <w:color w:val="auto"/>
        </w:rPr>
        <w:t>mandataire</w:t>
      </w:r>
      <w:r>
        <w:rPr>
          <w:rFonts w:ascii="Arial" w:cs="Arial" w:eastAsia="Arial" w:hAnsi="Arial"/>
          <w:sz w:val="18"/>
          <w:szCs w:val="18"/>
          <w:color w:val="auto"/>
        </w:rPr>
        <w:t>) of Loyens &amp; Loeff Luxembourg SARL.</w:t>
      </w:r>
    </w:p>
    <w:p>
      <w:pPr>
        <w:spacing w:after="0" w:line="1" w:lineRule="exact"/>
        <w:rPr>
          <w:sz w:val="20"/>
          <w:szCs w:val="20"/>
          <w:color w:val="auto"/>
        </w:rPr>
      </w:pPr>
    </w:p>
    <w:p>
      <w:pPr>
        <w:ind w:left="5464" w:right="4520" w:hanging="5464"/>
        <w:spacing w:after="0" w:line="303" w:lineRule="auto"/>
        <w:tabs>
          <w:tab w:leader="none" w:pos="438"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Acting as representative (</w:t>
      </w:r>
      <w:r>
        <w:rPr>
          <w:rFonts w:ascii="Arial" w:cs="Arial" w:eastAsia="Arial" w:hAnsi="Arial"/>
          <w:sz w:val="18"/>
          <w:szCs w:val="18"/>
          <w:i w:val="1"/>
          <w:iCs w:val="1"/>
          <w:color w:val="auto"/>
        </w:rPr>
        <w:t>mandataire</w:t>
      </w:r>
      <w:r>
        <w:rPr>
          <w:rFonts w:ascii="Arial" w:cs="Arial" w:eastAsia="Arial" w:hAnsi="Arial"/>
          <w:sz w:val="18"/>
          <w:szCs w:val="18"/>
          <w:color w:val="auto"/>
        </w:rPr>
        <w:t>) of Loyens &amp; Loeff Luxembourg SARL. 5</w:t>
      </w:r>
    </w:p>
    <w:p>
      <w:pPr>
        <w:sectPr>
          <w:pgSz w:w="11900" w:h="16838" w:orient="portrait"/>
          <w:cols w:equalWidth="0" w:num="1">
            <w:col w:w="11024"/>
          </w:cols>
          <w:pgMar w:left="436" w:top="863" w:right="439" w:bottom="1440" w:gutter="0" w:footer="0" w:header="0"/>
        </w:sectPr>
      </w:pPr>
    </w:p>
    <w:bookmarkStart w:id="53" w:name="page54"/>
    <w:bookmarkEnd w:id="5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Schedule 1</w:t>
      </w:r>
    </w:p>
    <w:p>
      <w:pPr>
        <w:spacing w:after="0" w:line="212" w:lineRule="exact"/>
        <w:rPr>
          <w:sz w:val="20"/>
          <w:szCs w:val="20"/>
          <w:color w:val="auto"/>
        </w:rPr>
      </w:pPr>
    </w:p>
    <w:p>
      <w:pPr>
        <w:ind w:left="4844"/>
        <w:spacing w:after="0"/>
        <w:rPr>
          <w:sz w:val="20"/>
          <w:szCs w:val="20"/>
          <w:color w:val="auto"/>
        </w:rPr>
      </w:pPr>
      <w:r>
        <w:rPr>
          <w:rFonts w:ascii="Arial" w:cs="Arial" w:eastAsia="Arial" w:hAnsi="Arial"/>
          <w:sz w:val="18"/>
          <w:szCs w:val="18"/>
          <w:b w:val="1"/>
          <w:bCs w:val="1"/>
          <w:color w:val="auto"/>
        </w:rPr>
        <w:t>ASSUMPTIONS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assumptions:</w:t>
      </w:r>
    </w:p>
    <w:p>
      <w:pPr>
        <w:spacing w:after="0" w:line="117"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17" w:lineRule="exact"/>
        <w:rPr>
          <w:sz w:val="20"/>
          <w:szCs w:val="20"/>
          <w:color w:val="auto"/>
        </w:rPr>
      </w:pPr>
    </w:p>
    <w:p>
      <w:pPr>
        <w:ind w:left="424" w:hanging="431"/>
        <w:spacing w:after="0" w:line="271" w:lineRule="auto"/>
        <w:tabs>
          <w:tab w:leader="none" w:pos="404" w:val="left"/>
        </w:tabs>
        <w:rPr>
          <w:sz w:val="20"/>
          <w:szCs w:val="20"/>
          <w:color w:val="auto"/>
        </w:rPr>
      </w:pPr>
      <w:r>
        <w:rPr>
          <w:rFonts w:ascii="Arial" w:cs="Arial" w:eastAsia="Arial" w:hAnsi="Arial"/>
          <w:sz w:val="18"/>
          <w:szCs w:val="18"/>
          <w:color w:val="auto"/>
        </w:rPr>
        <w:t>1.1</w:t>
        <w:tab/>
        <w:t>All original documents are authentic, all signatures (whether handwritten or electronic) are genuine and were inserted or agreed to be inserted by the relevant individual, and all copies are complete and conform to the originals.</w:t>
      </w:r>
    </w:p>
    <w:p>
      <w:pPr>
        <w:spacing w:after="0" w:line="59" w:lineRule="exact"/>
        <w:rPr>
          <w:sz w:val="20"/>
          <w:szCs w:val="20"/>
          <w:color w:val="auto"/>
        </w:rPr>
      </w:pPr>
    </w:p>
    <w:p>
      <w:pPr>
        <w:ind w:left="424" w:right="260" w:hanging="431"/>
        <w:spacing w:after="0" w:line="271" w:lineRule="auto"/>
        <w:tabs>
          <w:tab w:leader="none" w:pos="404" w:val="left"/>
        </w:tabs>
        <w:rPr>
          <w:sz w:val="20"/>
          <w:szCs w:val="20"/>
          <w:color w:val="auto"/>
        </w:rPr>
      </w:pPr>
      <w:r>
        <w:rPr>
          <w:rFonts w:ascii="Arial" w:cs="Arial" w:eastAsia="Arial" w:hAnsi="Arial"/>
          <w:sz w:val="18"/>
          <w:szCs w:val="18"/>
          <w:color w:val="auto"/>
        </w:rPr>
        <w:t>1.2</w:t>
        <w:tab/>
        <w:t>The information contained and the statements made in the Excerpt and the RCS Certificate are true, accurate and complete at the Relevant Date.</w:t>
      </w:r>
    </w:p>
    <w:p>
      <w:pPr>
        <w:spacing w:after="0" w:line="181"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CORPORATE POWER</w:t>
      </w:r>
    </w:p>
    <w:p>
      <w:pPr>
        <w:spacing w:after="0" w:line="117" w:lineRule="exact"/>
        <w:rPr>
          <w:sz w:val="20"/>
          <w:szCs w:val="20"/>
          <w:color w:val="auto"/>
        </w:rPr>
      </w:pPr>
    </w:p>
    <w:p>
      <w:pPr>
        <w:ind w:left="424" w:right="320" w:hanging="431"/>
        <w:spacing w:after="0" w:line="271" w:lineRule="auto"/>
        <w:tabs>
          <w:tab w:leader="none" w:pos="404" w:val="left"/>
        </w:tabs>
        <w:rPr>
          <w:sz w:val="20"/>
          <w:szCs w:val="20"/>
          <w:color w:val="auto"/>
        </w:rPr>
      </w:pPr>
      <w:r>
        <w:rPr>
          <w:rFonts w:ascii="Arial" w:cs="Arial" w:eastAsia="Arial" w:hAnsi="Arial"/>
          <w:sz w:val="18"/>
          <w:szCs w:val="18"/>
          <w:color w:val="auto"/>
        </w:rPr>
        <w:t>2.1</w:t>
        <w:tab/>
        <w:t>There were no defects in the incorporation process of the Company (not appearing on the face of the Deed of Incorporation). The Articles are in full force and effect on the Relevant Date.</w:t>
      </w:r>
    </w:p>
    <w:p>
      <w:pPr>
        <w:spacing w:after="0" w:line="46" w:lineRule="exact"/>
        <w:rPr>
          <w:sz w:val="20"/>
          <w:szCs w:val="20"/>
          <w:color w:val="auto"/>
        </w:rPr>
      </w:pPr>
    </w:p>
    <w:p>
      <w:pPr>
        <w:jc w:val="both"/>
        <w:ind w:left="444" w:right="220"/>
        <w:spacing w:after="0" w:line="301" w:lineRule="auto"/>
        <w:rPr>
          <w:sz w:val="20"/>
          <w:szCs w:val="20"/>
          <w:color w:val="auto"/>
        </w:rPr>
      </w:pPr>
      <w:r>
        <w:rPr>
          <w:rFonts w:ascii="Arial" w:cs="Arial" w:eastAsia="Arial" w:hAnsi="Arial"/>
          <w:sz w:val="17"/>
          <w:szCs w:val="17"/>
          <w:color w:val="auto"/>
        </w:rPr>
        <w:t>The Company has its central administration (</w:t>
      </w:r>
      <w:r>
        <w:rPr>
          <w:rFonts w:ascii="Arial" w:cs="Arial" w:eastAsia="Arial" w:hAnsi="Arial"/>
          <w:sz w:val="17"/>
          <w:szCs w:val="17"/>
          <w:i w:val="1"/>
          <w:iCs w:val="1"/>
          <w:color w:val="auto"/>
        </w:rPr>
        <w:t>administration centrale</w:t>
      </w:r>
      <w:r>
        <w:rPr>
          <w:rFonts w:ascii="Arial" w:cs="Arial" w:eastAsia="Arial" w:hAnsi="Arial"/>
          <w:sz w:val="17"/>
          <w:szCs w:val="17"/>
          <w:color w:val="auto"/>
        </w:rPr>
        <w:t>) and its centre of main interest (as described in the Insolvency Regulation) in Luxembourg and does not have an establishment (as described in the Insolvency Regulation) outside Luxembourg.</w:t>
      </w:r>
    </w:p>
    <w:p>
      <w:pPr>
        <w:spacing w:after="0" w:line="3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tab/>
        <w:t>The Company complies with and adheres to all laws and regulations on the domiciliation of companies.</w:t>
      </w:r>
    </w:p>
    <w:p>
      <w:pPr>
        <w:spacing w:after="0" w:line="117" w:lineRule="exact"/>
        <w:rPr>
          <w:sz w:val="20"/>
          <w:szCs w:val="20"/>
          <w:color w:val="auto"/>
        </w:rPr>
      </w:pPr>
    </w:p>
    <w:p>
      <w:pPr>
        <w:ind w:left="424" w:right="60" w:hanging="431"/>
        <w:spacing w:after="0" w:line="245" w:lineRule="auto"/>
        <w:tabs>
          <w:tab w:leader="none" w:pos="404" w:val="left"/>
        </w:tabs>
        <w:rPr>
          <w:sz w:val="20"/>
          <w:szCs w:val="20"/>
          <w:color w:val="auto"/>
        </w:rPr>
      </w:pPr>
      <w:r>
        <w:rPr>
          <w:rFonts w:ascii="Arial" w:cs="Arial" w:eastAsia="Arial" w:hAnsi="Arial"/>
          <w:sz w:val="18"/>
          <w:szCs w:val="18"/>
          <w:color w:val="auto"/>
        </w:rPr>
        <w:t>2.3</w:t>
        <w:tab/>
        <w:t>The issue of the Debt Securities and the execution, entry into, performance and filing by the Company of the Registration Statement, and the transactions in connection therewith are (a) in its corporate interest, (b) with the intent of pursuing profit (</w:t>
      </w:r>
      <w:r>
        <w:rPr>
          <w:rFonts w:ascii="Arial" w:cs="Arial" w:eastAsia="Arial" w:hAnsi="Arial"/>
          <w:sz w:val="18"/>
          <w:szCs w:val="18"/>
          <w:i w:val="1"/>
          <w:iCs w:val="1"/>
          <w:color w:val="auto"/>
        </w:rPr>
        <w:t>but lucratif</w:t>
      </w:r>
      <w:r>
        <w:rPr>
          <w:rFonts w:ascii="Arial" w:cs="Arial" w:eastAsia="Arial" w:hAnsi="Arial"/>
          <w:sz w:val="18"/>
          <w:szCs w:val="18"/>
          <w:color w:val="auto"/>
        </w:rPr>
        <w:t>) and</w:t>
      </w:r>
    </w:p>
    <w:p>
      <w:pPr>
        <w:ind w:left="424"/>
        <w:spacing w:after="0"/>
        <w:rPr>
          <w:sz w:val="20"/>
          <w:szCs w:val="20"/>
          <w:color w:val="auto"/>
        </w:rPr>
      </w:pPr>
      <w:r>
        <w:rPr>
          <w:rFonts w:ascii="Arial" w:cs="Arial" w:eastAsia="Arial" w:hAnsi="Arial"/>
          <w:sz w:val="18"/>
          <w:szCs w:val="18"/>
          <w:color w:val="auto"/>
        </w:rPr>
        <w:t>(c) serving the corporate object of the Company.</w:t>
      </w:r>
    </w:p>
    <w:p>
      <w:pPr>
        <w:spacing w:after="0" w:line="9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Company will be validly existing under Luxembourg law at the date of the Authorisation.</w:t>
      </w:r>
    </w:p>
    <w:p>
      <w:pPr>
        <w:spacing w:after="0" w:line="239"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w:t>
      </w:r>
    </w:p>
    <w:p>
      <w:pPr>
        <w:spacing w:after="0" w:line="103" w:lineRule="exact"/>
        <w:rPr>
          <w:rFonts w:ascii="Arial" w:cs="Arial" w:eastAsia="Arial" w:hAnsi="Arial"/>
          <w:sz w:val="18"/>
          <w:szCs w:val="18"/>
          <w:b w:val="1"/>
          <w:bCs w:val="1"/>
          <w:color w:val="auto"/>
        </w:rPr>
      </w:pPr>
    </w:p>
    <w:p>
      <w:pPr>
        <w:jc w:val="both"/>
        <w:ind w:left="444" w:right="3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is not and will not be under any contractual obligation to obtain the consent, approval, co-operation, permission or otherwise of any third party or person in connection with the execution of, entry into, and performance of its obligations under, the Registration Statement and the issuance of the Debt Securities.</w:t>
      </w:r>
    </w:p>
    <w:p>
      <w:pPr>
        <w:spacing w:after="0" w:line="196"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VALIDITY</w:t>
      </w:r>
    </w:p>
    <w:p>
      <w:pPr>
        <w:spacing w:after="0" w:line="103" w:lineRule="exact"/>
        <w:rPr>
          <w:rFonts w:ascii="Arial" w:cs="Arial" w:eastAsia="Arial" w:hAnsi="Arial"/>
          <w:sz w:val="18"/>
          <w:szCs w:val="18"/>
          <w:b w:val="1"/>
          <w:bCs w:val="1"/>
          <w:color w:val="auto"/>
        </w:rPr>
      </w:pPr>
    </w:p>
    <w:p>
      <w:pPr>
        <w:ind w:left="444" w:right="10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Under any applicable laws (other than Luxembourg law, to the extent opined upon herein) the Debt Securities and all obligations in connection therewith and under the Registration Statement (and the documents in connection therewith) are legal, valid, binding upon it and enforceable as a matter of all relevant laws (other than, but only to the extent expressly opined herein, Luxembourg law) and, in particular, their expressed governing law.</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863" w:right="439" w:bottom="1440" w:gutter="0" w:footer="0" w:header="0"/>
        </w:sectPr>
      </w:pPr>
    </w:p>
    <w:bookmarkStart w:id="54" w:name="page55"/>
    <w:bookmarkEnd w:id="54"/>
    <w:p>
      <w:pPr>
        <w:ind w:left="424" w:hanging="424"/>
        <w:spacing w:after="0"/>
        <w:tabs>
          <w:tab w:leader="none" w:pos="4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MISCELLANEOUS</w:t>
      </w:r>
    </w:p>
    <w:p>
      <w:pPr>
        <w:spacing w:after="0" w:line="117" w:lineRule="exact"/>
        <w:rPr>
          <w:sz w:val="20"/>
          <w:szCs w:val="20"/>
          <w:color w:val="auto"/>
        </w:rPr>
      </w:pPr>
    </w:p>
    <w:p>
      <w:pPr>
        <w:ind w:left="424" w:hanging="431"/>
        <w:spacing w:after="0" w:line="247" w:lineRule="auto"/>
        <w:tabs>
          <w:tab w:leader="none" w:pos="404" w:val="left"/>
        </w:tabs>
        <w:rPr>
          <w:sz w:val="20"/>
          <w:szCs w:val="20"/>
          <w:color w:val="auto"/>
        </w:rPr>
      </w:pPr>
      <w:r>
        <w:rPr>
          <w:rFonts w:ascii="Arial" w:cs="Arial" w:eastAsia="Arial" w:hAnsi="Arial"/>
          <w:sz w:val="18"/>
          <w:szCs w:val="18"/>
          <w:color w:val="auto"/>
        </w:rPr>
        <w:t>5.1</w:t>
        <w:tab/>
        <w:t>The Company will issue the Debt Securities and execute and perform its obligations under the Registration Statement (and all documents in connection therewith) in good faith, for the purpose of carrying out its business and without any intention to defraud or deprive of any legal benefit any other party (including third party creditors) or to circumvent any mandatory law, regulation of any jurisdiction or contractual arrangements.</w:t>
      </w:r>
    </w:p>
    <w:p>
      <w:pPr>
        <w:spacing w:after="0" w:line="79" w:lineRule="exact"/>
        <w:rPr>
          <w:sz w:val="20"/>
          <w:szCs w:val="20"/>
          <w:color w:val="auto"/>
        </w:rPr>
      </w:pPr>
    </w:p>
    <w:p>
      <w:pPr>
        <w:ind w:left="424" w:right="200" w:hanging="431"/>
        <w:spacing w:after="0" w:line="271" w:lineRule="auto"/>
        <w:tabs>
          <w:tab w:leader="none" w:pos="404" w:val="left"/>
        </w:tabs>
        <w:rPr>
          <w:sz w:val="20"/>
          <w:szCs w:val="20"/>
          <w:color w:val="auto"/>
        </w:rPr>
      </w:pPr>
      <w:r>
        <w:rPr>
          <w:rFonts w:ascii="Arial" w:cs="Arial" w:eastAsia="Arial" w:hAnsi="Arial"/>
          <w:sz w:val="18"/>
          <w:szCs w:val="18"/>
          <w:color w:val="auto"/>
        </w:rPr>
        <w:t>5.2</w:t>
        <w:tab/>
        <w:t>There are no provisions in the laws of any jurisdiction (other than Luxembourg) or in the documents mentioned in the Registration Statement, which would adversely affect, or otherwise have any negative impact on this opinion letter.</w:t>
      </w:r>
    </w:p>
    <w:p>
      <w:pPr>
        <w:spacing w:after="0" w:line="8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4"/>
          </w:cols>
          <w:pgMar w:left="436" w:top="863" w:right="559" w:bottom="1440" w:gutter="0" w:footer="0" w:header="0"/>
        </w:sectPr>
      </w:pPr>
    </w:p>
    <w:bookmarkStart w:id="55" w:name="page56"/>
    <w:bookmarkEnd w:id="55"/>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Schedule 2</w:t>
      </w:r>
    </w:p>
    <w:p>
      <w:pPr>
        <w:spacing w:after="0" w:line="212" w:lineRule="exact"/>
        <w:rPr>
          <w:sz w:val="20"/>
          <w:szCs w:val="20"/>
          <w:color w:val="auto"/>
        </w:rPr>
      </w:pPr>
    </w:p>
    <w:p>
      <w:pPr>
        <w:ind w:left="4744"/>
        <w:spacing w:after="0"/>
        <w:rPr>
          <w:sz w:val="20"/>
          <w:szCs w:val="20"/>
          <w:color w:val="auto"/>
        </w:rPr>
      </w:pPr>
      <w:r>
        <w:rPr>
          <w:rFonts w:ascii="Arial" w:cs="Arial" w:eastAsia="Arial" w:hAnsi="Arial"/>
          <w:sz w:val="18"/>
          <w:szCs w:val="18"/>
          <w:b w:val="1"/>
          <w:bCs w:val="1"/>
          <w:color w:val="auto"/>
        </w:rPr>
        <w:t>QUALIFICATIONS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opinion letter are subject to the following qualifications:</w:t>
      </w:r>
    </w:p>
    <w:p>
      <w:pPr>
        <w:spacing w:after="0" w:line="117"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17" w:lineRule="exact"/>
        <w:rPr>
          <w:sz w:val="20"/>
          <w:szCs w:val="20"/>
          <w:color w:val="auto"/>
        </w:rPr>
      </w:pPr>
    </w:p>
    <w:p>
      <w:pPr>
        <w:ind w:left="424" w:right="40" w:hanging="431"/>
        <w:spacing w:after="0" w:line="271" w:lineRule="auto"/>
        <w:tabs>
          <w:tab w:leader="none" w:pos="404" w:val="left"/>
        </w:tabs>
        <w:rPr>
          <w:sz w:val="20"/>
          <w:szCs w:val="20"/>
          <w:color w:val="auto"/>
        </w:rPr>
      </w:pPr>
      <w:r>
        <w:rPr>
          <w:rFonts w:ascii="Arial" w:cs="Arial" w:eastAsia="Arial" w:hAnsi="Arial"/>
          <w:sz w:val="18"/>
          <w:szCs w:val="18"/>
          <w:color w:val="auto"/>
        </w:rPr>
        <w:t>1.1</w:t>
        <w:tab/>
        <w:t>This opinion letter is subject to all limitations resulting from the application of Luxembourg public policy rules, overriding statutes and mandatory laws as well as to all limitations by reasons of Insolvency Proceedings.</w:t>
      </w:r>
    </w:p>
    <w:p>
      <w:pPr>
        <w:spacing w:after="0" w:line="181"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INFORMATION</w:t>
      </w:r>
    </w:p>
    <w:p>
      <w:pPr>
        <w:spacing w:after="0" w:line="117" w:lineRule="exact"/>
        <w:rPr>
          <w:sz w:val="20"/>
          <w:szCs w:val="20"/>
          <w:color w:val="auto"/>
        </w:rPr>
      </w:pPr>
    </w:p>
    <w:p>
      <w:pPr>
        <w:ind w:left="424" w:right="160" w:hanging="431"/>
        <w:spacing w:after="0" w:line="253" w:lineRule="auto"/>
        <w:tabs>
          <w:tab w:leader="none" w:pos="404" w:val="left"/>
        </w:tabs>
        <w:rPr>
          <w:sz w:val="20"/>
          <w:szCs w:val="20"/>
          <w:color w:val="auto"/>
        </w:rPr>
      </w:pPr>
      <w:r>
        <w:rPr>
          <w:rFonts w:ascii="Arial" w:cs="Arial" w:eastAsia="Arial" w:hAnsi="Arial"/>
          <w:sz w:val="18"/>
          <w:szCs w:val="18"/>
          <w:color w:val="auto"/>
        </w:rPr>
        <w:t>2.1</w:t>
        <w:tab/>
        <w:t>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w:t>
      </w:r>
    </w:p>
    <w:p>
      <w:pPr>
        <w:spacing w:after="0" w:line="74" w:lineRule="exact"/>
        <w:rPr>
          <w:sz w:val="20"/>
          <w:szCs w:val="20"/>
          <w:color w:val="auto"/>
        </w:rPr>
      </w:pPr>
    </w:p>
    <w:p>
      <w:pPr>
        <w:ind w:left="424" w:hanging="431"/>
        <w:spacing w:after="0" w:line="244" w:lineRule="auto"/>
        <w:tabs>
          <w:tab w:leader="none" w:pos="404" w:val="left"/>
        </w:tabs>
        <w:rPr>
          <w:sz w:val="20"/>
          <w:szCs w:val="20"/>
          <w:color w:val="auto"/>
        </w:rPr>
      </w:pPr>
      <w:r>
        <w:rPr>
          <w:rFonts w:ascii="Arial" w:cs="Arial" w:eastAsia="Arial" w:hAnsi="Arial"/>
          <w:sz w:val="18"/>
          <w:szCs w:val="18"/>
          <w:color w:val="auto"/>
        </w:rPr>
        <w:t>2.2</w:t>
        <w:tab/>
        <w:t>Documents relating to a Luxembourg company the publication of which is required by law will only be valid towards third parties from the day of their publication with the Electronic Register of Companies and Associations (</w:t>
      </w:r>
      <w:r>
        <w:rPr>
          <w:rFonts w:ascii="Arial" w:cs="Arial" w:eastAsia="Arial" w:hAnsi="Arial"/>
          <w:sz w:val="18"/>
          <w:szCs w:val="18"/>
          <w:i w:val="1"/>
          <w:iCs w:val="1"/>
          <w:color w:val="auto"/>
        </w:rPr>
        <w:t>Recueil Electronique des Sociétés et</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Associations)</w:t>
      </w:r>
      <w:r>
        <w:rPr>
          <w:rFonts w:ascii="Arial" w:cs="Arial" w:eastAsia="Arial" w:hAnsi="Arial"/>
          <w:sz w:val="18"/>
          <w:szCs w:val="18"/>
          <w:color w:val="auto"/>
        </w:rPr>
        <w:t>, unless the company proves that the relevant third parties had prior knowledge thereof. Third parties may however rely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such documents which have not yet been published. For 15 days following their publication, such documents will not be valid towards third parties who prove the impossibility for them to have knowledge thereof.</w:t>
      </w:r>
    </w:p>
    <w:p>
      <w:pPr>
        <w:spacing w:after="0" w:line="82" w:lineRule="exact"/>
        <w:rPr>
          <w:sz w:val="20"/>
          <w:szCs w:val="20"/>
          <w:color w:val="auto"/>
        </w:rPr>
      </w:pPr>
    </w:p>
    <w:p>
      <w:pPr>
        <w:ind w:left="424" w:right="100" w:hanging="431"/>
        <w:spacing w:after="0" w:line="275"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Articles, the Excerpt and the RCS Certificate do not constitute conclusive evidence whether or not an administrative dissolution without liquidation procedure, a winding-up, administration petition or order has been presented or made, a receiver has been appointed, an arrangement with creditors has been proposed or approved or any other Insolvency Proceedings have commenced.</w:t>
      </w:r>
    </w:p>
    <w:p>
      <w:pPr>
        <w:spacing w:after="0" w:line="179"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EXISTENCE AND CORPORATE POWER</w:t>
      </w:r>
    </w:p>
    <w:p>
      <w:pPr>
        <w:spacing w:after="0" w:line="103" w:lineRule="exact"/>
        <w:rPr>
          <w:rFonts w:ascii="Arial" w:cs="Arial" w:eastAsia="Arial" w:hAnsi="Arial"/>
          <w:sz w:val="18"/>
          <w:szCs w:val="18"/>
          <w:b w:val="1"/>
          <w:bCs w:val="1"/>
          <w:color w:val="auto"/>
        </w:rPr>
      </w:pPr>
    </w:p>
    <w:p>
      <w:pPr>
        <w:ind w:left="444" w:right="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Our opinion that the Company exists is based on the Articles, the Excerpt and the RCS Certificate (which confirms, in particular, that no an administrative dissolution without liquidation procedure, no judicial decision in respect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paiements</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w:t>
      </w:r>
      <w:r>
        <w:rPr>
          <w:rFonts w:ascii="Arial" w:cs="Arial" w:eastAsia="Arial" w:hAnsi="Arial"/>
          <w:sz w:val="18"/>
          <w:szCs w:val="18"/>
          <w:color w:val="auto"/>
        </w:rPr>
        <w:t xml:space="preserve"> </w:t>
      </w:r>
      <w:r>
        <w:rPr>
          <w:rFonts w:ascii="Arial" w:cs="Arial" w:eastAsia="Arial" w:hAnsi="Arial"/>
          <w:sz w:val="18"/>
          <w:szCs w:val="18"/>
          <w:i w:val="1"/>
          <w:iCs w:val="1"/>
          <w:color w:val="auto"/>
        </w:rPr>
        <w:t>contrôlée</w:t>
      </w:r>
      <w:r>
        <w:rPr>
          <w:rFonts w:ascii="Arial" w:cs="Arial" w:eastAsia="Arial" w:hAnsi="Arial"/>
          <w:sz w:val="18"/>
          <w:szCs w:val="18"/>
          <w:color w:val="auto"/>
        </w:rPr>
        <w:t>), judicial liquidation (</w:t>
      </w:r>
      <w:r>
        <w:rPr>
          <w:rFonts w:ascii="Arial" w:cs="Arial" w:eastAsia="Arial" w:hAnsi="Arial"/>
          <w:sz w:val="18"/>
          <w:szCs w:val="18"/>
          <w:i w:val="1"/>
          <w:iCs w:val="1"/>
          <w:color w:val="auto"/>
        </w:rPr>
        <w:t>liquidation judiciaire</w:t>
      </w:r>
      <w:r>
        <w:rPr>
          <w:rFonts w:ascii="Arial" w:cs="Arial" w:eastAsia="Arial" w:hAnsi="Arial"/>
          <w:sz w:val="18"/>
          <w:szCs w:val="18"/>
          <w:color w:val="auto"/>
        </w:rPr>
        <w:t>)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 have been registered with the RCS.</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863" w:right="499" w:bottom="1440" w:gutter="0" w:footer="0" w:header="0"/>
        </w:sectPr>
      </w:pPr>
    </w:p>
    <w:bookmarkStart w:id="56" w:name="page57"/>
    <w:bookmarkEnd w:id="56"/>
    <w:p>
      <w:pPr>
        <w:ind w:left="424" w:hanging="424"/>
        <w:spacing w:after="0"/>
        <w:tabs>
          <w:tab w:leader="none" w:pos="42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0274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82575"/>
                    </a:xfrm>
                    <a:prstGeom prst="rect">
                      <a:avLst/>
                    </a:prstGeom>
                    <a:noFill/>
                  </pic:spPr>
                </pic:pic>
              </a:graphicData>
            </a:graphic>
          </wp:anchor>
        </w:drawing>
        <w:t>ENFORCEABILITY</w:t>
      </w:r>
    </w:p>
    <w:p>
      <w:pPr>
        <w:spacing w:after="0" w:line="103" w:lineRule="exact"/>
        <w:rPr>
          <w:rFonts w:ascii="Arial" w:cs="Arial" w:eastAsia="Arial" w:hAnsi="Arial"/>
          <w:sz w:val="18"/>
          <w:szCs w:val="18"/>
          <w:b w:val="1"/>
          <w:bCs w:val="1"/>
          <w:color w:val="auto"/>
        </w:rPr>
      </w:pPr>
    </w:p>
    <w:p>
      <w:pPr>
        <w:ind w:left="444"/>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opinions expressed herein may be affected by general principles and defences under Luxembourg law, such as the principles of reasonableness and fairness, good faith, abuse of rights, modification on grounds of unforeseen circumstances, limitations by criminal law, undue influence, force majeure, the right to suspend performance as long as the other party is in default in respect of its obligations, the right to set-off and the right to dissolve a transaction upon default by the other party.</w:t>
      </w:r>
    </w:p>
    <w:p>
      <w:pPr>
        <w:spacing w:after="0" w:line="201"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We express no opinion on general defences under Luxembourg law, such as duress, deceit (</w:t>
      </w:r>
      <w:r>
        <w:rPr>
          <w:rFonts w:ascii="Arial" w:cs="Arial" w:eastAsia="Arial" w:hAnsi="Arial"/>
          <w:sz w:val="17"/>
          <w:szCs w:val="17"/>
          <w:i w:val="1"/>
          <w:iCs w:val="1"/>
          <w:color w:val="auto"/>
        </w:rPr>
        <w:t>dol</w:t>
      </w:r>
      <w:r>
        <w:rPr>
          <w:rFonts w:ascii="Arial" w:cs="Arial" w:eastAsia="Arial" w:hAnsi="Arial"/>
          <w:sz w:val="17"/>
          <w:szCs w:val="17"/>
          <w:color w:val="auto"/>
        </w:rPr>
        <w:t>) or mistake (</w:t>
      </w:r>
      <w:r>
        <w:rPr>
          <w:rFonts w:ascii="Arial" w:cs="Arial" w:eastAsia="Arial" w:hAnsi="Arial"/>
          <w:sz w:val="17"/>
          <w:szCs w:val="17"/>
          <w:i w:val="1"/>
          <w:iCs w:val="1"/>
          <w:color w:val="auto"/>
        </w:rPr>
        <w:t>erreur</w:t>
      </w:r>
      <w:r>
        <w:rPr>
          <w:rFonts w:ascii="Arial" w:cs="Arial" w:eastAsia="Arial" w:hAnsi="Arial"/>
          <w:sz w:val="17"/>
          <w:szCs w:val="17"/>
          <w:color w:val="auto"/>
        </w:rPr>
        <w:t>).</w:t>
      </w:r>
    </w:p>
    <w:p>
      <w:pPr>
        <w:spacing w:after="0" w:line="117" w:lineRule="exact"/>
        <w:rPr>
          <w:sz w:val="20"/>
          <w:szCs w:val="20"/>
          <w:color w:val="auto"/>
        </w:rPr>
      </w:pPr>
    </w:p>
    <w:p>
      <w:pPr>
        <w:ind w:left="424" w:right="60" w:hanging="431"/>
        <w:spacing w:after="0" w:line="244" w:lineRule="auto"/>
        <w:tabs>
          <w:tab w:leader="none" w:pos="404" w:val="left"/>
        </w:tabs>
        <w:rPr>
          <w:sz w:val="20"/>
          <w:szCs w:val="20"/>
          <w:color w:val="auto"/>
        </w:rPr>
      </w:pPr>
      <w:r>
        <w:rPr>
          <w:rFonts w:ascii="Arial" w:cs="Arial" w:eastAsia="Arial" w:hAnsi="Arial"/>
          <w:sz w:val="18"/>
          <w:szCs w:val="18"/>
          <w:color w:val="auto"/>
        </w:rPr>
        <w:t>5.2</w:t>
        <w:tab/>
        <w:t>A Luxembourg company may only enter into transactions which are in its corporate interest. The question of whether or not a transaction contemplated by any of the documents covered by this opinion is in a company’s corporate interest, is largely dependent on factual considerations and the responsibility for such assessment is that of the board of directors or managers of the relevant company. If any such transaction is subsequently held to be contrary to a company’s corporate interest, it could be held to be null and void.</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863" w:right="4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hereby consent to the incorporation by reference in this Registration Statement on Form S-3 of Schlumberger Limited of our report dated January 25, 2023 relating to the financial statements and the effectiveness of internal control over financial reporting, which appears in Schlumberger Limited’s Annual Report on Form 10-K for the year ended December 31, 2022. We also consent to the reference to us under the heading “Experts” in such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May 8, 2023</w:t>
      </w:r>
    </w:p>
    <w:p>
      <w:pPr>
        <w:sectPr>
          <w:pgSz w:w="11900" w:h="16838" w:orient="portrait"/>
          <w:cols w:equalWidth="0" w:num="1">
            <w:col w:w="11020"/>
          </w:cols>
          <w:pgMar w:left="440" w:top="122"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4" w:right="60" w:firstLine="440"/>
        <w:spacing w:after="0" w:line="252" w:lineRule="auto"/>
        <w:rPr>
          <w:sz w:val="20"/>
          <w:szCs w:val="20"/>
          <w:color w:val="auto"/>
        </w:rPr>
      </w:pPr>
      <w:r>
        <w:rPr>
          <w:rFonts w:ascii="Arial" w:cs="Arial" w:eastAsia="Arial" w:hAnsi="Arial"/>
          <w:sz w:val="17"/>
          <w:szCs w:val="17"/>
          <w:color w:val="auto"/>
        </w:rPr>
        <w:t>Each of the undersigned, being a director or officer, or both, of Schlumberger Limited, a Curaçao corporation (the “Guarantor”), hereby constitutes and appoints Howard Guild and Dianne B. Ralston, and each of them, his or her true and lawful attorney-in -fact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Schlumberger Investment S.A.’s debt securities and the Guarantor’s guarantees thereof; and</w:t>
      </w:r>
    </w:p>
    <w:p>
      <w:pPr>
        <w:spacing w:after="0" w:line="2" w:lineRule="exact"/>
        <w:rPr>
          <w:sz w:val="20"/>
          <w:szCs w:val="20"/>
          <w:color w:val="auto"/>
        </w:rPr>
      </w:pPr>
    </w:p>
    <w:p>
      <w:pPr>
        <w:ind w:left="4" w:right="20" w:hanging="4"/>
        <w:spacing w:after="0" w:line="237" w:lineRule="auto"/>
        <w:tabs>
          <w:tab w:leader="none" w:pos="2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5"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4"/>
          </w:cols>
          <w:pgMar w:left="436" w:top="122" w:right="439" w:bottom="1440" w:gutter="0" w:footer="0" w:header="0"/>
        </w:sectPr>
      </w:pPr>
    </w:p>
    <w:p>
      <w:pPr>
        <w:spacing w:after="0" w:line="181" w:lineRule="exact"/>
        <w:rPr>
          <w:sz w:val="20"/>
          <w:szCs w:val="20"/>
          <w:color w:val="auto"/>
        </w:rPr>
      </w:pPr>
    </w:p>
    <w:p>
      <w:pPr>
        <w:ind w:left="1864"/>
        <w:spacing w:after="0"/>
        <w:rPr>
          <w:sz w:val="20"/>
          <w:szCs w:val="20"/>
          <w:color w:val="auto"/>
        </w:rPr>
      </w:pPr>
      <w:r>
        <w:rPr>
          <w:rFonts w:ascii="Arial" w:cs="Arial" w:eastAsia="Arial" w:hAnsi="Arial"/>
          <w:sz w:val="18"/>
          <w:szCs w:val="18"/>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Peter Coleman</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1564"/>
        <w:spacing w:after="0"/>
        <w:rPr>
          <w:sz w:val="20"/>
          <w:szCs w:val="20"/>
          <w:color w:val="auto"/>
        </w:rPr>
      </w:pPr>
      <w:r>
        <w:rPr>
          <w:rFonts w:ascii="Arial" w:cs="Arial" w:eastAsia="Arial" w:hAnsi="Arial"/>
          <w:sz w:val="18"/>
          <w:szCs w:val="18"/>
          <w:color w:val="auto"/>
        </w:rPr>
        <w:t>/s/ Patrick de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Patrick de La Chevardière</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Miguel Galuccio</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2004"/>
        <w:spacing w:after="0"/>
        <w:rPr>
          <w:sz w:val="20"/>
          <w:szCs w:val="20"/>
          <w:color w:val="auto"/>
        </w:rPr>
      </w:pPr>
      <w:r>
        <w:rPr>
          <w:rFonts w:ascii="Arial" w:cs="Arial" w:eastAsia="Arial" w:hAnsi="Arial"/>
          <w:sz w:val="18"/>
          <w:szCs w:val="18"/>
          <w:color w:val="auto"/>
        </w:rPr>
        <w:t>James Hackett</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1804"/>
        <w:spacing w:after="0"/>
        <w:rPr>
          <w:sz w:val="20"/>
          <w:szCs w:val="20"/>
          <w:color w:val="auto"/>
        </w:rPr>
      </w:pPr>
      <w:r>
        <w:rPr>
          <w:rFonts w:ascii="Arial" w:cs="Arial" w:eastAsia="Arial" w:hAnsi="Arial"/>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1924"/>
        <w:spacing w:after="0"/>
        <w:rPr>
          <w:sz w:val="20"/>
          <w:szCs w:val="20"/>
          <w:color w:val="auto"/>
        </w:rPr>
      </w:pPr>
      <w:r>
        <w:rPr>
          <w:rFonts w:ascii="Arial" w:cs="Arial" w:eastAsia="Arial" w:hAnsi="Arial"/>
          <w:sz w:val="18"/>
          <w:szCs w:val="18"/>
          <w:color w:val="auto"/>
        </w:rPr>
        <w:t>Olivier Le Peuch</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7"/>
          <w:szCs w:val="17"/>
          <w:color w:val="auto"/>
        </w:rPr>
        <w:t>Chief Executive Officer and Director</w:t>
      </w:r>
    </w:p>
    <w:p>
      <w:pPr>
        <w:spacing w:after="0" w:line="21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Samuel Leupold</w:t>
      </w:r>
    </w:p>
    <w:p>
      <w:pPr>
        <w:spacing w:after="0" w:line="4" w:lineRule="exact"/>
        <w:rPr>
          <w:sz w:val="20"/>
          <w:szCs w:val="20"/>
          <w:color w:val="auto"/>
        </w:rPr>
      </w:pPr>
    </w:p>
    <w:p>
      <w:pPr>
        <w:jc w:val="center"/>
        <w:ind w:right="1436"/>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1804"/>
        <w:spacing w:after="0"/>
        <w:rPr>
          <w:sz w:val="20"/>
          <w:szCs w:val="20"/>
          <w:color w:val="auto"/>
        </w:rPr>
      </w:pPr>
      <w:r>
        <w:rPr>
          <w:rFonts w:ascii="Arial" w:cs="Arial" w:eastAsia="Arial" w:hAnsi="Arial"/>
          <w:sz w:val="18"/>
          <w:szCs w:val="18"/>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2918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1924"/>
        <w:spacing w:after="0"/>
        <w:rPr>
          <w:sz w:val="20"/>
          <w:szCs w:val="20"/>
          <w:color w:val="auto"/>
        </w:rPr>
      </w:pPr>
      <w:r>
        <w:rPr>
          <w:rFonts w:ascii="Arial" w:cs="Arial" w:eastAsia="Arial" w:hAnsi="Arial"/>
          <w:sz w:val="18"/>
          <w:szCs w:val="18"/>
          <w:color w:val="auto"/>
        </w:rPr>
        <w:t>Stephane Biguet</w:t>
      </w:r>
    </w:p>
    <w:p>
      <w:pPr>
        <w:jc w:val="center"/>
        <w:ind w:right="1436"/>
        <w:spacing w:after="0"/>
        <w:rPr>
          <w:sz w:val="20"/>
          <w:szCs w:val="20"/>
          <w:color w:val="auto"/>
        </w:rPr>
      </w:pPr>
      <w:r>
        <w:rPr>
          <w:rFonts w:ascii="Arial" w:cs="Arial" w:eastAsia="Arial" w:hAnsi="Arial"/>
          <w:sz w:val="18"/>
          <w:szCs w:val="18"/>
          <w:color w:val="auto"/>
        </w:rPr>
        <w:t>Executive Vice President and Chief</w:t>
      </w:r>
    </w:p>
    <w:p>
      <w:pPr>
        <w:jc w:val="center"/>
        <w:ind w:right="1436"/>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April 24, 2023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8890</wp:posOffset>
            </wp:positionV>
            <wp:extent cx="3282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Tatiana Mitrova</w:t>
      </w:r>
    </w:p>
    <w:p>
      <w:pPr>
        <w:spacing w:after="0" w:line="4"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16510</wp:posOffset>
            </wp:positionV>
            <wp:extent cx="3282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Maria Moræus Hanssen</w:t>
      </w:r>
    </w:p>
    <w:p>
      <w:pPr>
        <w:spacing w:after="0" w:line="4"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8890</wp:posOffset>
            </wp:positionV>
            <wp:extent cx="3282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Vanitha Narayanan</w:t>
      </w:r>
    </w:p>
    <w:p>
      <w:pPr>
        <w:spacing w:after="0" w:line="4"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Mark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8890</wp:posOffset>
            </wp:positionV>
            <wp:extent cx="32829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Papa</w:t>
      </w:r>
    </w:p>
    <w:p>
      <w:pPr>
        <w:spacing w:after="0" w:line="4"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Chairman of the Board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Jeff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8890</wp:posOffset>
            </wp:positionV>
            <wp:extent cx="3282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Jeff Sheets</w:t>
      </w:r>
    </w:p>
    <w:p>
      <w:pPr>
        <w:spacing w:after="0" w:line="4"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8890</wp:posOffset>
            </wp:positionV>
            <wp:extent cx="32829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Ulrich Spiesshofer</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6624" w:space="720"/>
            <w:col w:w="3680"/>
          </w:cols>
          <w:pgMar w:left="436" w:top="122" w:right="4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12"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Each of the undersigned, being a director or officer, or both, of Schlumberger Investment S.A., a Luxembourg société anonyme (the “Company”), hereby constitutes and appoints Simona-Elena Leotescu, Daniel Andoh Morrison, and Carol Joanna Todd,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debt securities and Schlumberger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0" w:lineRule="exact"/>
        <w:rPr>
          <w:sz w:val="20"/>
          <w:szCs w:val="20"/>
          <w:color w:val="auto"/>
        </w:rPr>
      </w:pPr>
    </w:p>
    <w:p>
      <w:pPr>
        <w:ind w:right="40" w:firstLine="440"/>
        <w:spacing w:after="0" w:line="271"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4"/>
                <w:szCs w:val="14"/>
                <w:color w:val="auto"/>
              </w:rPr>
            </w:pPr>
          </w:p>
        </w:tc>
      </w:tr>
      <w:tr>
        <w:trPr>
          <w:trHeight w:val="412"/>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Simona-Elena Leotescu</w:t>
            </w:r>
          </w:p>
        </w:tc>
        <w:tc>
          <w:tcPr>
            <w:tcW w:w="3900" w:type="dxa"/>
            <w:vAlign w:val="bottom"/>
            <w:gridSpan w:val="3"/>
          </w:tcPr>
          <w:p>
            <w:pPr>
              <w:jc w:val="center"/>
              <w:ind w:left="2510"/>
              <w:spacing w:after="0"/>
              <w:rPr>
                <w:sz w:val="20"/>
                <w:szCs w:val="20"/>
                <w:color w:val="auto"/>
              </w:rPr>
            </w:pPr>
            <w:r>
              <w:rPr>
                <w:rFonts w:ascii="Arial" w:cs="Arial" w:eastAsia="Arial" w:hAnsi="Arial"/>
                <w:sz w:val="18"/>
                <w:szCs w:val="18"/>
                <w:color w:val="auto"/>
                <w:w w:val="99"/>
              </w:rPr>
              <w:t>Class A Director</w:t>
            </w:r>
          </w:p>
        </w:tc>
      </w:tr>
      <w:tr>
        <w:trPr>
          <w:trHeight w:val="232"/>
        </w:trPr>
        <w:tc>
          <w:tcPr>
            <w:tcW w:w="5180" w:type="dxa"/>
            <w:vAlign w:val="bottom"/>
            <w:gridSpan w:val="3"/>
          </w:tcPr>
          <w:p>
            <w:pPr>
              <w:jc w:val="center"/>
              <w:spacing w:after="0"/>
              <w:rPr>
                <w:sz w:val="20"/>
                <w:szCs w:val="20"/>
                <w:color w:val="auto"/>
              </w:rPr>
            </w:pPr>
            <w:r>
              <w:rPr>
                <w:rFonts w:ascii="Arial" w:cs="Arial" w:eastAsia="Arial" w:hAnsi="Arial"/>
                <w:sz w:val="18"/>
                <w:szCs w:val="18"/>
                <w:color w:val="auto"/>
                <w:w w:val="99"/>
              </w:rPr>
              <w:t>Simona-Elena Leotescu</w:t>
            </w: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6"/>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Daniel Andoh Morrison</w:t>
            </w:r>
          </w:p>
        </w:tc>
        <w:tc>
          <w:tcPr>
            <w:tcW w:w="3900" w:type="dxa"/>
            <w:vAlign w:val="bottom"/>
            <w:gridSpan w:val="3"/>
          </w:tcPr>
          <w:p>
            <w:pPr>
              <w:jc w:val="center"/>
              <w:ind w:left="2510"/>
              <w:spacing w:after="0"/>
              <w:rPr>
                <w:sz w:val="20"/>
                <w:szCs w:val="20"/>
                <w:color w:val="auto"/>
              </w:rPr>
            </w:pPr>
            <w:r>
              <w:rPr>
                <w:rFonts w:ascii="Arial" w:cs="Arial" w:eastAsia="Arial" w:hAnsi="Arial"/>
                <w:sz w:val="18"/>
                <w:szCs w:val="18"/>
                <w:color w:val="auto"/>
                <w:w w:val="99"/>
              </w:rPr>
              <w:t>Class A Director</w:t>
            </w:r>
          </w:p>
        </w:tc>
      </w:tr>
      <w:tr>
        <w:trPr>
          <w:trHeight w:val="232"/>
        </w:trPr>
        <w:tc>
          <w:tcPr>
            <w:tcW w:w="5180" w:type="dxa"/>
            <w:vAlign w:val="bottom"/>
            <w:gridSpan w:val="3"/>
          </w:tcPr>
          <w:p>
            <w:pPr>
              <w:jc w:val="center"/>
              <w:spacing w:after="0"/>
              <w:rPr>
                <w:sz w:val="20"/>
                <w:szCs w:val="20"/>
                <w:color w:val="auto"/>
              </w:rPr>
            </w:pPr>
            <w:r>
              <w:rPr>
                <w:rFonts w:ascii="Arial" w:cs="Arial" w:eastAsia="Arial" w:hAnsi="Arial"/>
                <w:sz w:val="18"/>
                <w:szCs w:val="18"/>
                <w:color w:val="auto"/>
                <w:w w:val="99"/>
              </w:rPr>
              <w:t>Daniel Andoh Morrison</w:t>
            </w: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6"/>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Carol Joanna Todd</w:t>
            </w:r>
          </w:p>
        </w:tc>
        <w:tc>
          <w:tcPr>
            <w:tcW w:w="3900" w:type="dxa"/>
            <w:vAlign w:val="bottom"/>
            <w:gridSpan w:val="3"/>
          </w:tcPr>
          <w:p>
            <w:pPr>
              <w:jc w:val="center"/>
              <w:ind w:left="2510"/>
              <w:spacing w:after="0"/>
              <w:rPr>
                <w:sz w:val="20"/>
                <w:szCs w:val="20"/>
                <w:color w:val="auto"/>
              </w:rPr>
            </w:pPr>
            <w:r>
              <w:rPr>
                <w:rFonts w:ascii="Arial" w:cs="Arial" w:eastAsia="Arial" w:hAnsi="Arial"/>
                <w:sz w:val="18"/>
                <w:szCs w:val="18"/>
                <w:color w:val="auto"/>
                <w:w w:val="99"/>
              </w:rPr>
              <w:t>Class B Director</w:t>
            </w:r>
          </w:p>
        </w:tc>
      </w:tr>
      <w:tr>
        <w:trPr>
          <w:trHeight w:val="232"/>
        </w:trPr>
        <w:tc>
          <w:tcPr>
            <w:tcW w:w="5180" w:type="dxa"/>
            <w:vAlign w:val="bottom"/>
            <w:gridSpan w:val="3"/>
          </w:tcPr>
          <w:p>
            <w:pPr>
              <w:jc w:val="center"/>
              <w:spacing w:after="0"/>
              <w:rPr>
                <w:sz w:val="20"/>
                <w:szCs w:val="20"/>
                <w:color w:val="auto"/>
              </w:rPr>
            </w:pPr>
            <w:r>
              <w:rPr>
                <w:rFonts w:ascii="Arial" w:cs="Arial" w:eastAsia="Arial" w:hAnsi="Arial"/>
                <w:sz w:val="18"/>
                <w:szCs w:val="18"/>
                <w:color w:val="auto"/>
                <w:w w:val="97"/>
              </w:rPr>
              <w:t>Carol Joanna Todd</w:t>
            </w: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3"/>
        </w:trPr>
        <w:tc>
          <w:tcPr>
            <w:tcW w:w="5180" w:type="dxa"/>
            <w:vAlign w:val="bottom"/>
            <w:gridSpan w:val="3"/>
          </w:tcPr>
          <w:p>
            <w:pPr>
              <w:spacing w:after="0"/>
              <w:rPr>
                <w:sz w:val="20"/>
                <w:szCs w:val="20"/>
                <w:color w:val="auto"/>
              </w:rPr>
            </w:pPr>
            <w:r>
              <w:rPr>
                <w:rFonts w:ascii="Arial" w:cs="Arial" w:eastAsia="Arial" w:hAnsi="Arial"/>
                <w:sz w:val="18"/>
                <w:szCs w:val="18"/>
                <w:color w:val="auto"/>
              </w:rPr>
              <w:t>Date: April 20, 2023</w:t>
            </w: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980"/>
          </w:cols>
          <w:pgMar w:left="440" w:top="269" w:right="4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80" w:hanging="424"/>
        <w:spacing w:after="0" w:line="262" w:lineRule="auto"/>
        <w:tabs>
          <w:tab w:leader="none" w:pos="424" w:val="left"/>
        </w:tabs>
        <w:numPr>
          <w:ilvl w:val="0"/>
          <w:numId w:val="70"/>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344" w:type="dxa"/>
        <w:tblCellMar>
          <w:top w:w="0" w:type="dxa"/>
          <w:left w:w="0" w:type="dxa"/>
          <w:bottom w:w="0" w:type="dxa"/>
          <w:right w:w="0" w:type="dxa"/>
        </w:tblCellMar>
      </w:tblPr>
      <w:tr>
        <w:trPr>
          <w:trHeight w:val="214"/>
        </w:trPr>
        <w:tc>
          <w:tcPr>
            <w:tcW w:w="6240" w:type="dxa"/>
            <w:vAlign w:val="bottom"/>
          </w:tcPr>
          <w:p>
            <w:pPr>
              <w:jc w:val="center"/>
              <w:ind w:right="3277"/>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49"/>
        </w:trPr>
        <w:tc>
          <w:tcPr>
            <w:tcW w:w="6240" w:type="dxa"/>
            <w:vAlign w:val="bottom"/>
          </w:tcPr>
          <w:p>
            <w:pPr>
              <w:jc w:val="center"/>
              <w:ind w:right="3297"/>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30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tcPr>
          <w:p>
            <w:pPr>
              <w:jc w:val="center"/>
              <w:ind w:right="3297"/>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130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240" w:type="dxa"/>
            <w:vAlign w:val="bottom"/>
          </w:tcPr>
          <w:p>
            <w:pPr>
              <w:jc w:val="center"/>
              <w:ind w:right="3297"/>
              <w:spacing w:after="0"/>
              <w:rPr>
                <w:sz w:val="20"/>
                <w:szCs w:val="20"/>
                <w:color w:val="auto"/>
              </w:rPr>
            </w:pPr>
            <w:r>
              <w:rPr>
                <w:rFonts w:ascii="Times New Roman" w:cs="Times New Roman" w:eastAsia="Times New Roman" w:hAnsi="Times New Roman"/>
                <w:sz w:val="18"/>
                <w:szCs w:val="18"/>
                <w:b w:val="1"/>
                <w:bCs w:val="1"/>
                <w:color w:val="auto"/>
                <w:w w:val="99"/>
              </w:rPr>
              <w:t>240 Greenwich Street, New York, NY</w:t>
            </w:r>
          </w:p>
        </w:tc>
        <w:tc>
          <w:tcPr>
            <w:tcW w:w="130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10286</w:t>
            </w:r>
          </w:p>
        </w:tc>
      </w:tr>
      <w:tr>
        <w:trPr>
          <w:trHeight w:val="190"/>
        </w:trPr>
        <w:tc>
          <w:tcPr>
            <w:tcW w:w="6240" w:type="dxa"/>
            <w:vAlign w:val="bottom"/>
          </w:tcPr>
          <w:p>
            <w:pPr>
              <w:jc w:val="center"/>
              <w:ind w:right="32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24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9"/>
              </w:rPr>
              <w:t>Elizabeth Stern, Director and Managing Counsel</w:t>
            </w:r>
          </w:p>
        </w:tc>
        <w:tc>
          <w:tcPr>
            <w:tcW w:w="1300" w:type="dxa"/>
            <w:vAlign w:val="bottom"/>
          </w:tcPr>
          <w:p>
            <w:pPr>
              <w:spacing w:after="0"/>
              <w:rPr>
                <w:sz w:val="24"/>
                <w:szCs w:val="24"/>
                <w:color w:val="auto"/>
              </w:rPr>
            </w:pPr>
          </w:p>
        </w:tc>
      </w:tr>
      <w:tr>
        <w:trPr>
          <w:trHeight w:val="216"/>
        </w:trPr>
        <w:tc>
          <w:tcPr>
            <w:tcW w:w="6240" w:type="dxa"/>
            <w:vAlign w:val="bottom"/>
          </w:tcPr>
          <w:p>
            <w:pPr>
              <w:jc w:val="center"/>
              <w:ind w:left="2017"/>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w:t>
            </w:r>
          </w:p>
        </w:tc>
        <w:tc>
          <w:tcPr>
            <w:tcW w:w="1300" w:type="dxa"/>
            <w:vAlign w:val="bottom"/>
          </w:tcPr>
          <w:p>
            <w:pPr>
              <w:spacing w:after="0"/>
              <w:rPr>
                <w:sz w:val="18"/>
                <w:szCs w:val="18"/>
                <w:color w:val="auto"/>
              </w:rPr>
            </w:pPr>
          </w:p>
        </w:tc>
      </w:tr>
      <w:tr>
        <w:trPr>
          <w:trHeight w:val="216"/>
        </w:trPr>
        <w:tc>
          <w:tcPr>
            <w:tcW w:w="6240" w:type="dxa"/>
            <w:vAlign w:val="bottom"/>
          </w:tcPr>
          <w:p>
            <w:pPr>
              <w:jc w:val="center"/>
              <w:ind w:left="2017"/>
              <w:spacing w:after="0"/>
              <w:rPr>
                <w:sz w:val="20"/>
                <w:szCs w:val="20"/>
                <w:color w:val="auto"/>
              </w:rPr>
            </w:pPr>
            <w:r>
              <w:rPr>
                <w:rFonts w:ascii="Times New Roman" w:cs="Times New Roman" w:eastAsia="Times New Roman" w:hAnsi="Times New Roman"/>
                <w:sz w:val="18"/>
                <w:szCs w:val="18"/>
                <w:b w:val="1"/>
                <w:bCs w:val="1"/>
                <w:color w:val="auto"/>
                <w:w w:val="99"/>
              </w:rPr>
              <w:t>240 Greenwich Street, Floor 18</w:t>
            </w:r>
          </w:p>
        </w:tc>
        <w:tc>
          <w:tcPr>
            <w:tcW w:w="1300" w:type="dxa"/>
            <w:vAlign w:val="bottom"/>
          </w:tcPr>
          <w:p>
            <w:pPr>
              <w:spacing w:after="0"/>
              <w:rPr>
                <w:sz w:val="18"/>
                <w:szCs w:val="18"/>
                <w:color w:val="auto"/>
              </w:rPr>
            </w:pPr>
          </w:p>
        </w:tc>
      </w:tr>
      <w:tr>
        <w:trPr>
          <w:trHeight w:val="216"/>
        </w:trPr>
        <w:tc>
          <w:tcPr>
            <w:tcW w:w="624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8"/>
              </w:rPr>
              <w:t>New York, New York 10286</w:t>
            </w:r>
          </w:p>
        </w:tc>
        <w:tc>
          <w:tcPr>
            <w:tcW w:w="1300" w:type="dxa"/>
            <w:vAlign w:val="bottom"/>
          </w:tcPr>
          <w:p>
            <w:pPr>
              <w:spacing w:after="0"/>
              <w:rPr>
                <w:sz w:val="18"/>
                <w:szCs w:val="18"/>
                <w:color w:val="auto"/>
              </w:rPr>
            </w:pPr>
          </w:p>
        </w:tc>
      </w:tr>
      <w:tr>
        <w:trPr>
          <w:trHeight w:val="214"/>
        </w:trPr>
        <w:tc>
          <w:tcPr>
            <w:tcW w:w="624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9"/>
              </w:rPr>
              <w:t>(212) 815-2421</w:t>
            </w:r>
          </w:p>
        </w:tc>
        <w:tc>
          <w:tcPr>
            <w:tcW w:w="1300" w:type="dxa"/>
            <w:vAlign w:val="bottom"/>
          </w:tcPr>
          <w:p>
            <w:pPr>
              <w:spacing w:after="0"/>
              <w:rPr>
                <w:sz w:val="18"/>
                <w:szCs w:val="18"/>
                <w:color w:val="auto"/>
              </w:rPr>
            </w:pPr>
          </w:p>
        </w:tc>
      </w:tr>
      <w:tr>
        <w:trPr>
          <w:trHeight w:val="190"/>
        </w:trPr>
        <w:tc>
          <w:tcPr>
            <w:tcW w:w="6240" w:type="dxa"/>
            <w:vAlign w:val="bottom"/>
          </w:tcPr>
          <w:p>
            <w:pPr>
              <w:jc w:val="center"/>
              <w:ind w:left="2017"/>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13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INVESTMENT S.A.</w:t>
      </w:r>
    </w:p>
    <w:p>
      <w:pPr>
        <w:spacing w:after="0" w:line="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364" w:type="dxa"/>
        <w:tblCellMar>
          <w:top w:w="0" w:type="dxa"/>
          <w:left w:w="0" w:type="dxa"/>
          <w:bottom w:w="0" w:type="dxa"/>
          <w:right w:w="0" w:type="dxa"/>
        </w:tblCellMar>
      </w:tblPr>
      <w:tr>
        <w:trPr>
          <w:trHeight w:val="214"/>
        </w:trPr>
        <w:tc>
          <w:tcPr>
            <w:tcW w:w="4620" w:type="dxa"/>
            <w:vAlign w:val="bottom"/>
          </w:tcPr>
          <w:p>
            <w:pPr>
              <w:jc w:val="center"/>
              <w:ind w:right="1698"/>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4620" w:type="dxa"/>
            <w:vAlign w:val="bottom"/>
          </w:tcPr>
          <w:p>
            <w:pPr>
              <w:jc w:val="center"/>
              <w:ind w:right="16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2940" w:type="dxa"/>
            <w:vAlign w:val="bottom"/>
          </w:tcPr>
          <w:p>
            <w:pPr>
              <w:jc w:val="center"/>
              <w:ind w:left="1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71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620" w:type="dxa"/>
            <w:vAlign w:val="bottom"/>
          </w:tcPr>
          <w:p>
            <w:pPr>
              <w:jc w:val="center"/>
              <w:ind w:right="1698"/>
              <w:spacing w:after="0"/>
              <w:rPr>
                <w:sz w:val="20"/>
                <w:szCs w:val="20"/>
                <w:color w:val="auto"/>
              </w:rPr>
            </w:pPr>
            <w:r>
              <w:rPr>
                <w:rFonts w:ascii="Times New Roman" w:cs="Times New Roman" w:eastAsia="Times New Roman" w:hAnsi="Times New Roman"/>
                <w:sz w:val="18"/>
                <w:szCs w:val="18"/>
                <w:b w:val="1"/>
                <w:bCs w:val="1"/>
                <w:color w:val="auto"/>
              </w:rPr>
              <w:t>5, Place de la Gare</w:t>
            </w:r>
          </w:p>
        </w:tc>
        <w:tc>
          <w:tcPr>
            <w:tcW w:w="2940" w:type="dxa"/>
            <w:vAlign w:val="bottom"/>
          </w:tcPr>
          <w:p>
            <w:pPr>
              <w:spacing w:after="0"/>
              <w:rPr>
                <w:sz w:val="24"/>
                <w:szCs w:val="24"/>
                <w:color w:val="auto"/>
              </w:rPr>
            </w:pPr>
          </w:p>
        </w:tc>
      </w:tr>
      <w:tr>
        <w:trPr>
          <w:trHeight w:val="216"/>
        </w:trPr>
        <w:tc>
          <w:tcPr>
            <w:tcW w:w="4620" w:type="dxa"/>
            <w:vAlign w:val="bottom"/>
          </w:tcPr>
          <w:p>
            <w:pPr>
              <w:jc w:val="center"/>
              <w:ind w:right="1718"/>
              <w:spacing w:after="0"/>
              <w:rPr>
                <w:sz w:val="20"/>
                <w:szCs w:val="20"/>
                <w:color w:val="auto"/>
              </w:rPr>
            </w:pPr>
            <w:r>
              <w:rPr>
                <w:rFonts w:ascii="Times New Roman" w:cs="Times New Roman" w:eastAsia="Times New Roman" w:hAnsi="Times New Roman"/>
                <w:sz w:val="18"/>
                <w:szCs w:val="18"/>
                <w:b w:val="1"/>
                <w:bCs w:val="1"/>
                <w:color w:val="auto"/>
                <w:w w:val="99"/>
              </w:rPr>
              <w:t>L-1616 Luxembourg</w:t>
            </w:r>
          </w:p>
        </w:tc>
        <w:tc>
          <w:tcPr>
            <w:tcW w:w="2940" w:type="dxa"/>
            <w:vAlign w:val="bottom"/>
          </w:tcPr>
          <w:p>
            <w:pPr>
              <w:spacing w:after="0"/>
              <w:rPr>
                <w:sz w:val="18"/>
                <w:szCs w:val="18"/>
                <w:color w:val="auto"/>
              </w:rPr>
            </w:pPr>
          </w:p>
        </w:tc>
      </w:tr>
      <w:tr>
        <w:trPr>
          <w:trHeight w:val="227"/>
        </w:trPr>
        <w:tc>
          <w:tcPr>
            <w:tcW w:w="4620" w:type="dxa"/>
            <w:vAlign w:val="bottom"/>
          </w:tcPr>
          <w:p>
            <w:pPr>
              <w:jc w:val="center"/>
              <w:ind w:right="1698"/>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4620" w:type="dxa"/>
            <w:vAlign w:val="bottom"/>
          </w:tcPr>
          <w:p>
            <w:pPr>
              <w:jc w:val="center"/>
              <w:ind w:right="17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ectPr>
          <w:pgSz w:w="11900" w:h="16838" w:orient="portrait"/>
          <w:cols w:equalWidth="0" w:num="1">
            <w:col w:w="11024"/>
          </w:cols>
          <w:pgMar w:left="436" w:top="117" w:right="4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3037205</wp:posOffset>
            </wp:positionH>
            <wp:positionV relativeFrom="page">
              <wp:posOffset>311785</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1474470" cy="8255"/>
                    </a:xfrm>
                    <a:prstGeom prst="rect">
                      <a:avLst/>
                    </a:prstGeom>
                    <a:noFill/>
                  </pic:spPr>
                </pic:pic>
              </a:graphicData>
            </a:graphic>
          </wp:anchor>
        </w:drawing>
        <w:t>SCHLUMBERGER LIMITED</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rPr>
              <w:t>52-0684746</w:t>
            </w:r>
          </w:p>
        </w:tc>
      </w:tr>
      <w:tr>
        <w:trPr>
          <w:trHeight w:val="148"/>
        </w:trPr>
        <w:tc>
          <w:tcPr>
            <w:tcW w:w="4300" w:type="dxa"/>
            <w:vAlign w:val="bottom"/>
          </w:tcPr>
          <w:p>
            <w:pPr>
              <w:jc w:val="center"/>
              <w:ind w:right="181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3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238"/>
        </w:trPr>
        <w:tc>
          <w:tcPr>
            <w:tcW w:w="43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3000" w:type="dxa"/>
            <w:vAlign w:val="bottom"/>
          </w:tcPr>
          <w:p>
            <w:pPr>
              <w:spacing w:after="0"/>
              <w:rPr>
                <w:sz w:val="20"/>
                <w:szCs w:val="20"/>
                <w:color w:val="auto"/>
              </w:rPr>
            </w:pPr>
          </w:p>
        </w:tc>
      </w:tr>
      <w:tr>
        <w:trPr>
          <w:trHeight w:val="423"/>
        </w:trPr>
        <w:tc>
          <w:tcPr>
            <w:tcW w:w="43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238"/>
        </w:trPr>
        <w:tc>
          <w:tcPr>
            <w:tcW w:w="43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000" w:type="dxa"/>
            <w:vAlign w:val="bottom"/>
          </w:tcPr>
          <w:p>
            <w:pPr>
              <w:spacing w:after="0"/>
              <w:rPr>
                <w:sz w:val="20"/>
                <w:szCs w:val="20"/>
                <w:color w:val="auto"/>
              </w:rPr>
            </w:pPr>
          </w:p>
        </w:tc>
      </w:tr>
      <w:tr>
        <w:trPr>
          <w:trHeight w:val="423"/>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238"/>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3000" w:type="dxa"/>
            <w:vAlign w:val="bottom"/>
          </w:tcPr>
          <w:p>
            <w:pPr>
              <w:spacing w:after="0"/>
              <w:rPr>
                <w:sz w:val="20"/>
                <w:szCs w:val="20"/>
                <w:color w:val="auto"/>
              </w:rPr>
            </w:pPr>
          </w:p>
        </w:tc>
      </w:tr>
      <w:tr>
        <w:trPr>
          <w:trHeight w:val="423"/>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rPr>
              <w:t>Parkstraat 83</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227"/>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9"/>
              </w:rPr>
              <w:t>The Hague, The Netherlands</w:t>
            </w:r>
          </w:p>
        </w:tc>
        <w:tc>
          <w:tcPr>
            <w:tcW w:w="3000" w:type="dxa"/>
            <w:vAlign w:val="bottom"/>
          </w:tcPr>
          <w:p>
            <w:pPr>
              <w:spacing w:after="0"/>
              <w:rPr>
                <w:sz w:val="19"/>
                <w:szCs w:val="19"/>
                <w:color w:val="auto"/>
              </w:rPr>
            </w:pPr>
          </w:p>
        </w:tc>
      </w:tr>
      <w:tr>
        <w:trPr>
          <w:trHeight w:val="190"/>
        </w:trPr>
        <w:tc>
          <w:tcPr>
            <w:tcW w:w="4300" w:type="dxa"/>
            <w:vAlign w:val="bottom"/>
          </w:tcPr>
          <w:p>
            <w:pPr>
              <w:jc w:val="center"/>
              <w:ind w:right="18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37"/>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220980</wp:posOffset>
            </wp:positionV>
            <wp:extent cx="1474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Guarantees of Senior Debt Securities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142240</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184785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62" w:name="page63"/>
    <w:bookmarkEnd w:id="62"/>
    <w:p>
      <w:pPr>
        <w:ind w:left="544" w:hanging="544"/>
        <w:spacing w:after="0"/>
        <w:tabs>
          <w:tab w:leader="none" w:pos="54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Address</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Superintendent of the Department of Financial Services of the State of New</w:t>
            </w: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One State Street, New York, NY</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10004-1511</w:t>
            </w:r>
          </w:p>
        </w:tc>
      </w:tr>
      <w:tr>
        <w:trPr>
          <w:trHeight w:val="31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33 Liberty Street</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10045</w:t>
            </w:r>
          </w:p>
        </w:tc>
      </w:tr>
      <w:tr>
        <w:trPr>
          <w:trHeight w:val="30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550 17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N.W.</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31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3501 N. Fairfax Drive</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Arlington, VA 22226</w:t>
            </w:r>
          </w:p>
        </w:tc>
      </w:tr>
      <w:tr>
        <w:trPr>
          <w:trHeight w:val="31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Clearing House Association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1114 Avenue of the Americas</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10036</w:t>
            </w:r>
          </w:p>
        </w:tc>
      </w:tr>
    </w:tbl>
    <w:p>
      <w:pPr>
        <w:spacing w:after="0" w:line="113" w:lineRule="exact"/>
        <w:rPr>
          <w:sz w:val="20"/>
          <w:szCs w:val="20"/>
          <w:color w:val="auto"/>
        </w:rPr>
      </w:pPr>
    </w:p>
    <w:p>
      <w:pPr>
        <w:ind w:left="1184" w:hanging="644"/>
        <w:spacing w:after="0"/>
        <w:tabs>
          <w:tab w:leader="none" w:pos="118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Yes.</w:t>
      </w:r>
    </w:p>
    <w:p>
      <w:pPr>
        <w:spacing w:after="0" w:line="127" w:lineRule="exact"/>
        <w:rPr>
          <w:sz w:val="20"/>
          <w:szCs w:val="20"/>
          <w:color w:val="auto"/>
        </w:rPr>
      </w:pPr>
    </w:p>
    <w:p>
      <w:pPr>
        <w:ind w:left="544" w:hanging="544"/>
        <w:spacing w:after="0"/>
        <w:tabs>
          <w:tab w:leader="none" w:pos="54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Obligors.</w:t>
      </w:r>
    </w:p>
    <w:p>
      <w:pPr>
        <w:spacing w:after="0" w:line="117"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any of the obligors is an affiliate of the trustee, describe each such affiliation.</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an examination of the books and records of the trustee and upon information furnished by the obligors, neither obligor is an affiliate of the trustee.</w:t>
      </w:r>
    </w:p>
    <w:p>
      <w:pPr>
        <w:spacing w:after="0" w:line="63" w:lineRule="exact"/>
        <w:rPr>
          <w:sz w:val="20"/>
          <w:szCs w:val="20"/>
          <w:color w:val="auto"/>
        </w:rPr>
      </w:pPr>
    </w:p>
    <w:p>
      <w:pPr>
        <w:ind w:left="544" w:right="6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3-15.</w:t>
        <w:tab/>
        <w:t>Pursuant to General Instruction B of the Form T-1, no responses are included for Items 3-15 of this Form T-1 because, to the best of The Bank of New York Mellon’s knowledge, the obligors are not in default on any securities issued under any indenture under which The Bank of New York Mellon acts as trustee and the trustee is not a foreign trustee as provided under Item 15.</w:t>
      </w:r>
    </w:p>
    <w:p>
      <w:pPr>
        <w:sectPr>
          <w:pgSz w:w="11900" w:h="16838" w:orient="portrait"/>
          <w:cols w:equalWidth="0" w:num="1">
            <w:col w:w="11024"/>
          </w:cols>
          <w:pgMar w:left="436" w:top="266" w:right="439" w:bottom="1440" w:gutter="0" w:footer="0" w:header="0"/>
        </w:sectPr>
      </w:pPr>
    </w:p>
    <w:bookmarkStart w:id="63" w:name="page64"/>
    <w:bookmarkEnd w:id="63"/>
    <w:p>
      <w:pPr>
        <w:ind w:left="544" w:hanging="544"/>
        <w:spacing w:after="0"/>
        <w:tabs>
          <w:tab w:leader="none" w:pos="5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 of Exhibits.</w:t>
      </w:r>
    </w:p>
    <w:p>
      <w:pPr>
        <w:spacing w:after="0" w:line="117" w:lineRule="exact"/>
        <w:rPr>
          <w:rFonts w:ascii="Times New Roman" w:cs="Times New Roman" w:eastAsia="Times New Roman" w:hAnsi="Times New Roman"/>
          <w:sz w:val="18"/>
          <w:szCs w:val="18"/>
          <w:b w:val="1"/>
          <w:bCs w:val="1"/>
          <w:color w:val="auto"/>
        </w:rPr>
      </w:pPr>
    </w:p>
    <w:p>
      <w:pPr>
        <w:ind w:left="544"/>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80" w:lineRule="exact"/>
        <w:rPr>
          <w:sz w:val="20"/>
          <w:szCs w:val="20"/>
          <w:color w:val="auto"/>
        </w:rPr>
      </w:pPr>
    </w:p>
    <w:p>
      <w:pPr>
        <w:ind w:left="1184" w:right="40" w:hanging="644"/>
        <w:spacing w:after="0" w:line="254" w:lineRule="auto"/>
        <w:tabs>
          <w:tab w:leader="none" w:pos="1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w:t>
      </w:r>
    </w:p>
    <w:p>
      <w:pPr>
        <w:spacing w:after="0" w:line="3" w:lineRule="exact"/>
        <w:rPr>
          <w:rFonts w:ascii="Times New Roman" w:cs="Times New Roman" w:eastAsia="Times New Roman" w:hAnsi="Times New Roman"/>
          <w:sz w:val="18"/>
          <w:szCs w:val="18"/>
          <w:color w:val="auto"/>
        </w:rPr>
      </w:pP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333-152735.)</w:t>
      </w:r>
    </w:p>
    <w:p>
      <w:pPr>
        <w:spacing w:after="0" w:line="112" w:lineRule="exact"/>
        <w:rPr>
          <w:sz w:val="20"/>
          <w:szCs w:val="20"/>
          <w:color w:val="auto"/>
        </w:rPr>
      </w:pPr>
    </w:p>
    <w:p>
      <w:pPr>
        <w:ind w:left="1184" w:hanging="644"/>
        <w:spacing w:after="0"/>
        <w:tabs>
          <w:tab w:leader="none" w:pos="11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w:t>
      </w:r>
    </w:p>
    <w:p>
      <w:pPr>
        <w:spacing w:after="0" w:line="131" w:lineRule="exact"/>
        <w:rPr>
          <w:sz w:val="20"/>
          <w:szCs w:val="20"/>
          <w:color w:val="auto"/>
        </w:rPr>
      </w:pPr>
    </w:p>
    <w:p>
      <w:pPr>
        <w:ind w:left="1184" w:hanging="644"/>
        <w:spacing w:after="0"/>
        <w:tabs>
          <w:tab w:leader="none" w:pos="11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0984"/>
          </w:cols>
          <w:pgMar w:left="436" w:top="266" w:right="4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20th day of April 2023.</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Stacy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Stacey Poindexter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1020"/>
          </w:cols>
          <w:pgMar w:left="440" w:top="270" w:right="4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5"/>
              </w:rPr>
              <w:t>BY-LAWS</w:t>
            </w:r>
          </w:p>
        </w:tc>
        <w:tc>
          <w:tcPr>
            <w:tcW w:w="1560" w:type="dxa"/>
            <w:vAlign w:val="bottom"/>
          </w:tcPr>
          <w:p>
            <w:pPr>
              <w:spacing w:after="0"/>
              <w:rPr>
                <w:sz w:val="18"/>
                <w:szCs w:val="18"/>
                <w:color w:val="auto"/>
              </w:rPr>
            </w:pPr>
          </w:p>
        </w:tc>
      </w:tr>
      <w:tr>
        <w:trPr>
          <w:trHeight w:val="216"/>
        </w:trPr>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of</w:t>
            </w:r>
          </w:p>
        </w:tc>
        <w:tc>
          <w:tcPr>
            <w:tcW w:w="1560" w:type="dxa"/>
            <w:vAlign w:val="bottom"/>
          </w:tcPr>
          <w:p>
            <w:pPr>
              <w:spacing w:after="0"/>
              <w:rPr>
                <w:sz w:val="18"/>
                <w:szCs w:val="18"/>
                <w:color w:val="auto"/>
              </w:rPr>
            </w:pPr>
          </w:p>
        </w:tc>
      </w:tr>
      <w:tr>
        <w:trPr>
          <w:trHeight w:val="216"/>
        </w:trPr>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The Bank of New York Mellon</w:t>
            </w:r>
          </w:p>
        </w:tc>
        <w:tc>
          <w:tcPr>
            <w:tcW w:w="1560" w:type="dxa"/>
            <w:vAlign w:val="bottom"/>
          </w:tcPr>
          <w:p>
            <w:pPr>
              <w:spacing w:after="0"/>
              <w:rPr>
                <w:sz w:val="18"/>
                <w:szCs w:val="18"/>
                <w:color w:val="auto"/>
              </w:rPr>
            </w:pPr>
          </w:p>
        </w:tc>
      </w:tr>
      <w:tr>
        <w:trPr>
          <w:trHeight w:val="216"/>
        </w:trPr>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As Amended and Restated through September 9, 2021</w:t>
            </w:r>
          </w:p>
        </w:tc>
        <w:tc>
          <w:tcPr>
            <w:tcW w:w="1560" w:type="dxa"/>
            <w:vAlign w:val="bottom"/>
          </w:tcPr>
          <w:p>
            <w:pPr>
              <w:spacing w:after="0"/>
              <w:rPr>
                <w:sz w:val="18"/>
                <w:szCs w:val="18"/>
                <w:color w:val="auto"/>
              </w:rPr>
            </w:pPr>
          </w:p>
        </w:tc>
      </w:tr>
      <w:tr>
        <w:trPr>
          <w:trHeight w:val="234"/>
        </w:trPr>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1560" w:type="dxa"/>
            <w:vAlign w:val="bottom"/>
          </w:tcPr>
          <w:p>
            <w:pPr>
              <w:spacing w:after="0"/>
              <w:rPr>
                <w:sz w:val="20"/>
                <w:szCs w:val="20"/>
                <w:color w:val="auto"/>
              </w:rPr>
            </w:pPr>
          </w:p>
        </w:tc>
      </w:tr>
      <w:tr>
        <w:trPr>
          <w:trHeight w:val="381"/>
        </w:trPr>
        <w:tc>
          <w:tcPr>
            <w:tcW w:w="9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 No.</w:t>
            </w:r>
          </w:p>
        </w:tc>
      </w:tr>
      <w:tr>
        <w:trPr>
          <w:trHeight w:val="42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ARTICLE I Stockholders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 Annual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 Special Meetings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 Notice of Meetings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 Adjournments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 Quorum of Stockholders and Action by the Stockholders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 Action without a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 Number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 [Reserved]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 Meetings of the Board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 Quorum of Directors and Action by the Board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 Removal or Resignation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 Vacancies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 Minutes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 Reports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Action without a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Committees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 Committees of Directors Officers and/ or Other Persons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 Manner of Acting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 Principal Executive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 Senior Executive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 Other Senior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 Appointed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 Bonds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 General Supervisory Powers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 Executive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 Senior Vice Presidents, Managing Directors, Directors, First Vice Presidents and Vice Presidents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 Secretary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 Treasurer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 Comptroller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 Chief Auditor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 Other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266"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ARTICLE VI Signing Authorities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 [Reserved]</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 Senior Signing Powers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 Limited Signing Powers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 Rescission of Signing Powers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 Powers of Attorney</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 Chief Auditor</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 Signatures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ARTICLE VII Indemnification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 Indemnification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 Other Indemnification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 Insurace</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Capital Stock</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 Certificates of Stock</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 Transfer of Certificates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 New Certificates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 Holders of Record</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ARTICLE IX Corporate Seal</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 The Seal</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ARTICLE X By-Laws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Amendments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Inspection</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64"/>
        </w:trPr>
        <w:tc>
          <w:tcPr>
            <w:tcW w:w="4540" w:type="dxa"/>
            <w:vAlign w:val="bottom"/>
          </w:tcPr>
          <w:p>
            <w:pPr>
              <w:spacing w:after="0"/>
              <w:rPr>
                <w:sz w:val="24"/>
                <w:szCs w:val="24"/>
                <w:color w:val="auto"/>
              </w:rPr>
            </w:pPr>
          </w:p>
        </w:tc>
        <w:tc>
          <w:tcPr>
            <w:tcW w:w="64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60"/>
          </w:cols>
          <w:pgMar w:left="440" w:top="270" w:right="4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 through September 9,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SECTION 1.1. Annual Meeting. The annual meeting of stockholders of The Bank of New York Mellon (the “Bank”) for the election of directors and the transaction of such other business as properly may be brought before such meeting shall be held within the first four months of the Bank’s fiscal year, unless otherwise permitted under the New York Banking Law (the “Banking Law”) or applicable regulation, at the principal office of the Bank, or such other place in the city in which such principal office is located as shall be specified in the notice of such meeting, on such day and at such hour as may be fixed by the Board of Directors (the “Board”); provided, however, that so long as The Bank of New York Mellon Corporation owns 100 percent of the outstanding common stock of the Bank, directly or indirectly through one or more wholly-owned subsidiaries, action to elect directors may be taken by written consent in lieu of an annual meeting and the Board will not be required to fix a date and time for an annual meeting of the Bank’s stockholders.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1.2. Special Meetings. Special meetings of the stockholders of the Bank (the “stockholders”) may be called by the Board, the Executive Chairman (as defined below), the Chief Executive Officer or the President and shall be called upon the written request of the holders of record of not less than twenty percent of the outstanding shares of stock of the Bank entitled to vote at the meeting requested to be called. Such meetings of stockholders shall be held on such day and at such hour and at such place, within or without the State of New York (or may not be held at any place, but may instead be held solely by means of remote communication), as may be fixed by the Board.</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1.3. Notice of Meetings. Notice of each meeting of stockholders shall be given in writing, personally or by mail, not less than ten nor more than fifty days before the date of the meeting, to each stockholder entitled to vote at such meeting, and shall state the place, date and hour of the meeting and, in the case of a special meeting, the purpose or purposes for which the meeting is called. If mailed, such notice shall be deemed to have been given when deposited in the United States mail, postage prepaid, directed to the stockholder at such stockholder’s address as it appears on the records of the Bank.</w:t>
      </w:r>
    </w:p>
    <w:p>
      <w:pPr>
        <w:spacing w:after="0" w:line="183"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notice of meeting need not be given to any stockholder who submits a signed waiver of notice, in person or by proxy, whether before or after the meeting. The attendance of any stockholder at a meeting, in person or by proxy, without protesting prior to the conclusion of the meeting the lack of notice of such meeting, shall constitute a waiver of notice by him or 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8" w:name="page69"/>
    <w:bookmarkEnd w:id="6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Adjournments. Any meeting of stockholders, annual or special, may be adjourned from time to time to reconvene at the same or some other place, and notice need not be given of any such adjourned meeting if the time, place, if any, thereof, and the means of remote communications, if any, thereof are announced at the meeting at which the adjournment is taken. At the adjourned meeting the Bank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87"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SECTION 1.5. Quorum of Stockholders and Action by Stockholders. The holders of a majority of the shares entitled to vote thereat shall constitute a quorum at a meeting of stockholders for the transaction of any business. At all meetings of stockholders, a quorum being present, all matters, except as otherwise provided by law or the Organization Certificate of the Bank, shall be authorized by a majority of the votes cast at the meeting by the stockholders present in person or by proxy and entitled to vote thereon. The stockholders present may adjourn the meeting despite the absence of a quorum.</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1.6 Action without a Meeting. Any action that may be taken by the stockholders at a duly convened meeting may also be taken pursuant to waiver of notice thereof and upon the unanimous written consent of all stockholders of the Bank; such consent shall set forth the action so taken and shall be filed with the Secretary.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2.1. Number of Directors. The business of the Bank shall be managed by the Board, which shall consist of such number of directors, within the minimum and maximum limits prescribed in the Organization Certificate of the Bank and the Banking Law, as from time-to-time shall be determined by the vote of a majority of the directors then in office or by the stockholders. In the event of any increase in the number of directors, additional directors shall be elected in the manner herein prescribed for the filling of vacancies. No decrease in the number of directors shall shorten the term of any incumbent director. Each director or, where applicable, all directors collectively must possess such qualifications as to citizenship, age and active service as an officer or employee of the Bank as are prescribed by the Banking Law. Directors shall hold office until the next annual meeting of the stockholders and until their successors are elected and have qualified.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2.2. [Reserved]</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2.3. Meetings of the Board. An annual meeting of the Board shall be held in each year within fifteen days after the annual meeting of stockholders. Regular meetings of the Board shall be held on such day and at such hour as the directors may fix from time-to-time, and no notice thereof need be given. In case any date for a meeting shall fall on a public holiday, such meeting shall be held on the next succeeding business day. Special meetings of the Board may be held at any time upon the call of the Executive Chairman of the Board or the Chief Executive Officer or, in their absence, another principal executive officer and shall be called upon the written request of any three directors.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9" w:name="page70"/>
    <w:bookmarkEnd w:id="69"/>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Meetings of the Board shall be held at such places within or without the State of New York (or may not be held at any place, but may instead be held solely by means of remote communication) as may be fixed by the Board. If no place is so fixed, meetings of the Board shall be held at the principal office of the Bank in the City of New York.</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Notices of the annual and special meetings of the Board shall be given by delivery, mail, facsimile, e-mail or other form of electronic transmission or by oral notice given in person or by telephone to each director at his or her usual place of business or residence address not later than noon, New York time, on the third day prior to the day on which the meeting is to be held or, if given personally or by telephone, not later than noon, New York time, on the day before the day on which the meeting is to be held.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 meeting of the Board need not be given to any director who submits a signed waiver of notice whether before or after the meeting, or who attends the meeting without protesting, prior thereto or at its commencement, the lack of notice to him or her.</w:t>
      </w:r>
    </w:p>
    <w:p>
      <w:pPr>
        <w:spacing w:after="0" w:line="162"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A majority of the directors present, whether or not a quorum is present, may adjourn any meeting to another time and place. Except for announcement at the meeting, notice of the time and place of any adjourned meeting need not be given.</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Members of the Board may participate in a meeting of the Board by means of a conference telephone or similar communications equipment allowing all persons participating in the meeting to hear each other at the same time. Participation by such means shall constitute presence in person at a meeting.</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SECTION 2.4. Quorum of Directors and Action by the Board. One-third of the entire Board, but in no case less than five directors, shall constitute a quorum for the transaction of business. Except as otherwise required by law, the Organization Certificate of the Bank or these By-laws, the vote of a majority of the directors present at a meeting at the time of such vote, if a quorum is then present, shall be the act of the Board.</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SECTION 2.5. Removal or Resignation of Directors. Any one or more of the directors may be removed for cause by action of the Board. Any or all of the directors may be removed with or without cause by vote of the stockholders.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Any director may resign at any time upon written notice to the Board or to the Executive Chairman, the Chief Executive Officer or the Secretary. Such resignation shall take effect at the time specified therein, and unless otherwise specified therein no acceptance of such resignation shall be necessary to make it effective.</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SECTION 2.6. Vacancies. All vacancies in the office of director shall be filled by election by the stockholders, except that vacancies not exceeding one-third of the entire Board may be filled by the affirmative vote of a majority of the directors in office and the directors so elected shall hold office for the balance of the unexpired term.</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SECTION 2.7. Compensation. Members of the Board, except members who are officers of The Bank of New York Mellon Corporation or any of its subsidiaries, shall be entitled to receive such compensation and such fees for attendance as the Board shall fix from time-to-time.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0" w:name="page71"/>
    <w:bookmarkEnd w:id="70"/>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2.8. Minutes. Regular minutes of the proceedings of the Board shall be kept in books to be provided for that purpose which shall always be open for the inspection of any director.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SECTION 2.9. Reports. At each regular meeting of the Board there shall be submitted a report of the concerns and business of the Bank, including such reports as shall be required by law or by regulation of the authorities having jurisdiction over the Bank.</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SECTION 2.10. Action without a Meeting. Any action required or permitted to be taken at any meeting of the Board, or of any committee thereof, to the extent permitted by law and regulation, may be taken without a meeting if all members of the Board or of such committee, as the case may be, consent thereto in writing and such consent is filed with the minutes of the proceedings of the Board or such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SECTION 4.1. Committees of Directors, Officers and/ or Other Persons. The Board may appoint, or authorize the Executive Chairman or the Chief Executive Officer or, in their absence, another principal executive officer to appoint, from time-to-time, such other committees consisting of directors, officers and/ or other persons and having such powers, duties and functions in or relating to the business and affairs of the Bank as the Board may determine. Each such committee and each member thereof shall serve at the pleasure of the Board and, in the case of any committee appointed by the Executive Chairman, the Chief Executive Officer or another principal executive officer, at the pleasure of such officer. A majority of all members of any such committee may determine the rules of order and procedure of such committee and the time and place of its meetings, unless the Board, or, in the case of any committee appointed by the Executive Chairman, the Chief Executive Officer or another principal executive officer, such officer shall otherwise provide.</w:t>
      </w:r>
    </w:p>
    <w:p>
      <w:pPr>
        <w:spacing w:after="0" w:line="192" w:lineRule="exact"/>
        <w:rPr>
          <w:sz w:val="20"/>
          <w:szCs w:val="20"/>
          <w:color w:val="auto"/>
        </w:rPr>
      </w:pPr>
    </w:p>
    <w:p>
      <w:pPr>
        <w:jc w:val="both"/>
        <w:ind w:right="860" w:firstLine="440"/>
        <w:spacing w:after="0" w:line="312" w:lineRule="auto"/>
        <w:rPr>
          <w:sz w:val="20"/>
          <w:szCs w:val="20"/>
          <w:color w:val="auto"/>
        </w:rPr>
      </w:pPr>
      <w:r>
        <w:rPr>
          <w:rFonts w:ascii="Times New Roman" w:cs="Times New Roman" w:eastAsia="Times New Roman" w:hAnsi="Times New Roman"/>
          <w:sz w:val="17"/>
          <w:szCs w:val="17"/>
          <w:color w:val="auto"/>
        </w:rPr>
        <w:t>SECTION 4.2. Compensation. Members of committees, other than officers of The Bank of New York Mellon Corporation or any of its subsidiaries, shall be paid such compensation and such other fees for attendance at meetings as the Board shall determine from time-to-time.</w:t>
      </w:r>
    </w:p>
    <w:p>
      <w:pPr>
        <w:spacing w:after="0" w:line="14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SECTION 4.3. Manner of Acting. Members of committees may participate in a meeting of such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1" w:name="page72"/>
    <w:bookmarkEnd w:id="71"/>
    <w:p>
      <w:pPr>
        <w:ind w:left="5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5.1. Principal Executive Officers. The Board at its annual meeting shall elect from its number an Executive Chairman of the Board (the “Executive Chairman”), a Chief Executive Officer, and a President (each such officer, a “principal executive officer”). The Board may designate the Chief Executive Officer or the President, or one of the persons holding titles provided in Section 5.2, to act as and carry the additional title of Chief Operating Officer. Officers elected pursuant to this Section 5.1 shall hold office during the pleasure of the Board, which may fill any vacancy and change the designation of the Chief Operating Officer at any regular or special meeting. Officers elected under this Section 5.1 may be removed with or without cause by the Board.</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5.2. Senior Executive Officers. The Board shall elect, or the Chief Executive Officer may appoint, subject to confirmation by the Board, one or more senior executive officers, any of whom may be designated Vice Chairman of the Board, Senior Executive Vice President or Executive Vice President, and any such other officers with such titles as may be specified upon election (each such officer, a “senior executive officer”). Senior executive officers elected or appointed under this Section 5.2 may be removed with or without cause by the Board.</w:t>
      </w:r>
    </w:p>
    <w:p>
      <w:pPr>
        <w:spacing w:after="0" w:line="180"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5.3. Other Senior Officers. The Board shall elect a Secretary (who shall be a different person from the Chief Executive Officer and the President); a Treasurer; a Comptroller; a Chief Auditor; and such other officers with such titles as may be specified upon election. The Chief Executive Officer or, in his or her absence, another principal executive officer, may remove any of the officers elected under this Section 5.3 with or without cause with the approval of the Board.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5.4. Appointed Officers. Officers of the Bank carrying titles set forth in this Section 5.4 may be appointed and removed with or without cause by the Chief Executive Officer or any Senior Executive Vice President or Executive Vice President. Such officers may include one or more Managing Directors; one or more Directors; one or more Senior Vice Presidents; one or more First Vice Presidents; one or more Vice Presidents; one or more Senior Associates; one or more Associates; and such other officers with such titles as may be specified upon appointment.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5.5. Bonds. The Board may require any or all officers or employees to give bonds from time-to-time.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SECTION 5.6. General Supervisory Powers. The Chief Executive Officer or, in his or her absence, another principal executive officer, shall have general supervision of the policies and operations of the Bank which shall in every case be subject to the oversight of the Board.</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SECTION 5.7. Executive Officers. The principal executive officers and the senior executive officers shall participate in the supervision of the policies and operations of the Bank as directed by the Chief Executive Officer, or, in his or her absence another principal executive officer or a senior executive officer designated by the Chief Executive Officer or the Board, shall direct the general supervision of such policies and operations.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5.8. Senior Vice Presidents, Managing Directors, Directors, First Vice Presidents and Vice Presidents. Senior Vice Presidents, Managing Directors, Directors, First Vice Presidents and Vice Presidents shall participate in the supervision of operations of the Bank as directed by the Chief Executive Officer, or, in his or her absence another principal executive officer or a senior executive officer designated by the Chief Executive Officer or the Board. They shall perform such other duties as shall be assigned to them by the Board, the Chief Executive Officer or a principal or senior executive officer.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72" w:name="page73"/>
    <w:bookmarkEnd w:id="72"/>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5.9. Secretary. The Secretary shall keep the minutes of all meetings of the Board; shall attend to the giving of such notices of meetings as may be required by these By-laws; and shall perform all the duties assigned to him or her by the Board or the Chief Executive Officer and in general those duties incident to the office of Secretary. He or she shall have custody of the corporate seal and shall have authority to affix the same to any documents requiring such seal and to attest the same. The Board or the Chief Executive Officer, or his or her designee, may appoint one or more Assistant Secretaries who shall assist the Secretary in the performance of his or her duties. In the absence of the Secretary, an Assistant Secretary shall act in his or her stead.</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SECTION 5.10. Treasurer. The Treasurer shall have the care and custody of all moneys, funds and other property of the Bank which may come into his or her hands and shall perform such other duties as may be assigned to him or her from time-to-time by the Board or the Chief Executive Officer.</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5.11. Comptroller. The Comptroller shall exercise general supervision over, and be responsible for, all matters pertaining to the accounting and bookkeeping of the Bank. He or she shall keep the permanent records of property and indebtedness and of all transactions bearing on the financial affairs of the Bank. The Comptroller shall perform such additional duties as shall be assigned to him or her by the Board or the Chief Executive Officer. He or she shall at any time on the request of any three directors report to the Board such matters concerning the affairs of the Bank as, in his, her or their judgment, should be brought to the attention of the directors.</w:t>
      </w:r>
    </w:p>
    <w:p>
      <w:pPr>
        <w:spacing w:after="0" w:line="183"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SECTION 5.12. Chief Auditor. The Chief Auditor shall report to the Board, which may be through a committee of the Board. He or she shall be responsible for the planning and direction of the internal auditing function and the evaluation of the internal control safeguards of the Bank. He or she shall perform such additional duties as shall be assigned by the Board, any committee of the Board or the Chief Executive Officer.</w:t>
      </w:r>
    </w:p>
    <w:p>
      <w:pPr>
        <w:spacing w:after="0" w:line="176" w:lineRule="exact"/>
        <w:rPr>
          <w:sz w:val="20"/>
          <w:szCs w:val="20"/>
          <w:color w:val="auto"/>
        </w:rPr>
      </w:pPr>
    </w:p>
    <w:p>
      <w:pPr>
        <w:jc w:val="both"/>
        <w:ind w:right="220" w:firstLine="440"/>
        <w:spacing w:after="0" w:line="282" w:lineRule="auto"/>
        <w:rPr>
          <w:sz w:val="20"/>
          <w:szCs w:val="20"/>
          <w:color w:val="auto"/>
        </w:rPr>
      </w:pPr>
      <w:r>
        <w:rPr>
          <w:rFonts w:ascii="Times New Roman" w:cs="Times New Roman" w:eastAsia="Times New Roman" w:hAnsi="Times New Roman"/>
          <w:sz w:val="18"/>
          <w:szCs w:val="18"/>
          <w:color w:val="auto"/>
        </w:rPr>
        <w:t>SECTION 5.13. Other Officers. All officers whose duties are not described by these By-laws shall perform such duties as may be designated by the Chief Executive Officer or any officer authorized by the Chief Executive Officer to do so.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SIGNING AUTHORITIES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6.1. [Reserved]</w:t>
      </w:r>
    </w:p>
    <w:p>
      <w:pPr>
        <w:spacing w:after="0" w:line="225"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6.2. Senior Signing Powers. The Chief Executive Officer, the President, any Vice Chairman, any Senior Executive Vice President, any Executive Vice President or any other senior officer appointed by the Board pursuant to Section 5.3 (any such officer, an “Authorized Senior Signer”) is authorized to accept, endorse, execute or sign any document, instrument or paper in the name of, or on behalf of, the Bank in all transactions arising out of, or in connection with, the normal course of the Bank’s business or in any fiduciary, representative or agency capacity and, when required, to affix the seal of the Bank thereto. In such instances as in the judgment of any Authorized Senior Signer may be proper and desirable, any one of said officers may authorize in writing, including email and other forms of electronic communication or approval, from time-to-time any other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73" w:name="page74"/>
    <w:bookmarkEnd w:id="7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to have the powers set forth in this Section 6.2 applicable only to the performance or discharge of the duties of such officer within his or her particular division or function. Any officer of the Bank authorized in or pursuant to Section 6.3 to have any of the powers set forth therein, other than the officer signing pursuant to this Section 6.2, is authorized to attest to the seal of the Bank on any documents requiring such seal.</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SECTION 6.3. Limited Signing Powers. In such instances as may be proper and desirable in the judgment of any Authorized Senior Signer or any delegate authorized in writing by any such Authorized Senior Signer, any such Authorized Senior Signer or delegate (to the extent relating to the performance or discharge of the duties of such delegate within his or her particular division or function) may authorize in writing, including email and other forms of electronic communication or approval, from time to time any other officer, employee or individual to have the limited signing powers or limited power to affix the seal of the Bank to specified classes of documents set forth in a resolution of the Board applicable only to the performance or discharge of the duties of such officer, employee or individual within his or her division or function.</w:t>
      </w:r>
    </w:p>
    <w:p>
      <w:pPr>
        <w:spacing w:after="0" w:line="187"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SECTION 6.4. Rescission of Signing Powers. Any signing authority authorized by an Authorized Senior Signer or delegate may be rescinded at any time by any one of said persons, and any signing power authorized in or pursuant to Section 6.3 shall terminate without necessity of further action when the officer or employee having such power leaves the employ of the Bank, but any document, instrument or certificate executed by an officer or employee having signing authority prior to such termination shall be valid and binding on the Bank.</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6.5. Powers of Attorney. All powers of attorney on behalf of the Bank shall be executed by any officer of the Bank jointly with the Chief Executive Officer, the President, any Vice Chairman, any Senior Executive Vice President, any Executive Vice President, any Senior Vice President, any Managing Director, or any Director provided that the execution by such Senior Vice President, Managing Director or Director of said Power of Attorney shall be applicable only to the performance or discharge of the duties of such officer within his or her particular division or function. Any such power of attorney may, however, be executed by any officer or officers or person or persons who may be specifically authorized to execute the same by the Board and, at foreign branches only, by any two officers provided one of such officers is the Branch Manager.</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SECTION 6.6. Chief Auditor. The Chief Auditor or any officer designated by the Chief Auditor is authorized to certify in the name of, or on behalf of the Bank, in its own right or in a fiduciary or representative capacity, as to the accuracy and completeness of any account, schedule of assets, or other document, instrument or paper requiring such certification.</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SECTION 6.7. Signatures. The signature authorized by or pursuant to these Bylaws of any signatory authorized by these By-laws on any document may be manual, facsimile or electronic, to the extent permitted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7.1. Indemnification. Any person made, or threatened to be made, a party to any action or proceeding, whether civil or criminal, by reason of the fact that 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74" w:name="page75"/>
    <w:bookmarkEnd w:id="7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 or his or her testator or intestate, is or was a director or officer of the Bank or serves or served any other corporation in any capacity, at the request of the Bank, shall be indemnified by the Bank and the Bank may advance his or her related expenses, to the full extent permitted by law. Persons who are not directors or officers of the Bank may be similarly indemnified in respect of service to the Bank or to another such entity at the request of the Bank to the extent the Board at any time denominates any of such persons as entitled to indemnification and/ or advancement of expenses. For purposes of this Article VII, the Bank may consider the term “Bank” to include any corporation which has been merged or consolidated into the Bank or of which the Bank has acquired all or substantially all the assets in a transaction requiring authorization by the shareholders of the corporation whose assets were acquired.</w:t>
      </w:r>
    </w:p>
    <w:p>
      <w:pPr>
        <w:spacing w:after="0" w:line="189"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SECTION 7.2. Other Indemnification. The foregoing provisions of this Article VII shall apply in respect of all alleged or actual causes of action accrued before, on or after September 1, 1964, except that, as to any such cause of action which accrued before such date, the Bank may provide, and any person concerned shall be entitled to, indemnification under and pursuant to any statutory provision or principle of common law in effect prior to such date, all to the extent permitted by law.</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7.3. Insurance. The Bank may purchase and maintain insurance to indemnify it against payments it is permitted to make under this Article VII and to indemnify directors, officers and employees against legal or professional expenses incurred in connection with actions or proceedings to the extent permitted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STOCK</w:t>
      </w:r>
    </w:p>
    <w:p>
      <w:pPr>
        <w:spacing w:after="0" w:line="207"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SECTION 8.1. Certificates of Stock. Certificates of stock shall be signed by the President or a Vice President and the Secretary or an Assistant Secretary and may bear the seal of the Bank. The signatures and the seal may be facsimile to the extent permitted by law. In case any officer who has signed or whose facsimile signature has been placed upon a certificate shall have ceased to be such officer before such certificate is issued, it may be issued by the Bank with the same effect as if he or she were such officer at the date of issue.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Transfer of Certificates. Separate books of transfer shall be kept in which transfers of shares of stock shall be entered by the person entitled to make such transfer or his or her attorney-in-fact, upon surrender of the certificate for the shares to be transferred properly endorsed by the stockholder, or by his or her assignee, agent or legal representative, who shall furnish proper evidence of assignment, authority or legal succession, or by the agent of one of the foregoing thereunto duly authorized by an instrument duly executed and filed with the Bank in accordance with regular commercial practice.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8.3. New Certificates. No new certificate shall be issued until the former certificate is cancelled except in the circumstances provided in this Section 8.3. The holder of any shares of the Bank shall immediately notify it of any loss, theft or destruction of any stock certificate representing such shares. New certificates for shares of stock may be issued to replace such certificates upon satisfactory proof of the loss, theft or destruction and upon such other terms and conditions as the Board, the Chief Executive Officer or any person designated by either of them may from time to time determine.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5" w:name="page76"/>
    <w:bookmarkEnd w:id="75"/>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8.4. Holders of Record. The Bank shall be entitled to treat any person in whose name shares of stock of the Bank stand on its books as the holder and owner in fact thereof for all purposes, and it shall not be bound to recognize any equitable or other claims to or interest in such shares on the part of any other person, whether or not it shall have express or other notice thereof, except as otherwise expressly provided by law.</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CORPORATE SEAL</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SECTION 9.1. The Seal. The Board shall provide a corporate seal for the Bank which may be affixed to any document, certificate or paper and attested by such individuals as provided by these By-laws or as the Board may from time-to- time determine.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BY-LAWS</w:t>
      </w:r>
    </w:p>
    <w:p>
      <w:pPr>
        <w:spacing w:after="0" w:line="207"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SECTION 10.1. Amendments. By-laws of the Bank may be adopted, amended or repealed by vote of the stockholders entitled to vote in any election of directors. Bylaws may also be adopted, amended or repealed by a majority of all the directors then in office. Any By-law adopted by the Board may be amended or repealed by the stockholders entitled to vote thereon as hereinabove provided. If any By-law regulating an impending election of directors is adopted, amended or repealed by the Board, there shall be set forth in the notice of the next meeting of stockholders for the election of directors the By-law so adopted, amended or repealed, together with a concise statement of the changes made.</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SECTION 10.2. Inspection. A copy of these By-laws, with all amendments thereto, shall at all times be kept in a convenient place at the principal office of the Bank and shall be open for inspection to all stockholders during regular business hours.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THE TRUSTEE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321(b) of the Trust Indenture Act of 1939, The Bank of New York Mellon hereby consents that reports of examinations by Federal, State, Territorial or District authorities may be furnished by such authorities to the Securities and Exchange Commission upon request therefor.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Stacey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Stacey Poindexter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April 20, 2023</w:t>
      </w:r>
    </w:p>
    <w:p>
      <w:pPr>
        <w:sectPr>
          <w:pgSz w:w="11900" w:h="16838" w:orient="portrait"/>
          <w:cols w:equalWidth="0" w:num="1">
            <w:col w:w="11020"/>
          </w:cols>
          <w:pgMar w:left="440" w:top="266" w:right="4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December 31, 2022, published in accordance with a call made by the Federal Reserve Bank of this District pursuant to the provisions of the Federal Reserve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4,164,000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101,356,000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56,192,000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86,291,000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10,070,000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31,535,000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31,381,000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4,906,000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2,810,000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6,937,000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19,250,000</w:t>
            </w: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324,646,000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181,486,000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76,243,000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105,243,000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100,047,000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94,240,000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purchased in domestic offices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0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Securities sold under agreements to</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3,887,000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8,438,000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297,896,000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11,968,000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18,016,000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-4,369,000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26,750,000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26,750,000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324,646,000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79" w:name="page80"/>
    <w:bookmarkEnd w:id="79"/>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Dermot McDonogh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Robin A. Vince</w:t>
            </w:r>
          </w:p>
        </w:tc>
        <w:tc>
          <w:tcPr>
            <w:tcW w:w="340" w:type="dxa"/>
            <w:vAlign w:val="bottom"/>
            <w:tcBorders>
              <w:top w:val="single" w:sz="8" w:color="auto"/>
              <w:right w:val="single" w:sz="8" w:color="auto"/>
            </w:tcBorders>
          </w:tcPr>
          <w:p>
            <w:pPr>
              <w:spacing w:after="0"/>
              <w:rPr>
                <w:sz w:val="19"/>
                <w:szCs w:val="19"/>
                <w:color w:val="auto"/>
              </w:rPr>
            </w:pPr>
          </w:p>
        </w:tc>
        <w:tc>
          <w:tcPr>
            <w:tcW w:w="164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w w:val="95"/>
              </w:rPr>
              <w:t>Directors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Frederick O. Terrel</w:t>
            </w:r>
          </w:p>
        </w:tc>
        <w:tc>
          <w:tcPr>
            <w:tcW w:w="340" w:type="dxa"/>
            <w:vAlign w:val="bottom"/>
            <w:tcBorders>
              <w:right w:val="single" w:sz="8" w:color="auto"/>
            </w:tcBorders>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Joseph J. Echevarria</w:t>
            </w:r>
          </w:p>
        </w:tc>
        <w:tc>
          <w:tcPr>
            <w:tcW w:w="340" w:type="dxa"/>
            <w:vAlign w:val="bottom"/>
            <w:tcBorders>
              <w:bottom w:val="single" w:sz="8" w:color="auto"/>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107</w:t>
      </w:r>
    </w:p>
    <w:p>
      <w:pPr>
        <w:spacing w:after="0" w:line="220" w:lineRule="exact"/>
        <w:rPr>
          <w:sz w:val="20"/>
          <w:szCs w:val="20"/>
          <w:color w:val="auto"/>
        </w:rPr>
      </w:pPr>
    </w:p>
    <w:p>
      <w:pPr>
        <w:ind w:left="4444"/>
        <w:spacing w:after="0"/>
        <w:rPr>
          <w:sz w:val="20"/>
          <w:szCs w:val="20"/>
          <w:color w:val="auto"/>
        </w:rPr>
      </w:pPr>
      <w:r>
        <w:rPr>
          <w:rFonts w:ascii="Arial" w:cs="Arial" w:eastAsia="Arial" w:hAnsi="Arial"/>
          <w:sz w:val="14"/>
          <w:szCs w:val="14"/>
          <w:b w:val="1"/>
          <w:bCs w:val="1"/>
          <w:color w:val="auto"/>
        </w:rPr>
        <w:t>Calculation of Filing Fee Tables</w:t>
      </w:r>
    </w:p>
    <w:p>
      <w:pPr>
        <w:spacing w:after="0" w:line="42" w:lineRule="exact"/>
        <w:rPr>
          <w:sz w:val="20"/>
          <w:szCs w:val="20"/>
          <w:color w:val="auto"/>
        </w:rPr>
      </w:pPr>
    </w:p>
    <w:p>
      <w:pPr>
        <w:ind w:left="5204"/>
        <w:spacing w:after="0"/>
        <w:rPr>
          <w:sz w:val="20"/>
          <w:szCs w:val="20"/>
          <w:color w:val="auto"/>
        </w:rPr>
      </w:pPr>
      <w:r>
        <w:rPr>
          <w:rFonts w:ascii="Arial" w:cs="Arial" w:eastAsia="Arial" w:hAnsi="Arial"/>
          <w:sz w:val="14"/>
          <w:szCs w:val="14"/>
          <w:b w:val="1"/>
          <w:bCs w:val="1"/>
          <w:color w:val="auto"/>
        </w:rPr>
        <w:t>Form S-3</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(Form Type)</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SCHLUMBERGER N.V.</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(SCHLUMBERGER LIMITED)</w:t>
      </w:r>
    </w:p>
    <w:p>
      <w:pPr>
        <w:jc w:val="center"/>
        <w:ind w:right="-3"/>
        <w:spacing w:after="0"/>
        <w:rPr>
          <w:sz w:val="20"/>
          <w:szCs w:val="20"/>
          <w:color w:val="auto"/>
        </w:rPr>
      </w:pPr>
      <w:r>
        <w:rPr>
          <w:rFonts w:ascii="Arial" w:cs="Arial" w:eastAsia="Arial" w:hAnsi="Arial"/>
          <w:sz w:val="22"/>
          <w:szCs w:val="22"/>
          <w:b w:val="1"/>
          <w:bCs w:val="1"/>
          <w:color w:val="auto"/>
        </w:rPr>
        <w:t>SCHLUMBERGER INVESTMENT S.A.</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Table 1: Newly Registered and Carry Forward Securities</w:t>
      </w:r>
    </w:p>
    <w:p>
      <w:pPr>
        <w:spacing w:after="0" w:line="219"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26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5"/>
              </w:rPr>
              <w:t>Filing Fee</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Previously</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Paid In</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Proposed</w:t>
            </w:r>
          </w:p>
        </w:tc>
        <w:tc>
          <w:tcPr>
            <w:tcW w:w="74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Carry</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with</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4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Carry</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Carry</w:t>
            </w:r>
          </w:p>
        </w:tc>
        <w:tc>
          <w:tcPr>
            <w:tcW w:w="6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Unsold</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Maximum</w:t>
            </w:r>
          </w:p>
        </w:tc>
        <w:tc>
          <w:tcPr>
            <w:tcW w:w="74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62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Forward</w:t>
            </w:r>
          </w:p>
        </w:tc>
        <w:tc>
          <w:tcPr>
            <w:tcW w:w="8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Securities</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Security</w:t>
            </w: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Security Class</w:t>
            </w: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Fee Calculation or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Offering</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Aggregate</w:t>
            </w: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Fee</w:t>
            </w:r>
          </w:p>
        </w:tc>
        <w:tc>
          <w:tcPr>
            <w:tcW w:w="920" w:type="dxa"/>
            <w:vAlign w:val="bottom"/>
            <w:tcBorders>
              <w:right w:val="single" w:sz="8" w:color="auto"/>
            </w:tcBorders>
            <w:vMerge w:val="continue"/>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Initial</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to be</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Price Per</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Offering</w:t>
            </w:r>
          </w:p>
        </w:tc>
        <w:tc>
          <w:tcPr>
            <w:tcW w:w="42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Registration</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Form</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File</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effective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Carried</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Carry Forward Rule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Price</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Fee</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Forward</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center"/>
              <w:ind w:left="835"/>
              <w:spacing w:after="0"/>
              <w:rPr>
                <w:sz w:val="20"/>
                <w:szCs w:val="20"/>
                <w:color w:val="auto"/>
              </w:rPr>
            </w:pPr>
            <w:r>
              <w:rPr>
                <w:rFonts w:ascii="Arial" w:cs="Arial" w:eastAsia="Arial" w:hAnsi="Arial"/>
                <w:sz w:val="18"/>
                <w:szCs w:val="18"/>
                <w:b w:val="1"/>
                <w:bCs w:val="1"/>
                <w:color w:val="auto"/>
                <w:w w:val="99"/>
              </w:rPr>
              <w:t>Newly Registered Securities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300" w:type="dxa"/>
            <w:vAlign w:val="bottom"/>
          </w:tcPr>
          <w:p>
            <w:pPr>
              <w:jc w:val="center"/>
              <w:ind w:left="13"/>
              <w:spacing w:after="0" w:line="191" w:lineRule="exact"/>
              <w:rPr>
                <w:sz w:val="20"/>
                <w:szCs w:val="20"/>
                <w:color w:val="auto"/>
              </w:rPr>
            </w:pPr>
            <w:r>
              <w:rPr>
                <w:rFonts w:ascii="Arial" w:cs="Arial" w:eastAsia="Arial" w:hAnsi="Arial"/>
                <w:sz w:val="18"/>
                <w:szCs w:val="18"/>
                <w:color w:val="auto"/>
              </w:rPr>
              <w:t>Senior Debt</w:t>
            </w:r>
          </w:p>
        </w:tc>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rPr>
              <w:t>Securities of</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rPr>
              <w:t>Fees to Be</w:t>
            </w: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Schlumberger</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vMerge w:val="continue"/>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300" w:type="dxa"/>
            <w:vAlign w:val="bottom"/>
          </w:tcPr>
          <w:p>
            <w:pPr>
              <w:jc w:val="center"/>
              <w:ind w:left="13"/>
              <w:spacing w:after="0" w:line="189" w:lineRule="exact"/>
              <w:rPr>
                <w:sz w:val="20"/>
                <w:szCs w:val="20"/>
                <w:color w:val="auto"/>
              </w:rPr>
            </w:pPr>
            <w:r>
              <w:rPr>
                <w:rFonts w:ascii="Arial" w:cs="Arial" w:eastAsia="Arial" w:hAnsi="Arial"/>
                <w:sz w:val="18"/>
                <w:szCs w:val="18"/>
                <w:color w:val="auto"/>
                <w:w w:val="99"/>
              </w:rPr>
              <w:t>Investment</w:t>
            </w:r>
          </w:p>
        </w:tc>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Debt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S.A.</w:t>
            </w:r>
          </w:p>
        </w:tc>
        <w:tc>
          <w:tcPr>
            <w:tcW w:w="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Rule 457(r) (2)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color w:val="auto"/>
                <w:w w:val="99"/>
              </w:rPr>
              <w:t>Guarantees of</w:t>
            </w:r>
          </w:p>
        </w:tc>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rPr>
              <w:t>Senior Debt</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rPr>
              <w:t>Securities of</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Schlumberger</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Investment</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S.A. by</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30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Schlumberger</w:t>
            </w: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Other</w:t>
            </w:r>
          </w:p>
        </w:tc>
        <w:tc>
          <w:tcPr>
            <w:tcW w:w="130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8"/>
              </w:rPr>
              <w:t>Limited (3)</w:t>
            </w:r>
          </w:p>
        </w:tc>
        <w:tc>
          <w:tcPr>
            <w:tcW w:w="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Other (3)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Arial" w:cs="Arial" w:eastAsia="Arial" w:hAnsi="Arial"/>
                <w:sz w:val="18"/>
                <w:szCs w:val="18"/>
                <w:color w:val="auto"/>
                <w:w w:val="99"/>
              </w:rPr>
              <w:t>Fees</w:t>
            </w:r>
          </w:p>
        </w:tc>
        <w:tc>
          <w:tcPr>
            <w:tcW w:w="62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jc w:val="center"/>
              <w:ind w:left="50"/>
              <w:spacing w:after="0" w:line="202" w:lineRule="exact"/>
              <w:rPr>
                <w:sz w:val="20"/>
                <w:szCs w:val="20"/>
                <w:color w:val="auto"/>
              </w:rPr>
            </w:pPr>
            <w:r>
              <w:rPr>
                <w:rFonts w:ascii="Arial" w:cs="Arial" w:eastAsia="Arial" w:hAnsi="Arial"/>
                <w:sz w:val="18"/>
                <w:szCs w:val="18"/>
                <w:color w:val="auto"/>
              </w:rPr>
              <w:t>Previously</w:t>
            </w:r>
          </w:p>
        </w:tc>
        <w:tc>
          <w:tcPr>
            <w:tcW w:w="62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center"/>
              <w:ind w:left="855"/>
              <w:spacing w:after="0"/>
              <w:rPr>
                <w:sz w:val="20"/>
                <w:szCs w:val="20"/>
                <w:color w:val="auto"/>
              </w:rPr>
            </w:pPr>
            <w:r>
              <w:rPr>
                <w:rFonts w:ascii="Arial" w:cs="Arial" w:eastAsia="Arial" w:hAnsi="Arial"/>
                <w:sz w:val="18"/>
                <w:szCs w:val="18"/>
                <w:b w:val="1"/>
                <w:bCs w:val="1"/>
                <w:color w:val="auto"/>
                <w:w w:val="99"/>
              </w:rPr>
              <w:t>Carry Forward Securities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Arial" w:cs="Arial" w:eastAsia="Arial" w:hAnsi="Arial"/>
                <w:sz w:val="18"/>
                <w:szCs w:val="18"/>
                <w:color w:val="auto"/>
                <w:w w:val="99"/>
              </w:rPr>
              <w:t>Carry</w:t>
            </w:r>
          </w:p>
        </w:tc>
        <w:tc>
          <w:tcPr>
            <w:tcW w:w="62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jc w:val="center"/>
              <w:ind w:left="30"/>
              <w:spacing w:after="0" w:line="202" w:lineRule="exact"/>
              <w:rPr>
                <w:sz w:val="20"/>
                <w:szCs w:val="20"/>
                <w:color w:val="auto"/>
              </w:rPr>
            </w:pPr>
            <w:r>
              <w:rPr>
                <w:rFonts w:ascii="Arial" w:cs="Arial" w:eastAsia="Arial" w:hAnsi="Arial"/>
                <w:sz w:val="18"/>
                <w:szCs w:val="18"/>
                <w:color w:val="auto"/>
                <w:w w:val="99"/>
              </w:rPr>
              <w:t>Forward</w:t>
            </w:r>
          </w:p>
        </w:tc>
        <w:tc>
          <w:tcPr>
            <w:tcW w:w="62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Securities</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Offering Amounts</w:t>
            </w:r>
          </w:p>
        </w:tc>
        <w:tc>
          <w:tcPr>
            <w:tcW w:w="7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w w:val="99"/>
              </w:rPr>
              <w:t>Total Fees Previously Paid</w:t>
            </w:r>
          </w:p>
        </w:tc>
        <w:tc>
          <w:tcPr>
            <w:tcW w:w="7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7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7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424" w:right="60" w:hanging="424"/>
        <w:spacing w:after="0" w:line="241"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w:t>
      </w:r>
    </w:p>
    <w:p>
      <w:pPr>
        <w:spacing w:after="0" w:line="1" w:lineRule="exact"/>
        <w:rPr>
          <w:rFonts w:ascii="Arial" w:cs="Arial" w:eastAsia="Arial" w:hAnsi="Arial"/>
          <w:sz w:val="18"/>
          <w:szCs w:val="18"/>
          <w:color w:val="auto"/>
        </w:rPr>
      </w:pPr>
    </w:p>
    <w:p>
      <w:pPr>
        <w:ind w:left="424" w:right="120" w:hanging="424"/>
        <w:spacing w:after="0" w:line="234"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 is registering hereby an indeterminate initial offering price and number or amount of securities of each identified class of securities as may from time to time be sold at indeterminate prices.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Rule 457(n), no separate fee is payable with respect to the guarantee.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713"/>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9"/>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bullet"/>
      <w:start w:val="1"/>
    </w:lvl>
  </w:abstractNum>
  <w:abstractNum w:abstractNumId="30">
    <w:nsid w:val="4F4EF005"/>
    <w:multiLevelType w:val="hybridMultilevel"/>
    <w:lvl w:ilvl="0">
      <w:lvlJc w:val="left"/>
      <w:lvlText w:val="%1"/>
      <w:numFmt w:val="decimal"/>
      <w:start w:val="22"/>
    </w:lvl>
  </w:abstractNum>
  <w:abstractNum w:abstractNumId="31">
    <w:nsid w:val="23F9C13C"/>
    <w:multiLevelType w:val="hybridMultilevel"/>
    <w:lvl w:ilvl="0">
      <w:lvlJc w:val="left"/>
      <w:lvlText w:val="%1"/>
      <w:numFmt w:val="decimal"/>
      <w:start w:val="24"/>
    </w:lvl>
  </w:abstractNum>
  <w:abstractNum w:abstractNumId="32">
    <w:nsid w:val="649BB77C"/>
    <w:multiLevelType w:val="hybridMultilevel"/>
    <w:lvl w:ilvl="0">
      <w:lvlJc w:val="left"/>
      <w:lvlText w:val="%1"/>
      <w:numFmt w:val="decimal"/>
      <w:start w:val="107"/>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lowerRoman"/>
      <w:start w:val="2"/>
    </w:lvl>
  </w:abstractNum>
  <w:abstractNum w:abstractNumId="36">
    <w:nsid w:val="180115BE"/>
    <w:multiLevelType w:val="hybridMultilevel"/>
    <w:lvl w:ilvl="0">
      <w:lvlJc w:val="left"/>
      <w:lvlText w:val="(%1)"/>
      <w:numFmt w:val="decimal"/>
      <w:start w:val="2"/>
    </w:lvl>
  </w:abstractNum>
  <w:abstractNum w:abstractNumId="37">
    <w:nsid w:val="235BA861"/>
    <w:multiLevelType w:val="hybridMultilevel"/>
    <w:lvl w:ilvl="0">
      <w:lvlJc w:val="left"/>
      <w:lvlText w:val="(%1)"/>
      <w:numFmt w:val="upperLetter"/>
      <w:start w:val="1"/>
    </w:lvl>
  </w:abstractNum>
  <w:abstractNum w:abstractNumId="38">
    <w:nsid w:val="47398C89"/>
    <w:multiLevelType w:val="hybridMultilevel"/>
    <w:lvl w:ilvl="0">
      <w:lvlJc w:val="left"/>
      <w:lvlText w:val="(%1)"/>
      <w:numFmt w:val="upperLetter"/>
      <w:start w:val="2"/>
    </w:lvl>
  </w:abstractNum>
  <w:abstractNum w:abstractNumId="39">
    <w:nsid w:val="354FE9F9"/>
    <w:multiLevelType w:val="hybridMultilevel"/>
    <w:lvl w:ilvl="0">
      <w:lvlJc w:val="left"/>
      <w:lvlText w:val="(%1)"/>
      <w:numFmt w:val="decimal"/>
      <w:start w:val="5"/>
    </w:lvl>
  </w:abstractNum>
  <w:abstractNum w:abstractNumId="40">
    <w:nsid w:val="15B5AF5C"/>
    <w:multiLevelType w:val="hybridMultilevel"/>
    <w:lvl w:ilvl="0">
      <w:lvlJc w:val="left"/>
      <w:lvlText w:val="%1"/>
      <w:numFmt w:val="lowerLetter"/>
      <w:start w:val="1"/>
    </w:lvl>
    <w:lvl w:ilvl="1">
      <w:lvlJc w:val="left"/>
      <w:lvlText w:val="(%2)"/>
      <w:numFmt w:val="upperLetter"/>
      <w:start w:val="1"/>
    </w:lvl>
  </w:abstractNum>
  <w:abstractNum w:abstractNumId="41">
    <w:nsid w:val="741226BB"/>
    <w:multiLevelType w:val="hybridMultilevel"/>
    <w:lvl w:ilvl="0">
      <w:lvlJc w:val="left"/>
      <w:lvlText w:val="(%1)"/>
      <w:numFmt w:val="lowerLetter"/>
      <w:start w:val="2"/>
    </w:lvl>
    <w:lvl w:ilvl="1">
      <w:lvlJc w:val="left"/>
      <w:lvlText w:val="%2"/>
      <w:numFmt w:val="upperLetter"/>
      <w:start w:val="1"/>
    </w:lvl>
  </w:abstractNum>
  <w:abstractNum w:abstractNumId="42">
    <w:nsid w:val="D34B6A8"/>
    <w:multiLevelType w:val="hybridMultilevel"/>
    <w:lvl w:ilvl="0">
      <w:lvlJc w:val="left"/>
      <w:lvlText w:val="(%1)"/>
      <w:numFmt w:val="lowerLetter"/>
      <w:start w:val="4"/>
    </w:lvl>
  </w:abstractNum>
  <w:abstractNum w:abstractNumId="43">
    <w:nsid w:val="10233C99"/>
    <w:multiLevelType w:val="hybridMultilevel"/>
    <w:lvl w:ilvl="0">
      <w:lvlJc w:val="left"/>
      <w:lvlText w:val="(%1)"/>
      <w:numFmt w:val="lowerRoman"/>
      <w:start w:val="1"/>
    </w:lvl>
  </w:abstractNum>
  <w:abstractNum w:abstractNumId="44">
    <w:nsid w:val="3F6AB60F"/>
    <w:multiLevelType w:val="hybridMultilevel"/>
    <w:lvl w:ilvl="0">
      <w:lvlJc w:val="left"/>
      <w:lvlText w:val="(%1)"/>
      <w:numFmt w:val="lowerRoman"/>
      <w:start w:val="1"/>
    </w:lvl>
  </w:abstractNum>
  <w:abstractNum w:abstractNumId="45">
    <w:nsid w:val="61574095"/>
    <w:multiLevelType w:val="hybridMultilevel"/>
    <w:lvl w:ilvl="0">
      <w:lvlJc w:val="left"/>
      <w:lvlText w:val="(%1)"/>
      <w:numFmt w:val="lowerRoman"/>
      <w:start w:val="6"/>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lowerRoman"/>
      <w:start w:val="2"/>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2"/>
    </w:lvl>
  </w:abstractNum>
  <w:abstractNum w:abstractNumId="50">
    <w:nsid w:val="5FF87E05"/>
    <w:multiLevelType w:val="hybridMultilevel"/>
    <w:lvl w:ilvl="0">
      <w:lvlJc w:val="left"/>
      <w:lvlText w:val="1"/>
      <w:numFmt w:val="bullet"/>
      <w:start w:val="1"/>
    </w:lvl>
  </w:abstractNum>
  <w:abstractNum w:abstractNumId="51">
    <w:nsid w:val="2F305DEF"/>
    <w:multiLevelType w:val="hybridMultilevel"/>
    <w:lvl w:ilvl="0">
      <w:lvlJc w:val="left"/>
      <w:lvlText w:val="2"/>
      <w:numFmt w:val="bullet"/>
      <w:start w:val="1"/>
    </w:lvl>
  </w:abstractNum>
  <w:abstractNum w:abstractNumId="52">
    <w:nsid w:val="25A70BF7"/>
    <w:multiLevelType w:val="hybridMultilevel"/>
    <w:lvl w:ilvl="0">
      <w:lvlJc w:val="left"/>
      <w:lvlText w:val="3"/>
      <w:numFmt w:val="bullet"/>
      <w:start w:val="1"/>
    </w:lvl>
  </w:abstractNum>
  <w:abstractNum w:abstractNumId="53">
    <w:nsid w:val="1DBABF00"/>
    <w:multiLevelType w:val="hybridMultilevel"/>
    <w:lvl w:ilvl="0">
      <w:lvlJc w:val="left"/>
      <w:lvlText w:val="4"/>
      <w:numFmt w:val="bullet"/>
      <w:start w:val="1"/>
    </w:lvl>
  </w:abstractNum>
  <w:abstractNum w:abstractNumId="54">
    <w:nsid w:val="4AD084E9"/>
    <w:multiLevelType w:val="hybridMultilevel"/>
    <w:lvl w:ilvl="0">
      <w:lvlJc w:val="left"/>
      <w:lvlText w:val="5"/>
      <w:numFmt w:val="bullet"/>
      <w:start w:val="1"/>
    </w:lvl>
  </w:abstractNum>
  <w:abstractNum w:abstractNumId="55">
    <w:nsid w:val="1F48EAA1"/>
    <w:multiLevelType w:val="hybridMultilevel"/>
    <w:lvl w:ilvl="0">
      <w:lvlJc w:val="left"/>
      <w:lvlText w:val="6"/>
      <w:numFmt w:val="bullet"/>
      <w:start w:val="1"/>
    </w:lvl>
  </w:abstractNum>
  <w:abstractNum w:abstractNumId="56">
    <w:nsid w:val="1381823A"/>
    <w:multiLevelType w:val="hybridMultilevel"/>
    <w:lvl w:ilvl="0">
      <w:lvlJc w:val="left"/>
      <w:lvlText w:val="1"/>
      <w:numFmt w:val="bullet"/>
      <w:start w:val="1"/>
    </w:lvl>
  </w:abstractNum>
  <w:abstractNum w:abstractNumId="57">
    <w:nsid w:val="5DB70AE5"/>
    <w:multiLevelType w:val="hybridMultilevel"/>
    <w:lvl w:ilvl="0">
      <w:lvlJc w:val="left"/>
      <w:lvlText w:val="2"/>
      <w:numFmt w:val="bullet"/>
      <w:start w:val="1"/>
    </w:lvl>
  </w:abstractNum>
  <w:abstractNum w:abstractNumId="58">
    <w:nsid w:val="100F8FCA"/>
    <w:multiLevelType w:val="hybridMultilevel"/>
    <w:lvl w:ilvl="0">
      <w:lvlJc w:val="left"/>
      <w:lvlText w:val="1"/>
      <w:numFmt w:val="bullet"/>
      <w:start w:val="1"/>
    </w:lvl>
  </w:abstractNum>
  <w:abstractNum w:abstractNumId="59">
    <w:nsid w:val="6590700B"/>
    <w:multiLevelType w:val="hybridMultilevel"/>
    <w:lvl w:ilvl="0">
      <w:lvlJc w:val="left"/>
      <w:lvlText w:val="2"/>
      <w:numFmt w:val="bullet"/>
      <w:start w:val="1"/>
    </w:lvl>
  </w:abstractNum>
  <w:abstractNum w:abstractNumId="60">
    <w:nsid w:val="15014ACB"/>
    <w:multiLevelType w:val="hybridMultilevel"/>
    <w:lvl w:ilvl="0">
      <w:lvlJc w:val="left"/>
      <w:lvlText w:val="3"/>
      <w:numFmt w:val="bullet"/>
      <w:start w:val="1"/>
    </w:lvl>
  </w:abstractNum>
  <w:abstractNum w:abstractNumId="61">
    <w:nsid w:val="5F5E7FD0"/>
    <w:multiLevelType w:val="hybridMultilevel"/>
    <w:lvl w:ilvl="0">
      <w:lvlJc w:val="left"/>
      <w:lvlText w:val="4"/>
      <w:numFmt w:val="bullet"/>
      <w:start w:val="1"/>
    </w:lvl>
  </w:abstractNum>
  <w:abstractNum w:abstractNumId="62">
    <w:nsid w:val="98A3148"/>
    <w:multiLevelType w:val="hybridMultilevel"/>
    <w:lvl w:ilvl="0">
      <w:lvlJc w:val="left"/>
      <w:lvlText w:val="5"/>
      <w:numFmt w:val="bullet"/>
      <w:start w:val="1"/>
    </w:lvl>
  </w:abstractNum>
  <w:abstractNum w:abstractNumId="63">
    <w:nsid w:val="799D0247"/>
    <w:multiLevelType w:val="hybridMultilevel"/>
    <w:lvl w:ilvl="0">
      <w:lvlJc w:val="left"/>
      <w:lvlText w:val="1"/>
      <w:numFmt w:val="bullet"/>
      <w:start w:val="1"/>
    </w:lvl>
  </w:abstractNum>
  <w:abstractNum w:abstractNumId="64">
    <w:nsid w:val="6B94764"/>
    <w:multiLevelType w:val="hybridMultilevel"/>
    <w:lvl w:ilvl="0">
      <w:lvlJc w:val="left"/>
      <w:lvlText w:val="2"/>
      <w:numFmt w:val="bullet"/>
      <w:start w:val="1"/>
    </w:lvl>
  </w:abstractNum>
  <w:abstractNum w:abstractNumId="65">
    <w:nsid w:val="42C296BD"/>
    <w:multiLevelType w:val="hybridMultilevel"/>
    <w:lvl w:ilvl="0">
      <w:lvlJc w:val="left"/>
      <w:lvlText w:val="3"/>
      <w:numFmt w:val="bullet"/>
      <w:start w:val="1"/>
    </w:lvl>
  </w:abstractNum>
  <w:abstractNum w:abstractNumId="66">
    <w:nsid w:val="168E121F"/>
    <w:multiLevelType w:val="hybridMultilevel"/>
    <w:lvl w:ilvl="0">
      <w:lvlJc w:val="left"/>
      <w:lvlText w:val="4"/>
      <w:numFmt w:val="bullet"/>
      <w:start w:val="1"/>
    </w:lvl>
  </w:abstractNum>
  <w:abstractNum w:abstractNumId="67">
    <w:nsid w:val="1EBA5D23"/>
    <w:multiLevelType w:val="hybridMultilevel"/>
    <w:lvl w:ilvl="0">
      <w:lvlJc w:val="left"/>
      <w:lvlText w:val="5"/>
      <w:numFmt w:val="bullet"/>
      <w:start w:val="1"/>
    </w:lvl>
  </w:abstractNum>
  <w:abstractNum w:abstractNumId="68">
    <w:nsid w:val="661E3F1E"/>
    <w:multiLevelType w:val="hybridMultilevel"/>
    <w:lvl w:ilvl="0">
      <w:lvlJc w:val="left"/>
      <w:lvlText w:val="(%1)"/>
      <w:numFmt w:val="lowerRoman"/>
      <w:start w:val="2"/>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1."/>
      <w:numFmt w:val="decimal"/>
      <w:start w:val="1"/>
    </w:lvl>
    <w:lvl w:ilvl="1">
      <w:lvlJc w:val="left"/>
      <w:lvlText w:val="(%2)"/>
      <w:numFmt w:val="lowerLetter"/>
      <w:start w:val="1"/>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1."/>
      <w:numFmt w:val="decimal"/>
      <w:start w:val="2"/>
    </w:lvl>
  </w:abstractNum>
  <w:abstractNum w:abstractNumId="73">
    <w:nsid w:val="613EFDC5"/>
    <w:multiLevelType w:val="hybridMultilevel"/>
    <w:lvl w:ilvl="0">
      <w:lvlJc w:val="left"/>
      <w:lvlText w:val="%1."/>
      <w:numFmt w:val="decimal"/>
      <w:start w:val="16"/>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4"/>
    </w:lvl>
  </w:abstractNum>
  <w:abstractNum w:abstractNumId="76">
    <w:nsid w:val="42963E5A"/>
    <w:multiLevelType w:val="hybridMultilevel"/>
    <w:lvl w:ilvl="0">
      <w:lvlJc w:val="left"/>
      <w:lvlText w:val="%1."/>
      <w:numFmt w:val="decimal"/>
      <w:start w:val="6"/>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jpeg"/><Relationship Id="rId86" Type="http://schemas.openxmlformats.org/officeDocument/2006/relationships/image" Target="media/image67.jpeg"/><Relationship Id="rId87" Type="http://schemas.openxmlformats.org/officeDocument/2006/relationships/image" Target="media/image68.jpeg"/><Relationship Id="rId88" Type="http://schemas.openxmlformats.org/officeDocument/2006/relationships/image" Target="media/image69.png"/><Relationship Id="rId89" Type="http://schemas.openxmlformats.org/officeDocument/2006/relationships/image" Target="media/image70.jpeg"/><Relationship Id="rId90" Type="http://schemas.openxmlformats.org/officeDocument/2006/relationships/image" Target="media/image71.png"/><Relationship Id="rId91" Type="http://schemas.openxmlformats.org/officeDocument/2006/relationships/image" Target="media/image72.jpe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jpeg"/><Relationship Id="rId95" Type="http://schemas.openxmlformats.org/officeDocument/2006/relationships/image" Target="media/image76.png"/><Relationship Id="rId96" Type="http://schemas.openxmlformats.org/officeDocument/2006/relationships/image" Target="media/image77.jpeg"/><Relationship Id="rId97" Type="http://schemas.openxmlformats.org/officeDocument/2006/relationships/image" Target="media/image78.png"/><Relationship Id="rId98" Type="http://schemas.openxmlformats.org/officeDocument/2006/relationships/image" Target="media/image79.jpeg"/><Relationship Id="rId99" Type="http://schemas.openxmlformats.org/officeDocument/2006/relationships/image" Target="media/image80.png"/><Relationship Id="rId100" Type="http://schemas.openxmlformats.org/officeDocument/2006/relationships/image" Target="media/image81.jpe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jpeg"/><Relationship Id="rId104" Type="http://schemas.openxmlformats.org/officeDocument/2006/relationships/image" Target="media/image85.png"/><Relationship Id="rId105" Type="http://schemas.openxmlformats.org/officeDocument/2006/relationships/image" Target="media/image86.jpeg"/><Relationship Id="rId106" Type="http://schemas.openxmlformats.org/officeDocument/2006/relationships/image" Target="media/image87.png"/><Relationship Id="rId107" Type="http://schemas.openxmlformats.org/officeDocument/2006/relationships/image" Target="media/image88.jpeg"/><Relationship Id="rId108" Type="http://schemas.openxmlformats.org/officeDocument/2006/relationships/image" Target="media/image89.png"/><Relationship Id="rId109" Type="http://schemas.openxmlformats.org/officeDocument/2006/relationships/image" Target="media/image90.jpe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28" Type="http://schemas.openxmlformats.org/officeDocument/2006/relationships/hyperlink" Target="http://www.sec.gov/ix?doc=/Archives/edgar/data/0000087347/000156459023000762/slb-10k_20221231.htm" TargetMode="External"/><Relationship Id="rId29" Type="http://schemas.openxmlformats.org/officeDocument/2006/relationships/hyperlink" Target="http://www.sec.gov/ix?doc=/Archives/edgar/data/0000087347/000130817923000057/slb-20221231.htm" TargetMode="External"/><Relationship Id="rId30" Type="http://schemas.openxmlformats.org/officeDocument/2006/relationships/hyperlink" Target="http://www.sec.gov/ix?doc=/Archives/edgar/data/87347/000095017023014656/slb-20230331.htm" TargetMode="External"/><Relationship Id="rId32" Type="http://schemas.openxmlformats.org/officeDocument/2006/relationships/hyperlink" Target="http://www.sec.gov/ix?doc=/Archives/edgar/data/0000087347/000119312523092724/d452417d8k.htm" TargetMode="External"/><Relationship Id="rId33" Type="http://schemas.openxmlformats.org/officeDocument/2006/relationships/hyperlink" Target="http://www.sec.gov/ix?doc=/Archives/edgar/data/0000087347/000119312523103678/d489792d8k.htm" TargetMode="External"/><Relationship Id="rId34" Type="http://schemas.openxmlformats.org/officeDocument/2006/relationships/hyperlink" Target="http://www.sec.gov/ix?doc=/Archives/edgar/data/87347/000119312523110532/d470769d8k.htm" TargetMode="External"/><Relationship Id="rId64" Type="http://schemas.openxmlformats.org/officeDocument/2006/relationships/hyperlink" Target="http://www.sec.gov/Archives/edgar/data/87347/000119312516532046/d176097dex31.htm" TargetMode="External"/><Relationship Id="rId65" Type="http://schemas.openxmlformats.org/officeDocument/2006/relationships/hyperlink" Target="http://www.sec.gov/Archives/edgar/data/87347/000119312523110532/d470769dex3.htm" TargetMode="External"/><Relationship Id="rId66" Type="http://schemas.openxmlformats.org/officeDocument/2006/relationships/hyperlink" Target="http://www.sec.gov/Archives/edgar/data/87347/000119312513346708/d527282dex33.htm" TargetMode="External"/><Relationship Id="rId67" Type="http://schemas.openxmlformats.org/officeDocument/2006/relationships/hyperlink" Target="http://www.sec.gov/Archives/edgar/data/87347/000119312513460494/d637672dex41.htm" TargetMode="External"/><Relationship Id="rId68" Type="http://schemas.openxmlformats.org/officeDocument/2006/relationships/hyperlink" Target="http://www.sec.gov/Archives/edgar/data/87347/000119312520180957/d925505dex41.htm" TargetMode="External"/><Relationship Id="rId69" Type="http://schemas.openxmlformats.org/officeDocument/2006/relationships/hyperlink" Target="http://www.sec.gov/Archives/edgar/data/87347/000156459023000762/slb-ex22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2023-05-08T07:49:30Z</dcterms:created>
  <dcterms:modified xsi:type="dcterms:W3CDTF">2023-05-08T07:49:30Z</dcterms:modified>
</cp:coreProperties>
</file>