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Schlumberger N.V.</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jc w:val="right"/>
        <w:spacing w:after="0" w:line="235" w:lineRule="auto"/>
        <w:rPr>
          <w:sz w:val="20"/>
          <w:szCs w:val="20"/>
          <w:color w:val="auto"/>
        </w:rPr>
      </w:pPr>
      <w:r>
        <w:rPr>
          <w:rFonts w:ascii="Arial" w:cs="Arial" w:eastAsia="Arial" w:hAnsi="Arial"/>
          <w:sz w:val="18"/>
          <w:szCs w:val="18"/>
          <w:color w:val="auto"/>
        </w:rPr>
        <w:t>under the Securities Exchange Act of 1934</w:t>
      </w:r>
    </w:p>
    <w:p>
      <w:pPr>
        <w:jc w:val="right"/>
        <w:spacing w:after="0" w:line="235" w:lineRule="auto"/>
        <w:rPr>
          <w:sz w:val="20"/>
          <w:szCs w:val="20"/>
          <w:color w:val="auto"/>
        </w:rPr>
      </w:pPr>
      <w:r>
        <w:rPr>
          <w:rFonts w:ascii="Arial" w:cs="Arial" w:eastAsia="Arial" w:hAnsi="Arial"/>
          <w:sz w:val="18"/>
          <w:szCs w:val="18"/>
          <w:color w:val="auto"/>
        </w:rPr>
        <w:t>Subject Company: ChampionX Corporation</w:t>
      </w:r>
    </w:p>
    <w:p>
      <w:pPr>
        <w:jc w:val="right"/>
        <w:spacing w:after="0" w:line="235" w:lineRule="auto"/>
        <w:rPr>
          <w:sz w:val="20"/>
          <w:szCs w:val="20"/>
          <w:color w:val="auto"/>
        </w:rPr>
      </w:pPr>
      <w:r>
        <w:rPr>
          <w:rFonts w:ascii="Arial" w:cs="Arial" w:eastAsia="Arial" w:hAnsi="Arial"/>
          <w:sz w:val="18"/>
          <w:szCs w:val="18"/>
          <w:color w:val="auto"/>
        </w:rPr>
        <w:t>Filer’s SEC File No.: 001-38441</w:t>
      </w:r>
    </w:p>
    <w:p>
      <w:pPr>
        <w:jc w:val="right"/>
        <w:spacing w:after="0"/>
        <w:rPr>
          <w:sz w:val="20"/>
          <w:szCs w:val="20"/>
          <w:color w:val="auto"/>
        </w:rPr>
      </w:pPr>
      <w:r>
        <w:rPr>
          <w:rFonts w:ascii="Arial" w:cs="Arial" w:eastAsia="Arial" w:hAnsi="Arial"/>
          <w:sz w:val="18"/>
          <w:szCs w:val="18"/>
          <w:color w:val="auto"/>
        </w:rPr>
        <w:t>Date: April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229235</wp:posOffset>
            </wp:positionV>
            <wp:extent cx="3909060"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09060"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ind w:right="60" w:firstLine="440"/>
        <w:spacing w:after="0" w:line="271" w:lineRule="auto"/>
        <w:rPr>
          <w:sz w:val="20"/>
          <w:szCs w:val="20"/>
          <w:color w:val="auto"/>
        </w:rPr>
      </w:pPr>
      <w:r>
        <w:rPr>
          <w:rFonts w:ascii="Arial" w:cs="Arial" w:eastAsia="Arial" w:hAnsi="Arial"/>
          <w:sz w:val="18"/>
          <w:szCs w:val="18"/>
          <w:color w:val="auto"/>
        </w:rPr>
        <w:t>Like many of you, I am thrilled about the announcement of our two recent acquisitions and eagerly anticipate the value we will create for our customers all over the world, and for SLB, once these are fully closed.</w:t>
      </w:r>
    </w:p>
    <w:p>
      <w:pPr>
        <w:spacing w:after="0" w:line="154" w:lineRule="exact"/>
        <w:rPr>
          <w:sz w:val="24"/>
          <w:szCs w:val="24"/>
          <w:color w:val="auto"/>
        </w:rPr>
      </w:pPr>
    </w:p>
    <w:p>
      <w:pPr>
        <w:ind w:right="100" w:firstLine="440"/>
        <w:spacing w:after="0" w:line="253" w:lineRule="auto"/>
        <w:rPr>
          <w:sz w:val="20"/>
          <w:szCs w:val="20"/>
          <w:color w:val="auto"/>
        </w:rPr>
      </w:pPr>
      <w:r>
        <w:rPr>
          <w:rFonts w:ascii="Arial" w:cs="Arial" w:eastAsia="Arial" w:hAnsi="Arial"/>
          <w:sz w:val="18"/>
          <w:szCs w:val="18"/>
          <w:color w:val="auto"/>
        </w:rPr>
        <w:t xml:space="preserve">Specifically, we’ve recently announced the intent to acquire majority ownership in </w:t>
      </w:r>
      <w:r>
        <w:rPr>
          <w:rFonts w:ascii="Arial" w:cs="Arial" w:eastAsia="Arial" w:hAnsi="Arial"/>
          <w:sz w:val="18"/>
          <w:szCs w:val="18"/>
          <w:u w:val="single" w:color="auto"/>
          <w:color w:val="auto"/>
        </w:rPr>
        <w:t>Aker Carbon Capture</w:t>
      </w:r>
      <w:r>
        <w:rPr>
          <w:rFonts w:ascii="Arial" w:cs="Arial" w:eastAsia="Arial" w:hAnsi="Arial"/>
          <w:sz w:val="18"/>
          <w:szCs w:val="18"/>
          <w:color w:val="auto"/>
        </w:rPr>
        <w:t>, which further underscores our commitment to supporting global net-zero emissions efforts through our technology. For our customers, it means we’ll be able to drive industrial decarbonization and accelerate more accessible and affordable carbon capture solutions.</w:t>
      </w:r>
    </w:p>
    <w:p>
      <w:pPr>
        <w:spacing w:after="0" w:line="169" w:lineRule="exact"/>
        <w:rPr>
          <w:sz w:val="24"/>
          <w:szCs w:val="24"/>
          <w:color w:val="auto"/>
        </w:rPr>
      </w:pPr>
    </w:p>
    <w:p>
      <w:pPr>
        <w:ind w:right="200" w:firstLine="440"/>
        <w:spacing w:after="0" w:line="301" w:lineRule="auto"/>
        <w:rPr>
          <w:sz w:val="20"/>
          <w:szCs w:val="20"/>
          <w:color w:val="auto"/>
        </w:rPr>
      </w:pPr>
      <w:r>
        <w:rPr>
          <w:rFonts w:ascii="Arial" w:cs="Arial" w:eastAsia="Arial" w:hAnsi="Arial"/>
          <w:sz w:val="17"/>
          <w:szCs w:val="17"/>
          <w:color w:val="auto"/>
        </w:rPr>
        <w:t xml:space="preserve">The acquisition of </w:t>
      </w:r>
      <w:r>
        <w:rPr>
          <w:rFonts w:ascii="Arial" w:cs="Arial" w:eastAsia="Arial" w:hAnsi="Arial"/>
          <w:sz w:val="17"/>
          <w:szCs w:val="17"/>
          <w:u w:val="single" w:color="auto"/>
          <w:color w:val="auto"/>
        </w:rPr>
        <w:t>ChampionX</w:t>
      </w:r>
      <w:r>
        <w:rPr>
          <w:rFonts w:ascii="Arial" w:cs="Arial" w:eastAsia="Arial" w:hAnsi="Arial"/>
          <w:sz w:val="17"/>
          <w:szCs w:val="17"/>
          <w:color w:val="auto"/>
        </w:rPr>
        <w:t>, announced on Tuesday, fully aligns with a key element of our long-term strategy, which is to strengthen our production and recovery portfolio. I am excited about the opportunities this could yield when the transaction is completed.</w:t>
      </w:r>
    </w:p>
    <w:p>
      <w:pPr>
        <w:spacing w:after="0" w:line="131" w:lineRule="exact"/>
        <w:rPr>
          <w:sz w:val="24"/>
          <w:szCs w:val="24"/>
          <w:color w:val="auto"/>
        </w:rPr>
      </w:pPr>
    </w:p>
    <w:p>
      <w:pPr>
        <w:ind w:right="60" w:firstLine="440"/>
        <w:spacing w:after="0" w:line="253" w:lineRule="auto"/>
        <w:rPr>
          <w:sz w:val="20"/>
          <w:szCs w:val="20"/>
          <w:color w:val="auto"/>
        </w:rPr>
      </w:pPr>
      <w:r>
        <w:rPr>
          <w:rFonts w:ascii="Arial" w:cs="Arial" w:eastAsia="Arial" w:hAnsi="Arial"/>
          <w:sz w:val="18"/>
          <w:szCs w:val="18"/>
          <w:color w:val="auto"/>
        </w:rPr>
        <w:t>All in all, I see an exciting future for our people, our customers, and the industry. Combining our complementary portfolios will enable us to accelerate our customers’ performance, addressing their production and decarbonization challenges holistically. And it’s all made possible by merging these elements with our talented people, for whom new synergies will create new growth opportunities.</w:t>
      </w:r>
    </w:p>
    <w:p>
      <w:pPr>
        <w:spacing w:after="0" w:line="169" w:lineRule="exact"/>
        <w:rPr>
          <w:sz w:val="24"/>
          <w:szCs w:val="24"/>
          <w:color w:val="auto"/>
        </w:rPr>
      </w:pPr>
    </w:p>
    <w:p>
      <w:pPr>
        <w:ind w:right="200" w:firstLine="440"/>
        <w:spacing w:after="0" w:line="253" w:lineRule="auto"/>
        <w:rPr>
          <w:sz w:val="20"/>
          <w:szCs w:val="20"/>
          <w:color w:val="auto"/>
        </w:rPr>
      </w:pPr>
      <w:r>
        <w:rPr>
          <w:rFonts w:ascii="Arial" w:cs="Arial" w:eastAsia="Arial" w:hAnsi="Arial"/>
          <w:sz w:val="18"/>
          <w:szCs w:val="18"/>
          <w:color w:val="auto"/>
        </w:rPr>
        <w:t xml:space="preserve">In the meantime, it’s business as usual, until the transactions are finalized. Most importantly, adhering to communication guidelines will be crucial—you can find them </w:t>
      </w:r>
      <w:r>
        <w:rPr>
          <w:rFonts w:ascii="Arial" w:cs="Arial" w:eastAsia="Arial" w:hAnsi="Arial"/>
          <w:sz w:val="18"/>
          <w:szCs w:val="18"/>
          <w:u w:val="single" w:color="auto"/>
          <w:color w:val="auto"/>
        </w:rPr>
        <w:t>here</w:t>
      </w:r>
      <w:r>
        <w:rPr>
          <w:rFonts w:ascii="Arial" w:cs="Arial" w:eastAsia="Arial" w:hAnsi="Arial"/>
          <w:sz w:val="18"/>
          <w:szCs w:val="18"/>
          <w:color w:val="auto"/>
        </w:rPr>
        <w:t>. Should you have any inquiries that are not addressed in the provided documentation, please escalate them for further assistance.</w:t>
      </w:r>
    </w:p>
    <w:p>
      <w:pPr>
        <w:spacing w:after="0" w:line="27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SLB to Acquire ChampionX – Disclaimer | SLB</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04" w:lineRule="exact"/>
        <w:rPr>
          <w:sz w:val="24"/>
          <w:szCs w:val="24"/>
          <w:color w:val="auto"/>
        </w:rPr>
      </w:pPr>
    </w:p>
    <w:p>
      <w:pPr>
        <w:ind w:right="140" w:firstLine="440"/>
        <w:spacing w:after="0" w:line="271" w:lineRule="auto"/>
        <w:rPr>
          <w:sz w:val="20"/>
          <w:szCs w:val="20"/>
          <w:color w:val="auto"/>
        </w:rPr>
      </w:pPr>
      <w:r>
        <w:rPr>
          <w:rFonts w:ascii="Arial" w:cs="Arial" w:eastAsia="Arial" w:hAnsi="Arial"/>
          <w:sz w:val="18"/>
          <w:szCs w:val="18"/>
          <w:color w:val="auto"/>
        </w:rPr>
        <w:t>This communication contains forward-looking statements within the meaning of the Private Securities Litigation Reform Act of 1995, Section 27A of the Securities Act of 1933, as amended, and Section 21E of the Exchange Act of 1934, as amended.</w:t>
      </w:r>
    </w:p>
    <w:p>
      <w:pPr>
        <w:spacing w:after="0" w:line="154" w:lineRule="exact"/>
        <w:rPr>
          <w:sz w:val="24"/>
          <w:szCs w:val="24"/>
          <w:color w:val="auto"/>
        </w:rPr>
      </w:pPr>
    </w:p>
    <w:p>
      <w:pPr>
        <w:ind w:right="160" w:firstLine="440"/>
        <w:spacing w:after="0" w:line="238" w:lineRule="auto"/>
        <w:rPr>
          <w:sz w:val="20"/>
          <w:szCs w:val="20"/>
          <w:color w:val="auto"/>
        </w:rPr>
      </w:pPr>
      <w:r>
        <w:rPr>
          <w:rFonts w:ascii="Arial" w:cs="Arial" w:eastAsia="Arial" w:hAnsi="Arial"/>
          <w:sz w:val="18"/>
          <w:szCs w:val="18"/>
          <w:color w:val="auto"/>
        </w:rPr>
        <w:t>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w:t>
      </w:r>
    </w:p>
    <w:p>
      <w:pPr>
        <w:sectPr>
          <w:pgSz w:w="11900" w:h="16838" w:orient="portrait"/>
          <w:cols w:equalWidth="0" w:num="1">
            <w:col w:w="11020"/>
          </w:cols>
          <w:pgMar w:left="440" w:top="229"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 on January 24, 2024, and Part 1, “Item 1A. Risk Factors” in ChampionX’s Annual Report on Form 10-K for the year ended December 31, 2023 filed with the SEC on February 6, 2024, and each of their respective, subsequent Quarterly Reports on Form 10-Q and Current Reports on Form 8-K.</w:t>
      </w:r>
    </w:p>
    <w:p>
      <w:pPr>
        <w:spacing w:after="0" w:line="185" w:lineRule="exact"/>
        <w:rPr>
          <w:sz w:val="20"/>
          <w:szCs w:val="20"/>
          <w:color w:val="auto"/>
        </w:rPr>
      </w:pPr>
    </w:p>
    <w:p>
      <w:pPr>
        <w:ind w:firstLine="440"/>
        <w:spacing w:after="0" w:line="236" w:lineRule="auto"/>
        <w:rPr>
          <w:sz w:val="20"/>
          <w:szCs w:val="20"/>
          <w:color w:val="auto"/>
        </w:rPr>
      </w:pPr>
      <w:r>
        <w:rPr>
          <w:rFonts w:ascii="Arial" w:cs="Arial" w:eastAsia="Arial" w:hAnsi="Arial"/>
          <w:sz w:val="18"/>
          <w:szCs w:val="18"/>
          <w:color w:val="auto"/>
        </w:rPr>
        <w:t>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w:t>
      </w:r>
    </w:p>
    <w:p>
      <w:pPr>
        <w:spacing w:after="0" w:line="190" w:lineRule="exact"/>
        <w:rPr>
          <w:sz w:val="20"/>
          <w:szCs w:val="20"/>
          <w:color w:val="auto"/>
        </w:rPr>
      </w:pPr>
    </w:p>
    <w:p>
      <w:pPr>
        <w:ind w:firstLine="440"/>
        <w:spacing w:after="0" w:line="239" w:lineRule="auto"/>
        <w:rPr>
          <w:sz w:val="20"/>
          <w:szCs w:val="20"/>
          <w:color w:val="auto"/>
        </w:rPr>
      </w:pPr>
      <w:r>
        <w:rPr>
          <w:rFonts w:ascii="Arial" w:cs="Arial" w:eastAsia="Arial" w:hAnsi="Arial"/>
          <w:sz w:val="18"/>
          <w:szCs w:val="18"/>
          <w:color w:val="auto"/>
        </w:rPr>
        <w:t>These risks, as well as other risks related to the proposed transaction, will be included in the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Transaction and Where to Find It</w:t>
      </w:r>
    </w:p>
    <w:p>
      <w:pPr>
        <w:spacing w:after="0" w:line="104" w:lineRule="exact"/>
        <w:rPr>
          <w:sz w:val="20"/>
          <w:szCs w:val="20"/>
          <w:color w:val="auto"/>
        </w:rPr>
      </w:pPr>
    </w:p>
    <w:p>
      <w:pPr>
        <w:ind w:right="680" w:firstLine="440"/>
        <w:spacing w:after="0" w:line="253" w:lineRule="auto"/>
        <w:rPr>
          <w:sz w:val="20"/>
          <w:szCs w:val="20"/>
          <w:color w:val="auto"/>
        </w:rPr>
      </w:pPr>
      <w:r>
        <w:rPr>
          <w:rFonts w:ascii="Arial" w:cs="Arial" w:eastAsia="Arial" w:hAnsi="Arial"/>
          <w:sz w:val="18"/>
          <w:szCs w:val="18"/>
          <w:color w:val="auto"/>
        </w:rPr>
        <w:t>In connection with the proposed transaction, SLB intends to file with the Securities and Exchange Commission (the “SEC”) a registration statement on Form S-4 (the “Form S-4”) that will include a proxy statement of ChampionX and that also constitutes a prospectus of SLB with respect to the shares of SLB to be issued in the</w:t>
      </w:r>
    </w:p>
    <w:p>
      <w:pPr>
        <w:sectPr>
          <w:pgSz w:w="11900" w:h="16838" w:orient="portrait"/>
          <w:cols w:equalWidth="0" w:num="1">
            <w:col w:w="11000"/>
          </w:cols>
          <w:pgMar w:left="440" w:top="269" w:right="459" w:bottom="1440" w:gutter="0" w:footer="0" w:header="0"/>
        </w:sectPr>
      </w:pPr>
    </w:p>
    <w:bookmarkStart w:id="2" w:name="page3"/>
    <w:bookmarkEnd w:id="2"/>
    <w:p>
      <w:pPr>
        <w:ind w:right="4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proposed transaction (the “proxy statement/prospectus”).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04" w:lineRule="exact"/>
        <w:rPr>
          <w:sz w:val="20"/>
          <w:szCs w:val="20"/>
          <w:color w:val="auto"/>
        </w:rPr>
      </w:pPr>
    </w:p>
    <w:p>
      <w:pPr>
        <w:ind w:firstLine="440"/>
        <w:spacing w:after="0" w:line="236" w:lineRule="auto"/>
        <w:rPr>
          <w:sz w:val="20"/>
          <w:szCs w:val="20"/>
          <w:color w:val="auto"/>
        </w:rPr>
      </w:pPr>
      <w:r>
        <w:rPr>
          <w:rFonts w:ascii="Arial" w:cs="Arial" w:eastAsia="Arial" w:hAnsi="Arial"/>
          <w:sz w:val="18"/>
          <w:szCs w:val="18"/>
          <w:color w:val="auto"/>
        </w:rPr>
        <w:t>SLB, ChampionX and certain of their respective directors and executive officers may be deemed to be participants in the solicitation of proxies in respect of the proposed transaction. Information about the directors and executive officers of SLB, including a description of their direct or indirect interests, by security holdings or otherwise, is set forth in SLB’s proxy statement for its 2024 Annual General Meeting of Stockholders (https://www.sec.gov/ix?doc=/Archives/edgar/data/0000087347/000130817924000033/lslb2024_def14a.htm), which was filed with the SEC on February 22, 2024, including under the sections entitled “Director Compensation”, “Security Ownership by Management and Our Board”, “Compensation Discussion and Analysis”, “2023 Compensation Decisions and Results”, “Elements of 2023 Total Compensation”, “Long-Term Equity Incentive Awards”, “Executive Compensation Tables”, “Grants of Plan-Based Awards in 2023”, “Outstanding Equity Awards at Year-End 2023”, “Potential Payments Upon Termination or Change in Control” and “Pay vs. Performance Comparison”, and SLB’s Annual Report on Form 10-K for the fiscal year ended December 31, 2023 (https://www.sec.gov/ix?doc=/Archives/edgar/data/0000087347/000095017024006884/slb-20231231.htm), which was filed with the SEC on January 24,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Information about the directors and executive officers of ChampionX, including a description of their direct or indirect interests, by security holdings or otherwise, is set forth in ChampionX’s proxy statement for its 2024 Annual Meeting of Shareholders (https://www.sec.gov/ix? doc=/Archives/edgar/data/0001723089/000172308924000079/championx-20240401.htm), which was filed with the SEC on April 3, 2024, including under the sections entitled “Executive Compensation Highlights”, “Director Compensation”, “2023 Director Compensation Table”, “Security Ownership of Certain Beneficial Owners and Management”, “Compensation Discussion and Analysis”, “Key Compensation Overview for 2023”, “Elements of Our Executive Compensation Program”, “Long-Term Equity Incentive Compensation”, “Additional Executive Compensation Governance Considerations”, “Executive Compensation Tables”, “Potential Payments upon Termination or Change-in-Control”, “Pay-versus-Performance” and ChampionX’s Annual Report on Form 10-K for the fiscal year ended December 31, 2023 (https://www.sec.gov/ix?doc=/Archives/edgar/data/1723089/000172308924000011/championx-20231231.htm), which was filed with the SEC on February 6,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You may obtain free copies of these documents from SLB or ChampionX using the sources indicated above.</w:t>
      </w:r>
    </w:p>
    <w:sectPr>
      <w:pgSz w:w="11900" w:h="16838" w:orient="portrait"/>
      <w:cols w:equalWidth="0" w:num="1">
        <w:col w:w="11000"/>
      </w:cols>
      <w:pgMar w:left="440" w:top="26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2024-04-08T16:27:04Z</dcterms:created>
  <dcterms:modified xsi:type="dcterms:W3CDTF">2024-04-08T16:27:04Z</dcterms:modified>
</cp:coreProperties>
</file>