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60"/>
        <w:spacing w:after="0"/>
        <w:rPr>
          <w:sz w:val="20"/>
          <w:szCs w:val="20"/>
          <w:color w:val="auto"/>
        </w:rPr>
      </w:pPr>
      <w:r>
        <w:rPr>
          <w:rFonts w:ascii="Arial" w:cs="Arial" w:eastAsia="Arial" w:hAnsi="Arial"/>
          <w:sz w:val="19"/>
          <w:szCs w:val="19"/>
          <w:b w:val="1"/>
          <w:bCs w:val="1"/>
          <w:color w:val="auto"/>
        </w:rPr>
        <w:t>Date of Report (Date of earliest event reported): December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LIMITED)</w:t>
      </w: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2.05 Costs Associated with Exit or Disposal Activities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December 1, 2015, Schlumberger Limited (“Schlumberger”) announced that it will further reduce its workforce in light of expected reduced activity for 2016 and to streamline its support structure. As a result, Schlumberger currently expects to record a pre-tax restructuring charge in the fourth quarter of 2015 that is estimated to be approximately $350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7.01 Regulation FD Disclosure</w:t>
      </w:r>
      <w:r>
        <w:rPr>
          <w:rFonts w:ascii="Arial" w:cs="Arial" w:eastAsia="Arial" w:hAnsi="Arial"/>
          <w:sz w:val="18"/>
          <w:szCs w:val="18"/>
          <w:b w:val="1"/>
          <w:bCs w:val="1"/>
          <w:color w:val="auto"/>
        </w:rPr>
        <w:t>.</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December 1, 2015, Patrick Schorn, President, Operations &amp; Integration of Schlumberger, presented at the Cowen and Company Ultimate Energy Conference in New York, New York, to discuss, among other things, the current business outlook. The presentation and slides are available on the Schlumberger Investor Relations website at http://investorcenter.slb.com/phoenix.zhtml?c=97513&amp;p=irol-presentations and at http://www.slb.com/news/presentations.aspx.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w:t>
      </w:r>
    </w:p>
    <w:p>
      <w:pPr>
        <w:spacing w:after="0" w:line="18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Forward-looking statements by their nature address matters that are, to varying degrees, uncertain, such as statements about our financial and performance targets and other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integration of Cameron into our business;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satisfaction of the closing conditions to the Cameron merger; the risk that the contemplated Cameron merger will not occur, negative effects from the pendency of the contemplated Cameron merger, the inability after the closing of the Cameron merger to successfully integrate the merged businesses and to realize expected synergies, the inability to retain key employees; expenses for the merger; and other risks and uncertainties detailed in our most recent Form 10-K filed with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attached presentation, and Schlumberger disclaims any intention or obligation to update publicly or revise such statements, whether as a result of new information, future events or otherwise.</w:t>
      </w:r>
    </w:p>
    <w:p>
      <w:pPr>
        <w:sectPr>
          <w:pgSz w:w="11900" w:h="16838" w:orient="portrait"/>
          <w:cols w:equalWidth="0" w:num="1">
            <w:col w:w="11420"/>
          </w:cols>
          <w:pgMar w:left="240" w:top="270"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 2015</w:t>
      </w:r>
    </w:p>
    <w:sectPr>
      <w:pgSz w:w="11900" w:h="16838" w:orient="portrait"/>
      <w:cols w:equalWidth="0" w:num="1">
        <w:col w:w="10660"/>
      </w:cols>
      <w:pgMar w:left="2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2019-12-05T15:04:05Z</dcterms:created>
  <dcterms:modified xsi:type="dcterms:W3CDTF">2019-12-05T15:04:05Z</dcterms:modified>
</cp:coreProperties>
</file>