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As filed with the Securities and Exchange Commission on April 25,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134620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REGISTRATION STATEMENT</w:t>
      </w:r>
    </w:p>
    <w:p>
      <w:pPr>
        <w:jc w:val="center"/>
        <w:ind w:right="-7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left="1000" w:right="1260"/>
        <w:spacing w:after="0" w:line="249" w:lineRule="auto"/>
        <w:rPr>
          <w:sz w:val="20"/>
          <w:szCs w:val="20"/>
          <w:color w:val="auto"/>
        </w:rPr>
      </w:pPr>
      <w:r>
        <w:rPr>
          <w:rFonts w:ascii="Arial" w:cs="Arial" w:eastAsia="Arial" w:hAnsi="Arial"/>
          <w:sz w:val="43"/>
          <w:szCs w:val="43"/>
          <w:b w:val="1"/>
          <w:bCs w:val="1"/>
          <w:color w:val="auto"/>
        </w:rPr>
        <w:t>SCHLUMBERGER N.V. (SCHLUMBERGER LIMITED) SCHLUMBERGER INVESTMENT SA</w:t>
      </w:r>
    </w:p>
    <w:p>
      <w:pPr>
        <w:spacing w:after="0" w:line="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140"/>
        <w:spacing w:after="0"/>
        <w:tabs>
          <w:tab w:leader="none" w:pos="7480" w:val="left"/>
        </w:tabs>
        <w:rPr>
          <w:sz w:val="20"/>
          <w:szCs w:val="20"/>
          <w:color w:val="auto"/>
        </w:rPr>
      </w:pPr>
      <w:r>
        <w:rPr>
          <w:rFonts w:ascii="Arial" w:cs="Arial" w:eastAsia="Arial" w:hAnsi="Arial"/>
          <w:sz w:val="18"/>
          <w:szCs w:val="18"/>
          <w:b w:val="1"/>
          <w:bCs w:val="1"/>
          <w:color w:val="auto"/>
        </w:rPr>
        <w:t>Schlumberger Limited</w:t>
      </w:r>
      <w:r>
        <w:rPr>
          <w:sz w:val="20"/>
          <w:szCs w:val="20"/>
          <w:color w:val="auto"/>
        </w:rPr>
        <w:tab/>
      </w:r>
      <w:r>
        <w:rPr>
          <w:rFonts w:ascii="Arial" w:cs="Arial" w:eastAsia="Arial" w:hAnsi="Arial"/>
          <w:sz w:val="16"/>
          <w:szCs w:val="16"/>
          <w:b w:val="1"/>
          <w:bCs w:val="1"/>
          <w:color w:val="auto"/>
        </w:rPr>
        <w:t>Schlumberger Investment SA</w:t>
      </w:r>
    </w:p>
    <w:p>
      <w:pPr>
        <w:spacing w:after="0" w:line="27" w:lineRule="exact"/>
        <w:rPr>
          <w:sz w:val="24"/>
          <w:szCs w:val="24"/>
          <w:color w:val="auto"/>
        </w:rPr>
      </w:pPr>
    </w:p>
    <w:p>
      <w:pPr>
        <w:ind w:left="2680"/>
        <w:spacing w:after="0"/>
        <w:tabs>
          <w:tab w:leader="none" w:pos="8120" w:val="left"/>
        </w:tabs>
        <w:rPr>
          <w:sz w:val="20"/>
          <w:szCs w:val="20"/>
          <w:color w:val="auto"/>
        </w:rPr>
      </w:pPr>
      <w:r>
        <w:rPr>
          <w:rFonts w:ascii="Arial" w:cs="Arial" w:eastAsia="Arial" w:hAnsi="Arial"/>
          <w:sz w:val="18"/>
          <w:szCs w:val="18"/>
          <w:b w:val="1"/>
          <w:bCs w:val="1"/>
          <w:color w:val="auto"/>
        </w:rPr>
        <w:t>Curaçao</w:t>
      </w:r>
      <w:r>
        <w:rPr>
          <w:sz w:val="20"/>
          <w:szCs w:val="20"/>
          <w:color w:val="auto"/>
        </w:rPr>
        <w:tab/>
      </w:r>
      <w:r>
        <w:rPr>
          <w:rFonts w:ascii="Arial" w:cs="Arial" w:eastAsia="Arial" w:hAnsi="Arial"/>
          <w:sz w:val="18"/>
          <w:szCs w:val="18"/>
          <w:b w:val="1"/>
          <w:bCs w:val="1"/>
          <w:color w:val="auto"/>
        </w:rPr>
        <w:t>Luxembourg</w:t>
      </w:r>
    </w:p>
    <w:p>
      <w:pPr>
        <w:sectPr>
          <w:pgSz w:w="11900" w:h="16838" w:orient="portrait"/>
          <w:cols w:equalWidth="0" w:num="1">
            <w:col w:w="10680"/>
          </w:cols>
          <w:pgMar w:left="240" w:top="230" w:right="979" w:bottom="1440" w:gutter="0" w:footer="0" w:header="0"/>
        </w:sectPr>
      </w:pPr>
    </w:p>
    <w:p>
      <w:pPr>
        <w:ind w:left="2120"/>
        <w:spacing w:after="0" w:line="225" w:lineRule="auto"/>
        <w:rPr>
          <w:sz w:val="20"/>
          <w:szCs w:val="20"/>
          <w:color w:val="auto"/>
        </w:rPr>
      </w:pPr>
      <w:r>
        <w:rPr>
          <w:rFonts w:ascii="Arial" w:cs="Arial" w:eastAsia="Arial" w:hAnsi="Arial"/>
          <w:sz w:val="14"/>
          <w:szCs w:val="14"/>
          <w:b w:val="1"/>
          <w:bCs w:val="1"/>
          <w:color w:val="auto"/>
        </w:rPr>
        <w:t>(State or other jurisdiction of</w:t>
      </w:r>
    </w:p>
    <w:p>
      <w:pPr>
        <w:ind w:left="2080"/>
        <w:spacing w:after="0" w:line="233" w:lineRule="auto"/>
        <w:rPr>
          <w:sz w:val="20"/>
          <w:szCs w:val="20"/>
          <w:color w:val="auto"/>
        </w:rPr>
      </w:pPr>
      <w:r>
        <w:rPr>
          <w:rFonts w:ascii="Arial" w:cs="Arial" w:eastAsia="Arial" w:hAnsi="Arial"/>
          <w:sz w:val="14"/>
          <w:szCs w:val="14"/>
          <w:b w:val="1"/>
          <w:bCs w:val="1"/>
          <w:color w:val="auto"/>
        </w:rPr>
        <w:t>incorporation or organization)</w:t>
      </w:r>
    </w:p>
    <w:p>
      <w:pPr>
        <w:spacing w:after="0" w:line="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1389</w:t>
      </w:r>
    </w:p>
    <w:p>
      <w:pPr>
        <w:ind w:left="2100"/>
        <w:spacing w:after="0" w:line="222" w:lineRule="auto"/>
        <w:rPr>
          <w:sz w:val="20"/>
          <w:szCs w:val="20"/>
          <w:color w:val="auto"/>
        </w:rPr>
      </w:pPr>
      <w:r>
        <w:rPr>
          <w:rFonts w:ascii="Arial" w:cs="Arial" w:eastAsia="Arial" w:hAnsi="Arial"/>
          <w:sz w:val="14"/>
          <w:szCs w:val="14"/>
          <w:b w:val="1"/>
          <w:bCs w:val="1"/>
          <w:color w:val="auto"/>
        </w:rPr>
        <w:t>(Primary Standard Industrial</w:t>
      </w:r>
    </w:p>
    <w:p>
      <w:pPr>
        <w:ind w:left="2120"/>
        <w:spacing w:after="0" w:line="234" w:lineRule="auto"/>
        <w:rPr>
          <w:sz w:val="20"/>
          <w:szCs w:val="20"/>
          <w:color w:val="auto"/>
        </w:rPr>
      </w:pPr>
      <w:r>
        <w:rPr>
          <w:rFonts w:ascii="Arial" w:cs="Arial" w:eastAsia="Arial" w:hAnsi="Arial"/>
          <w:sz w:val="14"/>
          <w:szCs w:val="14"/>
          <w:b w:val="1"/>
          <w:bCs w:val="1"/>
          <w:color w:val="auto"/>
        </w:rPr>
        <w:t>Classification Code Number)</w:t>
      </w:r>
    </w:p>
    <w:p>
      <w:pPr>
        <w:jc w:val="center"/>
        <w:ind w:right="620"/>
        <w:spacing w:after="0"/>
        <w:rPr>
          <w:sz w:val="20"/>
          <w:szCs w:val="20"/>
          <w:color w:val="auto"/>
        </w:rPr>
      </w:pPr>
      <w:r>
        <w:rPr>
          <w:rFonts w:ascii="Arial" w:cs="Arial" w:eastAsia="Arial" w:hAnsi="Arial"/>
          <w:sz w:val="18"/>
          <w:szCs w:val="18"/>
          <w:b w:val="1"/>
          <w:bCs w:val="1"/>
          <w:color w:val="auto"/>
        </w:rPr>
        <w:t>52-0684746</w:t>
      </w:r>
    </w:p>
    <w:p>
      <w:pPr>
        <w:jc w:val="center"/>
        <w:ind w:right="620"/>
        <w:spacing w:after="0" w:line="222" w:lineRule="auto"/>
        <w:rPr>
          <w:sz w:val="20"/>
          <w:szCs w:val="20"/>
          <w:color w:val="auto"/>
        </w:rPr>
      </w:pPr>
      <w:r>
        <w:rPr>
          <w:rFonts w:ascii="Arial" w:cs="Arial" w:eastAsia="Arial" w:hAnsi="Arial"/>
          <w:sz w:val="14"/>
          <w:szCs w:val="14"/>
          <w:b w:val="1"/>
          <w:bCs w:val="1"/>
          <w:color w:val="auto"/>
        </w:rPr>
        <w:t>(I.R.S. Employer</w:t>
      </w:r>
    </w:p>
    <w:p>
      <w:pPr>
        <w:jc w:val="center"/>
        <w:ind w:right="620"/>
        <w:spacing w:after="0"/>
        <w:rPr>
          <w:sz w:val="20"/>
          <w:szCs w:val="20"/>
          <w:color w:val="auto"/>
        </w:rPr>
      </w:pPr>
      <w:r>
        <w:rPr>
          <w:rFonts w:ascii="Arial" w:cs="Arial" w:eastAsia="Arial" w:hAnsi="Arial"/>
          <w:sz w:val="14"/>
          <w:szCs w:val="14"/>
          <w:b w:val="1"/>
          <w:bCs w:val="1"/>
          <w:color w:val="auto"/>
        </w:rPr>
        <w:t>Identification Number)</w:t>
      </w:r>
    </w:p>
    <w:p>
      <w:pPr>
        <w:spacing w:after="0" w:line="9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42, rue Saint-Dominique</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Paris, France 75007</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33-1-4062-1000</w:t>
      </w:r>
    </w:p>
    <w:p>
      <w:pPr>
        <w:spacing w:after="0" w:line="200" w:lineRule="exact"/>
        <w:rPr>
          <w:sz w:val="24"/>
          <w:szCs w:val="24"/>
          <w:color w:val="auto"/>
        </w:rPr>
      </w:pPr>
    </w:p>
    <w:p>
      <w:pPr>
        <w:spacing w:after="0" w:line="27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5599 San Felipe, 17th Floor</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(713) 375-3400</w:t>
      </w:r>
    </w:p>
    <w:p>
      <w:pPr>
        <w:spacing w:after="0" w:line="234"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Parkstraat 83, The Hague</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31-70-310-5400</w:t>
      </w:r>
    </w:p>
    <w:p>
      <w:pPr>
        <w:jc w:val="center"/>
        <w:ind w:right="620"/>
        <w:spacing w:after="0" w:line="225" w:lineRule="auto"/>
        <w:rPr>
          <w:sz w:val="20"/>
          <w:szCs w:val="20"/>
          <w:color w:val="auto"/>
        </w:rPr>
      </w:pPr>
      <w:r>
        <w:rPr>
          <w:rFonts w:ascii="Arial" w:cs="Arial" w:eastAsia="Arial" w:hAnsi="Arial"/>
          <w:sz w:val="14"/>
          <w:szCs w:val="14"/>
          <w:b w:val="1"/>
          <w:bCs w:val="1"/>
          <w:color w:val="auto"/>
        </w:rPr>
        <w:t>(Address, including zip code, and</w:t>
      </w:r>
    </w:p>
    <w:p>
      <w:pPr>
        <w:jc w:val="center"/>
        <w:ind w:right="620"/>
        <w:spacing w:after="0"/>
        <w:rPr>
          <w:sz w:val="20"/>
          <w:szCs w:val="20"/>
          <w:color w:val="auto"/>
        </w:rPr>
      </w:pPr>
      <w:r>
        <w:rPr>
          <w:rFonts w:ascii="Arial" w:cs="Arial" w:eastAsia="Arial" w:hAnsi="Arial"/>
          <w:sz w:val="13"/>
          <w:szCs w:val="13"/>
          <w:b w:val="1"/>
          <w:bCs w:val="1"/>
          <w:color w:val="auto"/>
        </w:rPr>
        <w:t>telephone number, including area code,</w:t>
      </w:r>
    </w:p>
    <w:p>
      <w:pPr>
        <w:jc w:val="center"/>
        <w:ind w:right="620"/>
        <w:spacing w:after="0"/>
        <w:rPr>
          <w:sz w:val="20"/>
          <w:szCs w:val="20"/>
          <w:color w:val="auto"/>
        </w:rPr>
      </w:pPr>
      <w:r>
        <w:rPr>
          <w:rFonts w:ascii="Arial" w:cs="Arial" w:eastAsia="Arial" w:hAnsi="Arial"/>
          <w:sz w:val="12"/>
          <w:szCs w:val="12"/>
          <w:b w:val="1"/>
          <w:bCs w:val="1"/>
          <w:color w:val="auto"/>
        </w:rPr>
        <w:t>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(713) 375-2000</w:t>
      </w:r>
    </w:p>
    <w:p>
      <w:pPr>
        <w:spacing w:after="0" w:line="20" w:lineRule="exact"/>
        <w:rPr>
          <w:sz w:val="24"/>
          <w:szCs w:val="24"/>
          <w:color w:val="auto"/>
        </w:rPr>
      </w:pPr>
      <w:r>
        <w:rPr>
          <w:sz w:val="24"/>
          <w:szCs w:val="24"/>
          <w:color w:val="auto"/>
        </w:rPr>
        <w:br w:type="column"/>
      </w:r>
    </w:p>
    <w:p>
      <w:pPr>
        <w:ind w:left="360"/>
        <w:spacing w:after="0" w:line="225" w:lineRule="auto"/>
        <w:rPr>
          <w:sz w:val="20"/>
          <w:szCs w:val="20"/>
          <w:color w:val="auto"/>
        </w:rPr>
      </w:pPr>
      <w:r>
        <w:rPr>
          <w:rFonts w:ascii="Arial" w:cs="Arial" w:eastAsia="Arial" w:hAnsi="Arial"/>
          <w:sz w:val="14"/>
          <w:szCs w:val="14"/>
          <w:b w:val="1"/>
          <w:bCs w:val="1"/>
          <w:color w:val="auto"/>
        </w:rPr>
        <w:t>(State or other jurisdiction of</w:t>
      </w:r>
    </w:p>
    <w:p>
      <w:pPr>
        <w:ind w:left="320"/>
        <w:spacing w:after="0" w:line="233" w:lineRule="auto"/>
        <w:rPr>
          <w:sz w:val="20"/>
          <w:szCs w:val="20"/>
          <w:color w:val="auto"/>
        </w:rPr>
      </w:pPr>
      <w:r>
        <w:rPr>
          <w:rFonts w:ascii="Arial" w:cs="Arial" w:eastAsia="Arial" w:hAnsi="Arial"/>
          <w:sz w:val="14"/>
          <w:szCs w:val="14"/>
          <w:b w:val="1"/>
          <w:bCs w:val="1"/>
          <w:color w:val="auto"/>
        </w:rPr>
        <w:t>incorporation or organization)</w:t>
      </w:r>
    </w:p>
    <w:p>
      <w:pPr>
        <w:spacing w:after="0" w:line="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1389</w:t>
      </w:r>
    </w:p>
    <w:p>
      <w:pPr>
        <w:ind w:left="340"/>
        <w:spacing w:after="0" w:line="222" w:lineRule="auto"/>
        <w:rPr>
          <w:sz w:val="20"/>
          <w:szCs w:val="20"/>
          <w:color w:val="auto"/>
        </w:rPr>
      </w:pPr>
      <w:r>
        <w:rPr>
          <w:rFonts w:ascii="Arial" w:cs="Arial" w:eastAsia="Arial" w:hAnsi="Arial"/>
          <w:sz w:val="14"/>
          <w:szCs w:val="14"/>
          <w:b w:val="1"/>
          <w:bCs w:val="1"/>
          <w:color w:val="auto"/>
        </w:rPr>
        <w:t>(Primary Standard Industrial</w:t>
      </w:r>
    </w:p>
    <w:p>
      <w:pPr>
        <w:ind w:left="360"/>
        <w:spacing w:after="0" w:line="234" w:lineRule="auto"/>
        <w:rPr>
          <w:sz w:val="20"/>
          <w:szCs w:val="20"/>
          <w:color w:val="auto"/>
        </w:rPr>
      </w:pPr>
      <w:r>
        <w:rPr>
          <w:rFonts w:ascii="Arial" w:cs="Arial" w:eastAsia="Arial" w:hAnsi="Arial"/>
          <w:sz w:val="14"/>
          <w:szCs w:val="14"/>
          <w:b w:val="1"/>
          <w:bCs w:val="1"/>
          <w:color w:val="auto"/>
        </w:rPr>
        <w:t>Classification Code Number)</w:t>
      </w:r>
    </w:p>
    <w:p>
      <w:pPr>
        <w:jc w:val="center"/>
        <w:ind w:right="780"/>
        <w:spacing w:after="0"/>
        <w:rPr>
          <w:sz w:val="20"/>
          <w:szCs w:val="20"/>
          <w:color w:val="auto"/>
        </w:rPr>
      </w:pPr>
      <w:r>
        <w:rPr>
          <w:rFonts w:ascii="Arial" w:cs="Arial" w:eastAsia="Arial" w:hAnsi="Arial"/>
          <w:sz w:val="18"/>
          <w:szCs w:val="18"/>
          <w:b w:val="1"/>
          <w:bCs w:val="1"/>
          <w:color w:val="auto"/>
        </w:rPr>
        <w:t>00-0000000</w:t>
      </w:r>
    </w:p>
    <w:p>
      <w:pPr>
        <w:jc w:val="center"/>
        <w:ind w:right="780"/>
        <w:spacing w:after="0" w:line="222" w:lineRule="auto"/>
        <w:rPr>
          <w:sz w:val="20"/>
          <w:szCs w:val="20"/>
          <w:color w:val="auto"/>
        </w:rPr>
      </w:pPr>
      <w:r>
        <w:rPr>
          <w:rFonts w:ascii="Arial" w:cs="Arial" w:eastAsia="Arial" w:hAnsi="Arial"/>
          <w:sz w:val="14"/>
          <w:szCs w:val="14"/>
          <w:b w:val="1"/>
          <w:bCs w:val="1"/>
          <w:color w:val="auto"/>
        </w:rPr>
        <w:t>(I.R.S. Employer</w:t>
      </w:r>
    </w:p>
    <w:p>
      <w:pPr>
        <w:jc w:val="center"/>
        <w:ind w:right="780"/>
        <w:spacing w:after="0"/>
        <w:rPr>
          <w:sz w:val="20"/>
          <w:szCs w:val="20"/>
          <w:color w:val="auto"/>
        </w:rPr>
      </w:pPr>
      <w:r>
        <w:rPr>
          <w:rFonts w:ascii="Arial" w:cs="Arial" w:eastAsia="Arial" w:hAnsi="Arial"/>
          <w:sz w:val="14"/>
          <w:szCs w:val="14"/>
          <w:b w:val="1"/>
          <w:bCs w:val="1"/>
          <w:color w:val="auto"/>
        </w:rPr>
        <w:t>Identification Number)</w:t>
      </w:r>
    </w:p>
    <w:p>
      <w:pPr>
        <w:spacing w:after="0" w:line="9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Schlumberger Investment SA</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42-44 Avenue de la Gare</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Luxembourg</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L-1610</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Luxembourg</w:t>
      </w:r>
    </w:p>
    <w:p>
      <w:pPr>
        <w:spacing w:after="0" w:line="23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+3522848781045</w:t>
      </w:r>
    </w:p>
    <w:p>
      <w:pPr>
        <w:spacing w:after="0" w:line="8"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(Address, including zip code, and</w:t>
      </w:r>
    </w:p>
    <w:p>
      <w:pPr>
        <w:jc w:val="center"/>
        <w:ind w:right="780"/>
        <w:spacing w:after="0"/>
        <w:rPr>
          <w:sz w:val="20"/>
          <w:szCs w:val="20"/>
          <w:color w:val="auto"/>
        </w:rPr>
      </w:pPr>
      <w:r>
        <w:rPr>
          <w:rFonts w:ascii="Arial" w:cs="Arial" w:eastAsia="Arial" w:hAnsi="Arial"/>
          <w:sz w:val="13"/>
          <w:szCs w:val="13"/>
          <w:b w:val="1"/>
          <w:bCs w:val="1"/>
          <w:color w:val="auto"/>
        </w:rPr>
        <w:t>telephone number, including area code,</w:t>
      </w:r>
    </w:p>
    <w:p>
      <w:pPr>
        <w:jc w:val="center"/>
        <w:ind w:right="780"/>
        <w:spacing w:after="0"/>
        <w:rPr>
          <w:sz w:val="20"/>
          <w:szCs w:val="20"/>
          <w:color w:val="auto"/>
        </w:rPr>
      </w:pPr>
      <w:r>
        <w:rPr>
          <w:rFonts w:ascii="Arial" w:cs="Arial" w:eastAsia="Arial" w:hAnsi="Arial"/>
          <w:sz w:val="12"/>
          <w:szCs w:val="12"/>
          <w:b w:val="1"/>
          <w:bCs w:val="1"/>
          <w:color w:val="auto"/>
        </w:rPr>
        <w:t>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Andrew L. Fabens</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Gibson, Dunn &amp; Crutcher LLP</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200 Park Avenue</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New York, New York 10166-0193</w:t>
      </w:r>
    </w:p>
    <w:p>
      <w:pPr>
        <w:spacing w:after="0" w:line="3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(212) 351-4000</w:t>
      </w:r>
    </w:p>
    <w:p>
      <w:pPr>
        <w:spacing w:after="0" w:line="2" w:lineRule="exact"/>
        <w:rPr>
          <w:sz w:val="24"/>
          <w:szCs w:val="24"/>
          <w:color w:val="auto"/>
        </w:rPr>
      </w:pPr>
    </w:p>
    <w:p>
      <w:pPr>
        <w:sectPr>
          <w:pgSz w:w="11900" w:h="16838" w:orient="portrait"/>
          <w:cols w:equalWidth="0" w:num="2">
            <w:col w:w="6660" w:space="720"/>
            <w:col w:w="3300"/>
          </w:cols>
          <w:pgMar w:left="240" w:top="230" w:right="979" w:bottom="1440" w:gutter="0" w:footer="0" w:header="0"/>
          <w:type w:val="continuous"/>
        </w:sectPr>
      </w:pPr>
    </w:p>
    <w:p>
      <w:pPr>
        <w:ind w:left="1480"/>
        <w:spacing w:after="0"/>
        <w:rPr>
          <w:sz w:val="20"/>
          <w:szCs w:val="20"/>
          <w:color w:val="auto"/>
        </w:rPr>
      </w:pPr>
      <w:r>
        <w:rPr>
          <w:rFonts w:ascii="Arial" w:cs="Arial" w:eastAsia="Arial" w:hAnsi="Arial"/>
          <w:sz w:val="12"/>
          <w:szCs w:val="12"/>
          <w:b w:val="1"/>
          <w:bCs w:val="1"/>
          <w:color w:val="auto"/>
        </w:rPr>
        <w:t>(Name, address, including zip code, and telephone</w:t>
      </w:r>
    </w:p>
    <w:p>
      <w:pPr>
        <w:spacing w:after="0" w:line="11" w:lineRule="exact"/>
        <w:rPr>
          <w:sz w:val="24"/>
          <w:szCs w:val="24"/>
          <w:color w:val="auto"/>
        </w:rPr>
      </w:pPr>
    </w:p>
    <w:p>
      <w:pPr>
        <w:ind w:left="1500"/>
        <w:spacing w:after="0"/>
        <w:rPr>
          <w:sz w:val="20"/>
          <w:szCs w:val="20"/>
          <w:color w:val="auto"/>
        </w:rPr>
      </w:pPr>
      <w:r>
        <w:rPr>
          <w:rFonts w:ascii="Arial" w:cs="Arial" w:eastAsia="Arial" w:hAnsi="Arial"/>
          <w:sz w:val="12"/>
          <w:szCs w:val="12"/>
          <w:b w:val="1"/>
          <w:bCs w:val="1"/>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233680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680"/>
          </w:cols>
          <w:pgMar w:left="240" w:top="230" w:right="9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80" w:firstLine="441"/>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208915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00" w:right="720" w:firstLine="441"/>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200" w:right="180" w:firstLine="441"/>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left="200" w:right="300" w:firstLine="441"/>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left="200" w:right="20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left="200" w:right="80" w:firstLine="441"/>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200" w:right="720" w:firstLine="441"/>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200" w:right="6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126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18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126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20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6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76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Debt Securities of Schlumberger Investment SA</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95"/>
        </w:trPr>
        <w:tc>
          <w:tcPr>
            <w:tcW w:w="57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8"/>
              </w:rPr>
              <w:t>Guarantees of Senior Debt Securities of Schlumberger Investment SA by</w:t>
            </w:r>
          </w:p>
        </w:tc>
        <w:tc>
          <w:tcPr>
            <w:tcW w:w="17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Schlumberger Limited (3)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right="300" w:hanging="436"/>
        <w:spacing w:after="0" w:line="25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Omitted pursuant to General Instructions II.E of Form S-3. An indeterminate amount of securities of each identified class is being registered as may from time to time be issued at indeterminate prices.</w:t>
      </w: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of the registration fee.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is payable with respect to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194310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334645</wp:posOffset>
            </wp:positionV>
            <wp:extent cx="156908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90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Investment SA</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397510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49" w:lineRule="exact"/>
        <w:rPr>
          <w:sz w:val="20"/>
          <w:szCs w:val="20"/>
          <w:color w:val="auto"/>
        </w:rPr>
      </w:pPr>
    </w:p>
    <w:p>
      <w:pPr>
        <w:ind w:left="200" w:firstLine="441"/>
        <w:spacing w:after="0" w:line="239" w:lineRule="auto"/>
        <w:rPr>
          <w:sz w:val="20"/>
          <w:szCs w:val="20"/>
          <w:color w:val="auto"/>
        </w:rPr>
      </w:pPr>
      <w:r>
        <w:rPr>
          <w:rFonts w:ascii="Arial" w:cs="Arial" w:eastAsia="Arial" w:hAnsi="Arial"/>
          <w:sz w:val="22"/>
          <w:szCs w:val="22"/>
          <w:b w:val="1"/>
          <w:bCs w:val="1"/>
          <w:color w:val="auto"/>
        </w:rPr>
        <w:t>Investing in the securities involves risks. You should consider carefully the risk factors identified in Part I, Item 1A “Risk Factors” of our most recent 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381000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351155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date of this prospectus is April 25, 2019</w:t>
      </w:r>
    </w:p>
    <w:p>
      <w:pPr>
        <w:sectPr>
          <w:pgSz w:w="11900" w:h="16838" w:orient="portrait"/>
          <w:cols w:equalWidth="0" w:num="1">
            <w:col w:w="11200"/>
          </w:cols>
          <w:pgMar w:left="24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900" w:type="dxa"/>
            <w:vAlign w:val="bottom"/>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2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tcPr>
          <w:p>
            <w:pPr>
              <w:jc w:val="right"/>
              <w:ind w:right="4730"/>
              <w:spacing w:after="0"/>
              <w:rPr>
                <w:sz w:val="20"/>
                <w:szCs w:val="20"/>
                <w:color w:val="auto"/>
              </w:rPr>
            </w:pPr>
            <w:r>
              <w:rPr>
                <w:rFonts w:ascii="Arial" w:cs="Arial" w:eastAsia="Arial" w:hAnsi="Arial"/>
                <w:sz w:val="18"/>
                <w:szCs w:val="18"/>
                <w:b w:val="1"/>
                <w:bCs w:val="1"/>
                <w:color w:val="auto"/>
                <w:w w:val="96"/>
              </w:rPr>
              <w:t>Table of contents</w:t>
            </w:r>
          </w:p>
        </w:tc>
      </w:tr>
      <w:tr>
        <w:trPr>
          <w:trHeight w:val="419"/>
        </w:trPr>
        <w:tc>
          <w:tcPr>
            <w:tcW w:w="200" w:type="dxa"/>
            <w:vAlign w:val="bottom"/>
          </w:tcPr>
          <w:p>
            <w:pPr>
              <w:spacing w:after="0"/>
              <w:rPr>
                <w:sz w:val="24"/>
                <w:szCs w:val="24"/>
                <w:color w:val="auto"/>
              </w:rPr>
            </w:pPr>
          </w:p>
        </w:tc>
        <w:tc>
          <w:tcPr>
            <w:tcW w:w="470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About the Guarantor</w:t>
              </w:r>
            </w:hyperlink>
          </w:p>
        </w:tc>
        <w:tc>
          <w:tcPr>
            <w:tcW w:w="80" w:type="dxa"/>
            <w:vAlign w:val="bottom"/>
            <w:tcBorders>
              <w:top w:val="single" w:sz="8" w:color="0000EE"/>
            </w:tcBorders>
          </w:tcPr>
          <w:p>
            <w:pPr>
              <w:spacing w:after="0"/>
              <w:rPr>
                <w:sz w:val="24"/>
                <w:szCs w:val="24"/>
                <w:color w:val="auto"/>
              </w:rPr>
            </w:pPr>
          </w:p>
        </w:tc>
        <w:tc>
          <w:tcPr>
            <w:tcW w:w="3120" w:type="dxa"/>
            <w:vAlign w:val="bottom"/>
            <w:gridSpan w:val="6"/>
          </w:tcPr>
          <w:p>
            <w:pPr>
              <w:spacing w:after="0"/>
              <w:rPr>
                <w:sz w:val="24"/>
                <w:szCs w:val="24"/>
                <w:color w:val="auto"/>
              </w:rPr>
            </w:pPr>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470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the Company</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Where You Can Find More Information</w:t>
              </w:r>
            </w:hyperlink>
          </w:p>
        </w:tc>
        <w:tc>
          <w:tcPr>
            <w:tcW w:w="1820" w:type="dxa"/>
            <w:vAlign w:val="bottom"/>
            <w:gridSpan w:val="3"/>
          </w:tcPr>
          <w:p>
            <w:pPr>
              <w:spacing w:after="0"/>
              <w:rPr>
                <w:sz w:val="24"/>
                <w:szCs w:val="24"/>
                <w:color w:val="auto"/>
              </w:rPr>
            </w:pPr>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0" w:type="dxa"/>
            <w:vAlign w:val="bottom"/>
          </w:tcPr>
          <w:p>
            <w:pPr>
              <w:spacing w:after="0"/>
              <w:rPr>
                <w:sz w:val="24"/>
                <w:szCs w:val="24"/>
                <w:color w:val="auto"/>
              </w:rPr>
            </w:pPr>
          </w:p>
        </w:tc>
        <w:tc>
          <w:tcPr>
            <w:tcW w:w="47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Incorporation of Documents by Reference</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4700" w:type="dxa"/>
            <w:vAlign w:val="bottom"/>
            <w:gridSpan w:val="1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Cautionary Statement Regarding Forward-Looking Statements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0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340" w:type="dxa"/>
            <w:vAlign w:val="bottom"/>
            <w:tcBorders>
              <w:top w:val="single" w:sz="8" w:color="0000EE"/>
            </w:tcBorders>
            <w:gridSpan w:val="8"/>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0" w:type="dxa"/>
            <w:vAlign w:val="bottom"/>
          </w:tcPr>
          <w:p>
            <w:pPr>
              <w:spacing w:after="0"/>
              <w:rPr>
                <w:sz w:val="24"/>
                <w:szCs w:val="24"/>
                <w:color w:val="auto"/>
              </w:rPr>
            </w:pPr>
          </w:p>
        </w:tc>
        <w:tc>
          <w:tcPr>
            <w:tcW w:w="470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Description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Plan of Distribution</w:t>
              </w:r>
            </w:hyperlink>
          </w:p>
        </w:tc>
        <w:tc>
          <w:tcPr>
            <w:tcW w:w="720" w:type="dxa"/>
            <w:vAlign w:val="bottom"/>
            <w:tcBorders>
              <w:top w:val="single" w:sz="8" w:color="0000EE"/>
            </w:tcBorders>
            <w:gridSpan w:val="4"/>
          </w:tcPr>
          <w:p>
            <w:pPr>
              <w:spacing w:after="0"/>
              <w:rPr>
                <w:sz w:val="24"/>
                <w:szCs w:val="24"/>
                <w:color w:val="auto"/>
              </w:rPr>
            </w:pPr>
          </w:p>
        </w:tc>
        <w:tc>
          <w:tcPr>
            <w:tcW w:w="2520" w:type="dxa"/>
            <w:vAlign w:val="bottom"/>
            <w:gridSpan w:val="4"/>
          </w:tcPr>
          <w:p>
            <w:pPr>
              <w:spacing w:after="0"/>
              <w:rPr>
                <w:sz w:val="24"/>
                <w:szCs w:val="24"/>
                <w:color w:val="auto"/>
              </w:rPr>
            </w:pPr>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200" w:type="dxa"/>
            <w:vAlign w:val="bottom"/>
          </w:tcPr>
          <w:p>
            <w:pPr>
              <w:spacing w:after="0"/>
              <w:rPr>
                <w:sz w:val="24"/>
                <w:szCs w:val="24"/>
                <w:color w:val="auto"/>
              </w:rPr>
            </w:pPr>
          </w:p>
        </w:tc>
        <w:tc>
          <w:tcPr>
            <w:tcW w:w="470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Validity of the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200" w:type="dxa"/>
            <w:vAlign w:val="bottom"/>
          </w:tcPr>
          <w:p>
            <w:pPr>
              <w:spacing w:after="0"/>
              <w:rPr>
                <w:sz w:val="24"/>
                <w:szCs w:val="24"/>
                <w:color w:val="auto"/>
              </w:rPr>
            </w:pPr>
          </w:p>
        </w:tc>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Experts</w:t>
              </w:r>
            </w:hyperlink>
          </w:p>
        </w:tc>
        <w:tc>
          <w:tcPr>
            <w:tcW w:w="1220" w:type="dxa"/>
            <w:vAlign w:val="bottom"/>
            <w:tcBorders>
              <w:top w:val="single" w:sz="8" w:color="0000EE"/>
            </w:tcBorders>
            <w:gridSpan w:val="6"/>
          </w:tcPr>
          <w:p>
            <w:pPr>
              <w:spacing w:after="0"/>
              <w:rPr>
                <w:sz w:val="24"/>
                <w:szCs w:val="24"/>
                <w:color w:val="auto"/>
              </w:rPr>
            </w:pPr>
          </w:p>
        </w:tc>
        <w:tc>
          <w:tcPr>
            <w:tcW w:w="2920" w:type="dxa"/>
            <w:vAlign w:val="bottom"/>
            <w:gridSpan w:val="5"/>
          </w:tcPr>
          <w:p>
            <w:pPr>
              <w:spacing w:after="0"/>
              <w:rPr>
                <w:sz w:val="24"/>
                <w:szCs w:val="24"/>
                <w:color w:val="auto"/>
              </w:rPr>
            </w:pPr>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31" w:lineRule="exact"/>
        <w:rPr>
          <w:sz w:val="20"/>
          <w:szCs w:val="20"/>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200"/>
          </w:cols>
          <w:pgMar w:left="240" w:top="44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6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the Guarantor</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Guarantor, together with its subsidiaries, is the world’s leading provider of technology for reservoir characterization, drilling, production and processing to the oil and gas industry, and supplies the industry’s most comprehensive range of products and services, from exploration through production, and integrated pore-to-pipeline solutions that optimize hydrocarbon recovery to deliver reservoir performance.</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United States market for Schlumberger’s common stock is the NYSE, where it is traded under the symbol “SLB.”</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organizational status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92" w:lineRule="exact"/>
        <w:rPr>
          <w:sz w:val="20"/>
          <w:szCs w:val="20"/>
          <w:color w:val="auto"/>
        </w:rPr>
      </w:pPr>
    </w:p>
    <w:p>
      <w:pPr>
        <w:ind w:left="1060" w:right="38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Report on Form 10-K of Schlumberger Limited for the fiscal year ended December 31, 2018, as filed with the SEC on January 23, 2019 (including the portions of our proxy statement for our 2019 annual meeting of shareholders incorporated by reference therein); and</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Reports on Form 8-K or Form 8-K/A of Schlumberger Limited as filed with the SEC on February 8, 2019 (Item 5.02 only), March 1, 2019, March 28, 2019 and April 3, 2019.</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93" w:lineRule="exact"/>
        <w:rPr>
          <w:sz w:val="20"/>
          <w:szCs w:val="20"/>
          <w:color w:val="auto"/>
        </w:rPr>
      </w:pPr>
    </w:p>
    <w:p>
      <w:pPr>
        <w:jc w:val="both"/>
        <w:ind w:left="200" w:right="800" w:firstLine="441"/>
        <w:spacing w:after="0" w:line="264"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w:t>
      </w: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93"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9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for the Schlumberger Group as a whole and for each of its segments (and for specified products or geographic areas within each segment);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U.S. tax reform;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 including our transformation program;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Group’s SPM projects, joint ventures and alliances;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31"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200" w:right="280" w:firstLine="441"/>
        <w:spacing w:after="0" w:line="273" w:lineRule="auto"/>
        <w:rPr>
          <w:sz w:val="20"/>
          <w:szCs w:val="20"/>
          <w:color w:val="auto"/>
        </w:rPr>
      </w:pPr>
      <w:r>
        <w:rPr>
          <w:rFonts w:ascii="Arial" w:cs="Arial" w:eastAsia="Arial" w:hAnsi="Arial"/>
          <w:sz w:val="17"/>
          <w:szCs w:val="17"/>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80" w:firstLine="441"/>
        <w:spacing w:after="0" w:line="293"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dated December 3, 2013,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w:t>
      </w:r>
    </w:p>
    <w:p>
      <w:pPr>
        <w:spacing w:after="0" w:line="16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7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1060" w:right="14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92" w:lineRule="exact"/>
        <w:rPr>
          <w:rFonts w:ascii="Arial" w:cs="Arial" w:eastAsia="Arial" w:hAnsi="Arial"/>
          <w:sz w:val="18"/>
          <w:szCs w:val="18"/>
          <w:color w:val="auto"/>
        </w:rPr>
      </w:pPr>
    </w:p>
    <w:p>
      <w:pPr>
        <w:ind w:left="1060" w:right="220" w:hanging="31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indenture;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75"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shall be payable;</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1060" w:right="100" w:hanging="316"/>
        <w:spacing w:after="0" w:line="25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93" w:lineRule="exact"/>
        <w:rPr>
          <w:rFonts w:ascii="Arial" w:cs="Arial" w:eastAsia="Arial" w:hAnsi="Arial"/>
          <w:sz w:val="18"/>
          <w:szCs w:val="18"/>
          <w:color w:val="auto"/>
        </w:rPr>
      </w:pPr>
    </w:p>
    <w:p>
      <w:pPr>
        <w:ind w:left="1060" w:right="120" w:hanging="316"/>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and upon what terms debt securities of a series may be defeased if different from the provisions set forth in the indenture;</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75" w:lineRule="exact"/>
        <w:rPr>
          <w:rFonts w:ascii="Arial" w:cs="Arial" w:eastAsia="Arial" w:hAnsi="Arial"/>
          <w:sz w:val="18"/>
          <w:szCs w:val="18"/>
          <w:color w:val="auto"/>
        </w:rPr>
      </w:pPr>
    </w:p>
    <w:p>
      <w:pPr>
        <w:ind w:left="1060" w:right="20" w:hanging="316"/>
        <w:spacing w:after="0" w:line="27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77" w:lineRule="exact"/>
        <w:rPr>
          <w:rFonts w:ascii="Arial" w:cs="Arial" w:eastAsia="Arial" w:hAnsi="Arial"/>
          <w:sz w:val="17"/>
          <w:szCs w:val="17"/>
          <w:color w:val="auto"/>
        </w:rPr>
      </w:pPr>
    </w:p>
    <w:p>
      <w:pPr>
        <w:ind w:left="1060" w:right="34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1"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Schlumberger will:</w:t>
      </w:r>
    </w:p>
    <w:p>
      <w:pPr>
        <w:spacing w:after="0" w:line="131" w:lineRule="exact"/>
        <w:rPr>
          <w:sz w:val="20"/>
          <w:szCs w:val="20"/>
          <w:color w:val="auto"/>
        </w:rPr>
      </w:pPr>
    </w:p>
    <w:p>
      <w:pPr>
        <w:ind w:left="1060" w:right="4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6"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debt securities of any series will be:</w:t>
      </w:r>
    </w:p>
    <w:p>
      <w:pPr>
        <w:spacing w:after="0" w:line="131" w:lineRule="exact"/>
        <w:rPr>
          <w:sz w:val="20"/>
          <w:szCs w:val="20"/>
          <w:color w:val="auto"/>
        </w:rPr>
      </w:pPr>
    </w:p>
    <w:p>
      <w:pPr>
        <w:ind w:left="1060" w:right="16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2" w:lineRule="exact"/>
        <w:rPr>
          <w:sz w:val="20"/>
          <w:szCs w:val="20"/>
          <w:color w:val="auto"/>
        </w:rPr>
      </w:pPr>
    </w:p>
    <w:p>
      <w:pPr>
        <w:ind w:left="200" w:firstLine="4"/>
        <w:spacing w:after="0" w:line="286" w:lineRule="auto"/>
        <w:tabs>
          <w:tab w:leader="none" w:pos="4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75" w:lineRule="exact"/>
        <w:rPr>
          <w:rFonts w:ascii="Arial" w:cs="Arial" w:eastAsia="Arial" w:hAnsi="Arial"/>
          <w:sz w:val="16"/>
          <w:szCs w:val="16"/>
          <w:color w:val="auto"/>
        </w:rPr>
      </w:pPr>
    </w:p>
    <w:p>
      <w:pPr>
        <w:ind w:left="1060" w:hanging="424"/>
        <w:spacing w:after="0" w:line="255"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98" w:lineRule="exact"/>
        <w:rPr>
          <w:rFonts w:ascii="Arial" w:cs="Arial" w:eastAsia="Arial" w:hAnsi="Arial"/>
          <w:sz w:val="18"/>
          <w:szCs w:val="18"/>
          <w:color w:val="auto"/>
        </w:rPr>
      </w:pPr>
    </w:p>
    <w:p>
      <w:pPr>
        <w:ind w:left="1060" w:right="100" w:hanging="424"/>
        <w:spacing w:after="0" w:line="312" w:lineRule="auto"/>
        <w:tabs>
          <w:tab w:leader="none" w:pos="10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060" w:right="100" w:hanging="424"/>
        <w:spacing w:after="0" w:line="264"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7" w:lineRule="auto"/>
        <w:rPr>
          <w:sz w:val="20"/>
          <w:szCs w:val="20"/>
          <w:color w:val="auto"/>
        </w:rPr>
      </w:pPr>
      <w:r>
        <w:rPr>
          <w:rFonts w:ascii="Arial" w:cs="Arial" w:eastAsia="Arial" w:hAnsi="Arial"/>
          <w:sz w:val="18"/>
          <w:szCs w:val="18"/>
          <w:color w:val="auto"/>
        </w:rPr>
        <w:t>conclusions of the ECOFIN Council meeting of November 26 and 27, 2000 on the taxation of savings income, or any law implementing or complying with or introduced in order to conform to, such directive;</w:t>
      </w:r>
    </w:p>
    <w:p>
      <w:pPr>
        <w:spacing w:after="0" w:line="76" w:lineRule="exact"/>
        <w:rPr>
          <w:sz w:val="20"/>
          <w:szCs w:val="20"/>
          <w:color w:val="auto"/>
        </w:rPr>
      </w:pPr>
    </w:p>
    <w:p>
      <w:pPr>
        <w:ind w:left="1060" w:right="900" w:hanging="424"/>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53" w:lineRule="exact"/>
        <w:rPr>
          <w:rFonts w:ascii="Arial" w:cs="Arial" w:eastAsia="Arial" w:hAnsi="Arial"/>
          <w:sz w:val="16"/>
          <w:szCs w:val="16"/>
          <w:color w:val="auto"/>
        </w:rPr>
      </w:pPr>
    </w:p>
    <w:p>
      <w:pPr>
        <w:ind w:left="1060" w:right="20" w:hanging="424"/>
        <w:spacing w:after="0" w:line="293"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70"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54"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deemed to include mention of the payment of Additional Amounts to the extent that, in such context, Additional Amounts are, were or would be payable in respect thereof.</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7" w:lineRule="exact"/>
        <w:rPr>
          <w:sz w:val="20"/>
          <w:szCs w:val="20"/>
          <w:color w:val="auto"/>
        </w:rPr>
      </w:pPr>
    </w:p>
    <w:p>
      <w:pPr>
        <w:ind w:left="1060" w:right="20" w:hanging="424"/>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52" w:lineRule="exact"/>
        <w:rPr>
          <w:rFonts w:ascii="Arial" w:cs="Arial" w:eastAsia="Arial" w:hAnsi="Arial"/>
          <w:sz w:val="16"/>
          <w:szCs w:val="16"/>
          <w:color w:val="auto"/>
        </w:rPr>
      </w:pPr>
    </w:p>
    <w:p>
      <w:pPr>
        <w:ind w:left="1060" w:right="40" w:hanging="424"/>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8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54"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5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
        <w:spacing w:after="0" w:line="259" w:lineRule="auto"/>
        <w:tabs>
          <w:tab w:leader="none" w:pos="4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72"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75" w:lineRule="exact"/>
        <w:rPr>
          <w:rFonts w:ascii="Arial" w:cs="Arial" w:eastAsia="Arial" w:hAnsi="Arial"/>
          <w:sz w:val="18"/>
          <w:szCs w:val="18"/>
          <w:color w:val="auto"/>
        </w:rPr>
      </w:pPr>
    </w:p>
    <w:p>
      <w:pPr>
        <w:ind w:left="1060" w:right="260" w:hanging="424"/>
        <w:spacing w:after="0" w:line="297"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30"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5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jc w:val="both"/>
        <w:ind w:left="1060" w:right="100" w:hanging="424"/>
        <w:spacing w:after="0" w:line="31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66"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Assumption by a Subsidiary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640" w:right="60" w:hanging="436"/>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75" w:lineRule="exact"/>
        <w:rPr>
          <w:rFonts w:ascii="Arial" w:cs="Arial" w:eastAsia="Arial" w:hAnsi="Arial"/>
          <w:sz w:val="18"/>
          <w:szCs w:val="18"/>
          <w:color w:val="auto"/>
        </w:rPr>
      </w:pPr>
    </w:p>
    <w:p>
      <w:pPr>
        <w:ind w:left="640" w:right="40" w:hanging="436"/>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54"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76" w:lineRule="exact"/>
        <w:rPr>
          <w:sz w:val="20"/>
          <w:szCs w:val="20"/>
          <w:color w:val="auto"/>
        </w:rPr>
      </w:pPr>
    </w:p>
    <w:p>
      <w:pPr>
        <w:ind w:left="1060" w:right="3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jc w:val="both"/>
        <w:ind w:left="1060" w:right="60" w:hanging="316"/>
        <w:spacing w:after="0" w:line="279"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76" w:lineRule="exact"/>
        <w:rPr>
          <w:rFonts w:ascii="Arial" w:cs="Arial" w:eastAsia="Arial" w:hAnsi="Arial"/>
          <w:sz w:val="17"/>
          <w:szCs w:val="17"/>
          <w:color w:val="auto"/>
        </w:rPr>
      </w:pPr>
    </w:p>
    <w:p>
      <w:pPr>
        <w:ind w:left="106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13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0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70"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76"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76"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52"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060" w:right="140" w:hanging="316"/>
        <w:spacing w:after="0" w:line="302"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 Subsidiary” above;</w:t>
      </w:r>
    </w:p>
    <w:p>
      <w:pPr>
        <w:spacing w:after="0" w:line="59" w:lineRule="exact"/>
        <w:rPr>
          <w:rFonts w:ascii="Arial" w:cs="Arial" w:eastAsia="Arial" w:hAnsi="Arial"/>
          <w:sz w:val="16"/>
          <w:szCs w:val="16"/>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75" w:lineRule="exact"/>
        <w:rPr>
          <w:rFonts w:ascii="Arial" w:cs="Arial" w:eastAsia="Arial" w:hAnsi="Arial"/>
          <w:sz w:val="18"/>
          <w:szCs w:val="18"/>
          <w:color w:val="auto"/>
        </w:rPr>
      </w:pPr>
    </w:p>
    <w:p>
      <w:pPr>
        <w:jc w:val="both"/>
        <w:ind w:left="1060" w:right="16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52" w:lineRule="exact"/>
        <w:rPr>
          <w:sz w:val="20"/>
          <w:szCs w:val="20"/>
          <w:color w:val="auto"/>
        </w:rPr>
      </w:pPr>
    </w:p>
    <w:p>
      <w:pPr>
        <w:ind w:left="1060" w:right="8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7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 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73"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5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left="200" w:right="500" w:firstLine="441"/>
        <w:spacing w:after="0" w:line="302"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60" w:right="2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75"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92" w:lineRule="exact"/>
        <w:rPr>
          <w:sz w:val="20"/>
          <w:szCs w:val="20"/>
          <w:color w:val="auto"/>
        </w:rPr>
      </w:pPr>
    </w:p>
    <w:p>
      <w:pPr>
        <w:ind w:left="1060" w:right="10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jc w:val="both"/>
        <w:ind w:left="200" w:right="240" w:firstLine="441"/>
        <w:spacing w:after="0" w:line="279"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6"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9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27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Validity of the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validity of the debt securities offered hereby will be passed upon for us by Gibson, Dunn &amp; Crutcher LLP, New York, New York.</w:t>
      </w: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2018 have been so incorporated in reliance on the report of PricewaterhouseCoopers LLP, an independent registered public accounting firm, given on the authority of that firm as experts in auditing and accounting.</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240" w:top="459"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r>
        <w:rPr>
          <w:rFonts w:ascii="Arial" w:cs="Arial" w:eastAsia="Arial" w:hAnsi="Arial"/>
          <w:sz w:val="18"/>
          <w:szCs w:val="18"/>
          <w:b w:val="1"/>
          <w:bCs w:val="1"/>
          <w:color w:val="auto"/>
        </w:rPr>
        <w: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w:t>
      </w:r>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4140" w:type="dxa"/>
            <w:vAlign w:val="bottom"/>
          </w:tcPr>
          <w:p>
            <w:pPr>
              <w:spacing w:after="0"/>
              <w:rPr>
                <w:sz w:val="16"/>
                <w:szCs w:val="16"/>
                <w:color w:val="auto"/>
              </w:rPr>
            </w:pPr>
          </w:p>
        </w:tc>
        <w:tc>
          <w:tcPr>
            <w:tcW w:w="30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Amount</w:t>
            </w: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2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1"/>
              </w:rPr>
              <w:t>(1)</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shd w:val="clear" w:color="auto" w:fill="CCEEFF"/>
          </w:tcPr>
          <w:p>
            <w:pPr>
              <w:spacing w:after="0"/>
              <w:rPr>
                <w:sz w:val="18"/>
                <w:szCs w:val="18"/>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58"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we are deferring payment of all of the registration fee for the securities offered by this registration statement.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Schlumberger</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To the fullest extent permitted by applicable law, Schlumberger will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87" w:lineRule="exact"/>
        <w:rPr>
          <w:sz w:val="20"/>
          <w:szCs w:val="20"/>
          <w:color w:val="auto"/>
        </w:rPr>
      </w:pPr>
    </w:p>
    <w:p>
      <w:pPr>
        <w:ind w:left="1060" w:right="280" w:hanging="316"/>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92" w:lineRule="exact"/>
        <w:rPr>
          <w:rFonts w:ascii="Arial" w:cs="Arial" w:eastAsia="Arial" w:hAnsi="Arial"/>
          <w:sz w:val="18"/>
          <w:szCs w:val="18"/>
          <w:color w:val="auto"/>
        </w:rPr>
      </w:pPr>
    </w:p>
    <w:p>
      <w:pPr>
        <w:ind w:left="1060" w:right="500" w:hanging="316"/>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86"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any 15-month period, individuals who at the beginning of such period constituted our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our board of directors.</w:t>
      </w:r>
    </w:p>
    <w:p>
      <w:pPr>
        <w:spacing w:after="0" w:line="18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88"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Schlumberger only as authorized by the Chief Executive Officer or by contract approved, or by-laws, resolution or other action adopted or taken, by Schlumberger’s board of directors or by Schlumberger’s stockholders.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Expenses (including attorneys’ fees) incurred by a current or former director or a current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 - 2</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66"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9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that insures against certain liabilities that the officers and directors of Schlumberger may incur in such capacities.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Schlumberger Investment SA</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Articles of Association of Schlumberger Investment SA provide that directors may not be held personally liable by reason of their mandate for any commitment they have validly made in the Company’s name, provided those commitments comply with the Articles of Association and Luxembourg law. Under Luxembourg law, the Company may not indemnify its directors against any matter arising from a director’s fraud, dishonesty, gross negligence or willful misconduct or any criminal actions.</w:t>
      </w:r>
    </w:p>
    <w:p>
      <w:pPr>
        <w:spacing w:after="0" w:line="187"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Directors are agents of the company and owe a duty of care and loyalty to the company (as opposed to any individual shareholder), in whose interest they execute their mandate. The directors’ duty is to manage the Company to achieve the Company’s purpose, as defined in its articles of association. The directors of the Company are subject to various duties including the duty to act in good faith and the duty of information and investigation.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- 3</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Luxembourg law provides that the directors are liable to the Company in accordance with general law for the execution of the mandate given to them and for any misconduct in the management of the Company’s affairs. They are, in principle, not held personally liable for the indebtedness or other obligations of the Company. They will be jointly and severally liable both towards the Company and any third parties for damages resulting from the violation of the Luxembourg law of 10 August 1915 on commercial companies, as amended or the articles of association of the Company. They will be discharged from such liability in a case of violation to which they were not a party provided no misconduct is attributable to them and they have reported such violation in the first general meeting after they had acquired knowledge thereof. In addition, directors may under specific circumstances also be subject to criminal liability, such as in the case of an abuse of assets. In the event of bankruptcy directors may be subject to specific criminal and civil liabilities, including the extension of the bankruptcy to the directors.</w:t>
      </w:r>
    </w:p>
    <w:p>
      <w:pPr>
        <w:spacing w:after="0" w:line="179"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Luxembourg law considers the provisions relating to the directors’ liability towards the Company to be of public order (ordre public). As a result, the company cannot exonerate a director in advance of his/her liability being triggered towards the Company. Similarly, the Company cannot hold a director harmless for such liability. However, the Company can hold directors harmless for their liability towards third parties (i.e. other than the Company). The Company can also purchase directors’ and officers’ liability insurance for its directors to cover both their liability towards the Company and third parties. Such insurances would, in principle, be valid, as they would only shift the monetary consequences of the directors’ liability, without affecting the right of the Company or third parties to bring such an action. Directors’ and officers’ liability insurance can never cover willful misconduct, fraudulent acts or acts caused by gross negligence since it would be contrary to public order and it is not effective in relation to fines and penalties related to criminal offenses.</w:t>
      </w:r>
    </w:p>
    <w:p>
      <w:pPr>
        <w:spacing w:after="0" w:line="192"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approval of the Company’s purchase of directors’ and officers’ liability insurance itself, however, may raise a conflict of interest issue for its directors. In this respect, under Luxembourg law, any director having directly or indirectly a financial interest (intérêt de nature patrimoniale) in a transaction submitted for approval to the board of directors that conflicts with that of the Company shall be obliged to advise the board of directors of the conflict and to cause a record of his statement to be included in the minutes of the meeting of the board of directors. Such director may not take part in these deliberations and shall abstain from voting on any such transaction. At the next general meeting of shareholders of the Company, before any other resolution is put to vote, a special report shall be made on any transactions in which any director may have an interest conflicting with that of the Company. These provisions do not apply where the decision of the board of directors relates to transactions entered under normal conditions in the ordinary course of business.</w:t>
      </w:r>
    </w:p>
    <w:p>
      <w:pPr>
        <w:spacing w:after="0" w:line="192"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If the number of directors required by the articles of association of the Company to decide and vote on the relevant matter is not reached because of conflicts of interest, the board of directors may decide to refer the decision on that matter to the general meeting of shareholders of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exhibits included as part of this Registration Statement.</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54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960" w:type="dxa"/>
            <w:vAlign w:val="bottom"/>
          </w:tcPr>
          <w:p>
            <w:pPr>
              <w:spacing w:after="0"/>
              <w:rPr>
                <w:sz w:val="24"/>
                <w:szCs w:val="24"/>
                <w:color w:val="auto"/>
              </w:rPr>
            </w:pPr>
          </w:p>
        </w:tc>
        <w:tc>
          <w:tcPr>
            <w:tcW w:w="9540" w:type="dxa"/>
            <w:vAlign w:val="bottom"/>
            <w:gridSpan w:val="4"/>
            <w:vMerge w:val="restart"/>
          </w:tcPr>
          <w:p>
            <w:pPr>
              <w:ind w:left="4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tcPr>
          <w:p>
            <w:pPr>
              <w:spacing w:after="0"/>
              <w:rPr>
                <w:sz w:val="14"/>
                <w:szCs w:val="14"/>
                <w:color w:val="auto"/>
              </w:rPr>
            </w:pPr>
          </w:p>
        </w:tc>
        <w:tc>
          <w:tcPr>
            <w:tcW w:w="9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9540" w:type="dxa"/>
            <w:vAlign w:val="bottom"/>
            <w:tcBorders>
              <w:bottom w:val="single" w:sz="8" w:color="0000EE"/>
            </w:tcBorders>
            <w:gridSpan w:val="4"/>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Articles of Incorporation of Schlumberger Limited (Schlumberger N.V.), as amended on April 6, 2016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540" w:type="dxa"/>
            <w:vAlign w:val="bottom"/>
            <w:gridSpan w:val="4"/>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3.1 to Schlumberger’s Current Report on Form 8-K filed on April 6, 2016).</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80" w:type="dxa"/>
            <w:vAlign w:val="bottom"/>
            <w:tcBorders>
              <w:top w:val="single" w:sz="8" w:color="0000EE"/>
            </w:tcBorders>
            <w:gridSpan w:val="3"/>
          </w:tcPr>
          <w:p>
            <w:pPr>
              <w:jc w:val="center"/>
              <w:ind w:left="2013"/>
              <w:spacing w:after="0"/>
              <w:rPr>
                <w:sz w:val="20"/>
                <w:szCs w:val="20"/>
                <w:color w:val="auto"/>
              </w:rPr>
            </w:pPr>
            <w:r>
              <w:rPr>
                <w:rFonts w:ascii="Arial" w:cs="Arial" w:eastAsia="Arial" w:hAnsi="Arial"/>
                <w:sz w:val="18"/>
                <w:szCs w:val="18"/>
                <w:color w:val="auto"/>
                <w:w w:val="99"/>
              </w:rPr>
              <w:t>II - 4</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gridSpan w:val="11"/>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Amended and Restated By-Laws of Schlumberger Limited (Schlumberger N.V.), as amended on January 19, 2017 (incorporated by</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reference to Exhibit 3.1 to Schlumberger’s Current Report on Form 8-K filed on January 19, 2017).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3.3</w:t>
            </w:r>
          </w:p>
        </w:tc>
        <w:tc>
          <w:tcPr>
            <w:tcW w:w="840" w:type="dxa"/>
            <w:vAlign w:val="bottom"/>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w w:val="96"/>
              </w:rPr>
            </w:pPr>
            <w:hyperlink r:id="rId60">
              <w:r>
                <w:rPr>
                  <w:rFonts w:ascii="Arial" w:cs="Arial" w:eastAsia="Arial" w:hAnsi="Arial"/>
                  <w:sz w:val="18"/>
                  <w:szCs w:val="18"/>
                  <w:color w:val="0000EE"/>
                  <w:w w:val="96"/>
                </w:rPr>
                <w:t>Consolidated Text of the Articles of Association of Schlumberger Investment S.A. (incorporated by reference to Exhibit 3.3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Schlumberger’s Registration Statement on Form S-3 filed on August 26, 2013).</w:t>
              </w:r>
            </w:hyperlink>
          </w:p>
        </w:tc>
        <w:tc>
          <w:tcPr>
            <w:tcW w:w="3360" w:type="dxa"/>
            <w:vAlign w:val="bottom"/>
            <w:tcBorders>
              <w:top w:val="single" w:sz="8" w:color="0000EE"/>
            </w:tcBorders>
            <w:gridSpan w:val="4"/>
          </w:tcPr>
          <w:p>
            <w:pPr>
              <w:spacing w:after="0"/>
              <w:rPr>
                <w:sz w:val="17"/>
                <w:szCs w:val="17"/>
                <w:color w:val="auto"/>
              </w:rPr>
            </w:pPr>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8960" w:type="dxa"/>
            <w:vAlign w:val="bottom"/>
            <w:tcBorders>
              <w:bottom w:val="single" w:sz="8" w:color="0000EE"/>
            </w:tcBorders>
            <w:gridSpan w:val="15"/>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Indenture dated as of December 3, 2013, by and among Schlumberger Investment S.A., as issuer, Schlumberger Limited, as</w:t>
              </w:r>
            </w:hyperlink>
          </w:p>
        </w:tc>
        <w:tc>
          <w:tcPr>
            <w:tcW w:w="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guarantor, and The Bank of New York Mellon, as trustee (incorporated by reference to Exhibit 4.1 to Schlumberger’s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on Form 8-K filed on December 3, 2013).</w:t>
              </w:r>
            </w:hyperlink>
          </w:p>
        </w:tc>
        <w:tc>
          <w:tcPr>
            <w:tcW w:w="6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First Supplemental Indenture dated as of December 3, 2013, by and among Schlumberger Investment S.A., as issuer, Schlumberger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Limited, as guarantor, and The Bank of New York Mellon, as trustee (incorporated by reference to Exhibit 4.2 to Schlumberger’s</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Current Report on Form 8-K filed on December 3, 2013).</w:t>
              </w:r>
            </w:hyperlink>
          </w:p>
        </w:tc>
        <w:tc>
          <w:tcPr>
            <w:tcW w:w="5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Arial" w:cs="Arial" w:eastAsia="Arial" w:hAnsi="Arial"/>
                <w:sz w:val="18"/>
                <w:szCs w:val="18"/>
                <w:color w:val="auto"/>
              </w:rPr>
              <w:t>Form of Debt Securities.*</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31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Opinion of Gibson, Dunn &amp; Crutcher LLP.</w:t>
            </w:r>
          </w:p>
        </w:tc>
        <w:tc>
          <w:tcPr>
            <w:tcW w:w="6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5.2</w:t>
            </w:r>
          </w:p>
        </w:tc>
        <w:tc>
          <w:tcPr>
            <w:tcW w:w="84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Arial" w:cs="Arial" w:eastAsia="Arial" w:hAnsi="Arial"/>
                <w:sz w:val="18"/>
                <w:szCs w:val="18"/>
                <w:color w:val="0000EE"/>
              </w:rPr>
              <w:t>Opinion of STvB Advocaten.</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4"/>
              </w:rPr>
              <w:t>Opinion of Loyens Loeff.</w:t>
            </w:r>
          </w:p>
        </w:tc>
        <w:tc>
          <w:tcPr>
            <w:tcW w:w="260" w:type="dxa"/>
            <w:vAlign w:val="bottom"/>
            <w:tcBorders>
              <w:top w:val="single" w:sz="8" w:color="0000EE"/>
            </w:tcBorders>
          </w:tcPr>
          <w:p>
            <w:pPr>
              <w:spacing w:after="0"/>
              <w:rPr>
                <w:sz w:val="24"/>
                <w:szCs w:val="24"/>
                <w:color w:val="auto"/>
              </w:rPr>
            </w:pPr>
          </w:p>
        </w:tc>
        <w:tc>
          <w:tcPr>
            <w:tcW w:w="74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840" w:type="dxa"/>
            <w:vAlign w:val="bottom"/>
          </w:tcPr>
          <w:p>
            <w:pPr>
              <w:spacing w:after="0"/>
              <w:rPr>
                <w:sz w:val="24"/>
                <w:szCs w:val="24"/>
                <w:color w:val="auto"/>
              </w:rPr>
            </w:pPr>
          </w:p>
        </w:tc>
        <w:tc>
          <w:tcPr>
            <w:tcW w:w="30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Consent of PricewaterhouseCoopers LLP.</w:t>
            </w:r>
          </w:p>
        </w:tc>
        <w:tc>
          <w:tcPr>
            <w:tcW w:w="6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23.2</w:t>
            </w:r>
          </w:p>
        </w:tc>
        <w:tc>
          <w:tcPr>
            <w:tcW w:w="84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Arial" w:cs="Arial" w:eastAsia="Arial" w:hAnsi="Arial"/>
                <w:sz w:val="18"/>
                <w:szCs w:val="18"/>
                <w:color w:val="0000EE"/>
              </w:rPr>
              <w:t>Consent of Gibson, Dunn &amp; Crutcher LLP (set forth in Exhibit 5.1).</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23.3</w:t>
            </w:r>
          </w:p>
        </w:tc>
        <w:tc>
          <w:tcPr>
            <w:tcW w:w="84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2"/>
              </w:rPr>
              <w:t>Consent of STvB Advocaten (set forth in Exhibit 5.2).</w:t>
            </w:r>
          </w:p>
        </w:tc>
        <w:tc>
          <w:tcPr>
            <w:tcW w:w="980" w:type="dxa"/>
            <w:vAlign w:val="bottom"/>
            <w:tcBorders>
              <w:top w:val="single" w:sz="8" w:color="0000EE"/>
            </w:tcBorders>
            <w:gridSpan w:val="3"/>
          </w:tcPr>
          <w:p>
            <w:pPr>
              <w:spacing w:after="0"/>
              <w:rPr>
                <w:sz w:val="24"/>
                <w:szCs w:val="24"/>
                <w:color w:val="auto"/>
              </w:rPr>
            </w:pPr>
          </w:p>
        </w:tc>
        <w:tc>
          <w:tcPr>
            <w:tcW w:w="4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23.4</w:t>
            </w:r>
          </w:p>
        </w:tc>
        <w:tc>
          <w:tcPr>
            <w:tcW w:w="84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Arial" w:cs="Arial" w:eastAsia="Arial" w:hAnsi="Arial"/>
                <w:sz w:val="18"/>
                <w:szCs w:val="18"/>
                <w:color w:val="0000EE"/>
              </w:rPr>
              <w:t>Consent of Loyens Loeff (set forth in Exhibit 5.3).</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24.1</w:t>
            </w:r>
          </w:p>
        </w:tc>
        <w:tc>
          <w:tcPr>
            <w:tcW w:w="840" w:type="dxa"/>
            <w:vAlign w:val="bottom"/>
          </w:tcPr>
          <w:p>
            <w:pPr>
              <w:spacing w:after="0"/>
              <w:rPr>
                <w:sz w:val="24"/>
                <w:szCs w:val="24"/>
                <w:color w:val="auto"/>
              </w:rPr>
            </w:pPr>
          </w:p>
        </w:tc>
        <w:tc>
          <w:tcPr>
            <w:tcW w:w="13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Power of attorney.</w:t>
            </w:r>
          </w:p>
        </w:tc>
        <w:tc>
          <w:tcPr>
            <w:tcW w:w="2300" w:type="dxa"/>
            <w:vAlign w:val="bottom"/>
            <w:tcBorders>
              <w:top w:val="single" w:sz="8" w:color="0000EE"/>
            </w:tcBorders>
            <w:gridSpan w:val="6"/>
          </w:tcPr>
          <w:p>
            <w:pPr>
              <w:spacing w:after="0"/>
              <w:rPr>
                <w:sz w:val="24"/>
                <w:szCs w:val="24"/>
                <w:color w:val="auto"/>
              </w:rPr>
            </w:pPr>
          </w:p>
        </w:tc>
        <w:tc>
          <w:tcPr>
            <w:tcW w:w="5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25.1</w:t>
            </w:r>
          </w:p>
        </w:tc>
        <w:tc>
          <w:tcPr>
            <w:tcW w:w="840" w:type="dxa"/>
            <w:vAlign w:val="bottom"/>
          </w:tcPr>
          <w:p>
            <w:pPr>
              <w:spacing w:after="0"/>
              <w:rPr>
                <w:sz w:val="24"/>
                <w:szCs w:val="24"/>
                <w:color w:val="auto"/>
              </w:rPr>
            </w:pPr>
          </w:p>
        </w:tc>
        <w:tc>
          <w:tcPr>
            <w:tcW w:w="9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Statement of Eligibility and Qualification under the Trust Indenture Act of 1939 of The Bank of New York Mellon, as trustee.</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be filed by amendment or as an exhibit to a Current Report on Form 8-K and incorporated by reference in the registration statement.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r>
        <w:rPr>
          <w:rFonts w:ascii="Arial" w:cs="Arial" w:eastAsia="Arial" w:hAnsi="Arial"/>
          <w:sz w:val="18"/>
          <w:szCs w:val="18"/>
          <w:b w:val="1"/>
          <w:bCs w:val="1"/>
          <w:color w:val="auto"/>
        </w:rPr>
        <w:t>.</w:t>
      </w:r>
    </w:p>
    <w:p>
      <w:pPr>
        <w:spacing w:after="0" w:line="121" w:lineRule="exact"/>
        <w:rPr>
          <w:sz w:val="20"/>
          <w:szCs w:val="20"/>
          <w:color w:val="auto"/>
        </w:rPr>
      </w:pPr>
    </w:p>
    <w:p>
      <w:pPr>
        <w:ind w:left="1020" w:hanging="37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17" w:lineRule="exact"/>
        <w:rPr>
          <w:rFonts w:ascii="Arial" w:cs="Arial" w:eastAsia="Arial" w:hAnsi="Arial"/>
          <w:sz w:val="18"/>
          <w:szCs w:val="18"/>
          <w:color w:val="auto"/>
        </w:rPr>
      </w:pPr>
    </w:p>
    <w:p>
      <w:pPr>
        <w:ind w:left="1460" w:hanging="392"/>
        <w:spacing w:after="0"/>
        <w:tabs>
          <w:tab w:leader="none" w:pos="14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840" w:hanging="349"/>
        <w:spacing w:after="0"/>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firstLine="411"/>
        <w:spacing w:after="0" w:line="272" w:lineRule="auto"/>
        <w:tabs>
          <w:tab w:leader="none" w:pos="1885" w:val="left"/>
        </w:tabs>
        <w:numPr>
          <w:ilvl w:val="2"/>
          <w:numId w:val="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0" w:lineRule="exact"/>
        <w:rPr>
          <w:rFonts w:ascii="Arial" w:cs="Arial" w:eastAsia="Arial" w:hAnsi="Arial"/>
          <w:sz w:val="17"/>
          <w:szCs w:val="17"/>
          <w:color w:val="auto"/>
        </w:rPr>
      </w:pPr>
    </w:p>
    <w:p>
      <w:pPr>
        <w:ind w:left="5700" w:hanging="166"/>
        <w:spacing w:after="0"/>
        <w:tabs>
          <w:tab w:leader="none" w:pos="5700" w:val="left"/>
        </w:tabs>
        <w:numPr>
          <w:ilvl w:val="3"/>
          <w:numId w:val="33"/>
        </w:numPr>
        <w:rPr>
          <w:rFonts w:ascii="Arial" w:cs="Arial" w:eastAsia="Arial" w:hAnsi="Arial"/>
          <w:sz w:val="18"/>
          <w:szCs w:val="18"/>
          <w:color w:val="auto"/>
        </w:rPr>
      </w:pPr>
      <w:r>
        <w:rPr>
          <w:rFonts w:ascii="Arial" w:cs="Arial" w:eastAsia="Arial" w:hAnsi="Arial"/>
          <w:sz w:val="18"/>
          <w:szCs w:val="18"/>
          <w:color w:val="auto"/>
        </w:rPr>
        <w:t>- 5</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411"/>
        <w:spacing w:after="0" w:line="277" w:lineRule="auto"/>
        <w:tabs>
          <w:tab w:leader="none" w:pos="19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080" w:right="80" w:firstLine="405"/>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above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SEC by a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640" w:right="80" w:firstLine="428"/>
        <w:spacing w:after="0" w:line="264" w:lineRule="auto"/>
        <w:tabs>
          <w:tab w:leader="none" w:pos="14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640" w:right="80" w:firstLine="428"/>
        <w:spacing w:after="0" w:line="277" w:lineRule="auto"/>
        <w:tabs>
          <w:tab w:leader="none" w:pos="14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460" w:hanging="392"/>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080" w:firstLine="411"/>
        <w:spacing w:after="0" w:line="277" w:lineRule="auto"/>
        <w:tabs>
          <w:tab w:leader="none" w:pos="19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080" w:right="60" w:firstLine="411"/>
        <w:spacing w:after="0" w:line="291" w:lineRule="auto"/>
        <w:tabs>
          <w:tab w:leader="none" w:pos="19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sz w:val="20"/>
          <w:szCs w:val="20"/>
          <w:color w:val="auto"/>
        </w:rPr>
      </w:pPr>
    </w:p>
    <w:p>
      <w:pPr>
        <w:ind w:left="640" w:right="40" w:firstLine="428"/>
        <w:spacing w:after="0" w:line="257" w:lineRule="auto"/>
        <w:tabs>
          <w:tab w:leader="none" w:pos="14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each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920" w:hanging="429"/>
        <w:spacing w:after="0"/>
        <w:tabs>
          <w:tab w:leader="none" w:pos="19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an undersigned Registrant relating to the offering required to be filed pursuant to</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Rule 424;</w:t>
      </w:r>
    </w:p>
    <w:p>
      <w:pPr>
        <w:spacing w:after="0" w:line="102" w:lineRule="exact"/>
        <w:rPr>
          <w:rFonts w:ascii="Arial" w:cs="Arial" w:eastAsia="Arial" w:hAnsi="Arial"/>
          <w:sz w:val="16"/>
          <w:szCs w:val="16"/>
          <w:color w:val="auto"/>
        </w:rPr>
      </w:pPr>
    </w:p>
    <w:p>
      <w:pPr>
        <w:ind w:left="1080" w:right="140" w:firstLine="411"/>
        <w:spacing w:after="0" w:line="277" w:lineRule="auto"/>
        <w:tabs>
          <w:tab w:leader="none" w:pos="18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an undersigned Registrant;</w:t>
      </w:r>
    </w:p>
    <w:p>
      <w:pPr>
        <w:spacing w:after="0" w:line="62" w:lineRule="exact"/>
        <w:rPr>
          <w:rFonts w:ascii="Arial" w:cs="Arial" w:eastAsia="Arial" w:hAnsi="Arial"/>
          <w:sz w:val="18"/>
          <w:szCs w:val="18"/>
          <w:color w:val="auto"/>
        </w:rPr>
      </w:pPr>
    </w:p>
    <w:p>
      <w:pPr>
        <w:ind w:left="1080" w:right="260" w:firstLine="411"/>
        <w:spacing w:after="0" w:line="277" w:lineRule="auto"/>
        <w:tabs>
          <w:tab w:leader="none" w:pos="190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102" w:lineRule="exact"/>
        <w:rPr>
          <w:rFonts w:ascii="Arial" w:cs="Arial" w:eastAsia="Arial" w:hAnsi="Arial"/>
          <w:sz w:val="18"/>
          <w:szCs w:val="18"/>
          <w:color w:val="auto"/>
        </w:rPr>
      </w:pPr>
    </w:p>
    <w:p>
      <w:pPr>
        <w:ind w:left="5700" w:hanging="166"/>
        <w:spacing w:after="0"/>
        <w:tabs>
          <w:tab w:leader="none" w:pos="5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- 6</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29"/>
        <w:spacing w:after="0"/>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225" w:lineRule="exact"/>
        <w:rPr>
          <w:rFonts w:ascii="Arial" w:cs="Arial" w:eastAsia="Arial" w:hAnsi="Arial"/>
          <w:sz w:val="18"/>
          <w:szCs w:val="18"/>
          <w:color w:val="auto"/>
        </w:rPr>
      </w:pPr>
    </w:p>
    <w:p>
      <w:pPr>
        <w:ind w:left="200" w:right="60" w:firstLine="444"/>
        <w:spacing w:after="0" w:line="257" w:lineRule="auto"/>
        <w:tabs>
          <w:tab w:leader="none" w:pos="10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Registrants hereby undertake that, for purposes of determining any liability under the Securities Act of 1933, each filing of Schlumberger’s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200" w:firstLine="444"/>
        <w:spacing w:after="0" w:line="27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200" w:right="140" w:firstLine="444"/>
        <w:spacing w:after="0" w:line="264" w:lineRule="auto"/>
        <w:tabs>
          <w:tab w:leader="none" w:pos="10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13" w:lineRule="exact"/>
        <w:rPr>
          <w:rFonts w:ascii="Arial" w:cs="Arial" w:eastAsia="Arial" w:hAnsi="Arial"/>
          <w:sz w:val="18"/>
          <w:szCs w:val="18"/>
          <w:color w:val="auto"/>
        </w:rPr>
      </w:pPr>
    </w:p>
    <w:p>
      <w:pPr>
        <w:ind w:left="5700" w:hanging="166"/>
        <w:spacing w:after="0"/>
        <w:tabs>
          <w:tab w:leader="none" w:pos="5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- 7</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25</w:t>
      </w:r>
      <w:r>
        <w:rPr>
          <w:rFonts w:ascii="Arial" w:cs="Arial" w:eastAsia="Arial" w:hAnsi="Arial"/>
          <w:sz w:val="15"/>
          <w:szCs w:val="15"/>
          <w:color w:val="auto"/>
        </w:rPr>
        <w:t>th</w:t>
      </w:r>
      <w:r>
        <w:rPr>
          <w:rFonts w:ascii="Arial" w:cs="Arial" w:eastAsia="Arial" w:hAnsi="Arial"/>
          <w:sz w:val="18"/>
          <w:szCs w:val="18"/>
          <w:color w:val="auto"/>
        </w:rPr>
        <w:t xml:space="preserve"> day of April,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(Schlumberger Limited)</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00"/>
          </w:cols>
          <w:pgMar w:left="240" w:top="459" w:right="559" w:bottom="1440" w:gutter="0" w:footer="0" w:header="0"/>
        </w:sectPr>
      </w:pPr>
    </w:p>
    <w:p>
      <w:pPr>
        <w:spacing w:after="0" w:line="189" w:lineRule="exact"/>
        <w:rPr>
          <w:sz w:val="20"/>
          <w:szCs w:val="20"/>
          <w:color w:val="auto"/>
        </w:rPr>
      </w:pPr>
    </w:p>
    <w:p>
      <w:pPr>
        <w:ind w:left="20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(Paal Kibsgaard)</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(Simon Ayat)</w:t>
      </w: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(Howard Guild)</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(Peter L.S. Currie)</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(Miguel Galuccio)</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7"/>
          <w:szCs w:val="17"/>
          <w:color w:val="auto"/>
        </w:rPr>
        <w:t>(Nikolay Kudryavtsev)</w:t>
      </w:r>
    </w:p>
    <w:p>
      <w:pPr>
        <w:spacing w:after="0" w:line="237"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(Tatiana Mitrova)</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(Indra K. Nooyi)</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(Lubna S. Olayan)</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(Mark G. Papa)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8"/>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Chairman and Chief Executive Officer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23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(Principal Executive Officer)</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1"/>
              </w:rPr>
              <w:t>Executive Vice President and Chief</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216"/>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Financial Officer</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(Principal Financial Officer)</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Chief Accounting Officer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23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(Principal Accounting Officer)</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59"/>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67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67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67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67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67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675"/>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April 25, 2019</w:t>
            </w:r>
          </w:p>
        </w:tc>
      </w:tr>
      <w:tr>
        <w:trPr>
          <w:trHeight w:val="581"/>
        </w:trPr>
        <w:tc>
          <w:tcPr>
            <w:tcW w:w="3540" w:type="dxa"/>
            <w:vAlign w:val="bottom"/>
            <w:gridSpan w:val="3"/>
          </w:tcPr>
          <w:p>
            <w:pPr>
              <w:ind w:left="120"/>
              <w:spacing w:after="0"/>
              <w:rPr>
                <w:sz w:val="20"/>
                <w:szCs w:val="20"/>
                <w:color w:val="auto"/>
              </w:rPr>
            </w:pPr>
            <w:r>
              <w:rPr>
                <w:rFonts w:ascii="Arial" w:cs="Arial" w:eastAsia="Arial" w:hAnsi="Arial"/>
                <w:sz w:val="18"/>
                <w:szCs w:val="18"/>
                <w:color w:val="auto"/>
              </w:rPr>
              <w:t>II - 8</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2">
            <w:col w:w="4700" w:space="720"/>
            <w:col w:w="5680"/>
          </w:cols>
          <w:pgMar w:left="240" w:top="459" w:right="5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(Leo Rafael Reif)</w:t>
      </w: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52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(Henri Seydoux)</w:t>
      </w:r>
    </w:p>
    <w:p>
      <w:pPr>
        <w:spacing w:after="0" w:line="264"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auto"/>
        </w:rPr>
        <w:t>*By:</w:t>
        <w:tab/>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-10160</wp:posOffset>
            </wp:positionV>
            <wp:extent cx="1724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Saul R. Laureles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340" w:type="dxa"/>
            <w:vAlign w:val="bottom"/>
            <w:gridSpan w:val="3"/>
          </w:tcPr>
          <w:p>
            <w:pPr>
              <w:jc w:val="center"/>
              <w:ind w:left="1210"/>
              <w:spacing w:after="0"/>
              <w:rPr>
                <w:sz w:val="20"/>
                <w:szCs w:val="20"/>
                <w:color w:val="auto"/>
              </w:rPr>
            </w:pPr>
            <w:r>
              <w:rPr>
                <w:rFonts w:ascii="Arial" w:cs="Arial" w:eastAsia="Arial" w:hAnsi="Arial"/>
                <w:sz w:val="18"/>
                <w:szCs w:val="18"/>
                <w:color w:val="auto"/>
                <w:w w:val="93"/>
              </w:rPr>
              <w:t>April 25, 2019</w:t>
            </w:r>
          </w:p>
        </w:tc>
      </w:tr>
      <w:tr>
        <w:trPr>
          <w:trHeight w:val="675"/>
        </w:trPr>
        <w:tc>
          <w:tcPr>
            <w:tcW w:w="1880" w:type="dxa"/>
            <w:vAlign w:val="bottom"/>
            <w:gridSpan w:val="3"/>
          </w:tcPr>
          <w:p>
            <w:pPr>
              <w:jc w:val="center"/>
              <w:ind w:right="1280"/>
              <w:spacing w:after="0"/>
              <w:rPr>
                <w:sz w:val="20"/>
                <w:szCs w:val="20"/>
                <w:color w:val="auto"/>
              </w:rPr>
            </w:pPr>
            <w:r>
              <w:rPr>
                <w:rFonts w:ascii="Arial" w:cs="Arial" w:eastAsia="Arial" w:hAnsi="Arial"/>
                <w:sz w:val="18"/>
                <w:szCs w:val="18"/>
                <w:color w:val="auto"/>
                <w:w w:val="95"/>
              </w:rPr>
              <w:t>Director</w:t>
            </w:r>
          </w:p>
        </w:tc>
        <w:tc>
          <w:tcPr>
            <w:tcW w:w="2340" w:type="dxa"/>
            <w:vAlign w:val="bottom"/>
            <w:gridSpan w:val="3"/>
          </w:tcPr>
          <w:p>
            <w:pPr>
              <w:jc w:val="center"/>
              <w:ind w:left="1210"/>
              <w:spacing w:after="0"/>
              <w:rPr>
                <w:sz w:val="20"/>
                <w:szCs w:val="20"/>
                <w:color w:val="auto"/>
              </w:rPr>
            </w:pPr>
            <w:r>
              <w:rPr>
                <w:rFonts w:ascii="Arial" w:cs="Arial" w:eastAsia="Arial" w:hAnsi="Arial"/>
                <w:sz w:val="18"/>
                <w:szCs w:val="18"/>
                <w:color w:val="auto"/>
                <w:w w:val="93"/>
              </w:rPr>
              <w:t>April 25,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-1362710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II - 9</w:t>
      </w:r>
    </w:p>
    <w:p>
      <w:pPr>
        <w:sectPr>
          <w:pgSz w:w="11900" w:h="16838" w:orient="portrait"/>
          <w:cols w:equalWidth="0" w:num="2">
            <w:col w:w="4820" w:space="720"/>
            <w:col w:w="5200"/>
          </w:cols>
          <w:pgMar w:left="240" w:top="459" w:right="9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Hamilton, Bermuda, on the 25</w:t>
      </w:r>
      <w:r>
        <w:rPr>
          <w:rFonts w:ascii="Arial" w:cs="Arial" w:eastAsia="Arial" w:hAnsi="Arial"/>
          <w:sz w:val="15"/>
          <w:szCs w:val="15"/>
          <w:color w:val="auto"/>
        </w:rPr>
        <w:t>th</w:t>
      </w:r>
      <w:r>
        <w:rPr>
          <w:rFonts w:ascii="Arial" w:cs="Arial" w:eastAsia="Arial" w:hAnsi="Arial"/>
          <w:sz w:val="18"/>
          <w:szCs w:val="18"/>
          <w:color w:val="auto"/>
        </w:rPr>
        <w:t xml:space="preserve"> day of April,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820"/>
        <w:spacing w:after="0"/>
        <w:tabs>
          <w:tab w:leader="none" w:pos="7240" w:val="left"/>
        </w:tabs>
        <w:rPr>
          <w:sz w:val="20"/>
          <w:szCs w:val="20"/>
          <w:color w:val="auto"/>
        </w:rPr>
      </w:pPr>
      <w:r>
        <w:rPr>
          <w:rFonts w:ascii="Arial" w:cs="Arial" w:eastAsia="Arial" w:hAnsi="Arial"/>
          <w:sz w:val="18"/>
          <w:szCs w:val="18"/>
          <w:color w:val="auto"/>
        </w:rPr>
        <w:t>By:</w:t>
        <w:tab/>
        <w:t>/s/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5126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Philippe Petre</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Class B Director</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Signature</w:t>
            </w:r>
          </w:p>
        </w:tc>
        <w:tc>
          <w:tcPr>
            <w:tcW w:w="358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7"/>
              </w:rPr>
              <w:t>Title</w:t>
            </w:r>
          </w:p>
        </w:tc>
        <w:tc>
          <w:tcPr>
            <w:tcW w:w="1360" w:type="dxa"/>
            <w:vAlign w:val="bottom"/>
          </w:tcPr>
          <w:p>
            <w:pPr>
              <w:spacing w:after="0"/>
              <w:rPr>
                <w:sz w:val="14"/>
                <w:szCs w:val="14"/>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294"/>
              <w:spacing w:after="0"/>
              <w:rPr>
                <w:sz w:val="20"/>
                <w:szCs w:val="20"/>
                <w:color w:val="auto"/>
              </w:rPr>
            </w:pPr>
            <w:r>
              <w:rPr>
                <w:rFonts w:ascii="Arial" w:cs="Arial" w:eastAsia="Arial" w:hAnsi="Arial"/>
                <w:sz w:val="18"/>
                <w:szCs w:val="18"/>
                <w:color w:val="auto"/>
                <w:w w:val="92"/>
              </w:rPr>
              <w:t>Class B Director</w:t>
            </w:r>
          </w:p>
        </w:tc>
        <w:tc>
          <w:tcPr>
            <w:tcW w:w="20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April 25, 2019</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(Philippe Petre)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jc w:val="center"/>
              <w:ind w:left="205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294"/>
              <w:spacing w:after="0"/>
              <w:rPr>
                <w:sz w:val="20"/>
                <w:szCs w:val="20"/>
                <w:color w:val="auto"/>
              </w:rPr>
            </w:pPr>
            <w:r>
              <w:rPr>
                <w:rFonts w:ascii="Arial" w:cs="Arial" w:eastAsia="Arial" w:hAnsi="Arial"/>
                <w:sz w:val="18"/>
                <w:szCs w:val="18"/>
                <w:color w:val="auto"/>
                <w:w w:val="92"/>
              </w:rPr>
              <w:t>Class A Director</w:t>
            </w:r>
          </w:p>
        </w:tc>
        <w:tc>
          <w:tcPr>
            <w:tcW w:w="20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April 25, 2019</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(Sinan Sar)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jc w:val="center"/>
              <w:ind w:left="205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294"/>
              <w:spacing w:after="0"/>
              <w:rPr>
                <w:sz w:val="20"/>
                <w:szCs w:val="20"/>
                <w:color w:val="auto"/>
              </w:rPr>
            </w:pPr>
            <w:r>
              <w:rPr>
                <w:rFonts w:ascii="Arial" w:cs="Arial" w:eastAsia="Arial" w:hAnsi="Arial"/>
                <w:sz w:val="18"/>
                <w:szCs w:val="18"/>
                <w:color w:val="auto"/>
                <w:w w:val="92"/>
              </w:rPr>
              <w:t>Class A Director</w:t>
            </w:r>
          </w:p>
        </w:tc>
        <w:tc>
          <w:tcPr>
            <w:tcW w:w="20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April 25, 2019</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(Brian Halcrow)</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28"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auto"/>
        </w:rPr>
        <w:t>*By:</w:t>
        <w:tab/>
        <w:t>/s/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4269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Philippe Petre</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 - 10</w:t>
      </w:r>
    </w:p>
    <w:p>
      <w:pPr>
        <w:sectPr>
          <w:pgSz w:w="11900" w:h="16838" w:orient="portrait"/>
          <w:cols w:equalWidth="0" w:num="1">
            <w:col w:w="11100"/>
          </w:cols>
          <w:pgMar w:left="240" w:top="459" w:right="559" w:bottom="1440" w:gutter="0" w:footer="0" w:header="0"/>
        </w:sectPr>
      </w:pPr>
    </w:p>
    <w:bookmarkStart w:id="38" w:name="page39"/>
    <w:bookmarkEnd w:id="38"/>
    <w:p>
      <w:pPr>
        <w:ind w:left="906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165544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655445" cy="180340"/>
                    </a:xfrm>
                    <a:prstGeom prst="rect">
                      <a:avLst/>
                    </a:prstGeom>
                    <a:noFill/>
                  </pic:spPr>
                </pic:pic>
              </a:graphicData>
            </a:graphic>
          </wp:anchor>
        </w:drawing>
      </w:r>
    </w:p>
    <w:p>
      <w:pPr>
        <w:spacing w:after="0" w:line="110"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Gibson, Dunn &amp; Crutcher LLP</w:t>
      </w:r>
    </w:p>
    <w:p>
      <w:pPr>
        <w:spacing w:after="0" w:line="109"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200 Park Avenue</w:t>
      </w:r>
    </w:p>
    <w:p>
      <w:pPr>
        <w:ind w:left="9060"/>
        <w:spacing w:after="0" w:line="221" w:lineRule="auto"/>
        <w:rPr>
          <w:sz w:val="20"/>
          <w:szCs w:val="20"/>
          <w:color w:val="auto"/>
        </w:rPr>
      </w:pPr>
      <w:r>
        <w:rPr>
          <w:rFonts w:ascii="Arial" w:cs="Arial" w:eastAsia="Arial" w:hAnsi="Arial"/>
          <w:sz w:val="14"/>
          <w:szCs w:val="14"/>
          <w:color w:val="auto"/>
        </w:rPr>
        <w:t>New York, NY 10166-0193</w:t>
      </w:r>
    </w:p>
    <w:p>
      <w:pPr>
        <w:ind w:left="9060"/>
        <w:spacing w:after="0" w:line="221" w:lineRule="auto"/>
        <w:rPr>
          <w:sz w:val="20"/>
          <w:szCs w:val="20"/>
          <w:color w:val="auto"/>
        </w:rPr>
      </w:pPr>
      <w:r>
        <w:rPr>
          <w:rFonts w:ascii="Arial" w:cs="Arial" w:eastAsia="Arial" w:hAnsi="Arial"/>
          <w:sz w:val="14"/>
          <w:szCs w:val="14"/>
          <w:color w:val="auto"/>
        </w:rPr>
        <w:t>Tel 212.351.4000</w:t>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www.gibsondumn.com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 (Schlumberger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Schlumberger N.V.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Schlumberger Investment SA and Schlumberger N.V. (Schlumberger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acted as counsel to Schlumberger Investment SA,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organized under the laws of the Grand Duchy of Luxembourg (the</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and Schlumberger N.V. (Schlumberger Limited), a Curaçao company (the “</w:t>
      </w:r>
      <w:r>
        <w:rPr>
          <w:rFonts w:ascii="Arial" w:cs="Arial" w:eastAsia="Arial" w:hAnsi="Arial"/>
          <w:sz w:val="17"/>
          <w:szCs w:val="17"/>
          <w:u w:val="single" w:color="auto"/>
          <w:color w:val="auto"/>
        </w:rPr>
        <w:t>Guarantor</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69" w:lineRule="exact"/>
        <w:rPr>
          <w:sz w:val="20"/>
          <w:szCs w:val="20"/>
          <w:color w:val="auto"/>
        </w:rPr>
      </w:pPr>
    </w:p>
    <w:p>
      <w:pPr>
        <w:ind w:left="800" w:hanging="35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senior unsecured debt securities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80" w:hanging="436"/>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guarantees of the Debt Securities by the Guarantor (the “</w:t>
      </w:r>
      <w:r>
        <w:rPr>
          <w:rFonts w:ascii="Arial" w:cs="Arial" w:eastAsia="Arial" w:hAnsi="Arial"/>
          <w:sz w:val="18"/>
          <w:szCs w:val="18"/>
          <w:u w:val="single" w:color="auto"/>
          <w:color w:val="auto"/>
        </w:rPr>
        <w:t>Debt Securities Guarantees</w:t>
      </w:r>
      <w:r>
        <w:rPr>
          <w:rFonts w:ascii="Arial" w:cs="Arial" w:eastAsia="Arial" w:hAnsi="Arial"/>
          <w:sz w:val="18"/>
          <w:szCs w:val="18"/>
          <w:color w:val="auto"/>
        </w:rPr>
        <w: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Debt Securities and Debt Securities Guarantees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Debt Securities are to be issued under an indenture dated December 3, 2013, among the Company, the Guarantor and The Bank of New York Mellon, as indenture trustee (the “Base Indenture”). In addition, the Base Indenture may be supplemented or amended as necessary to set forth the terms of the debt securities issued under the indenture.</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arriving at the opinions expressed below, we have examined originals, or copies certified or otherwise identified to our satisfaction as being true and complete copies of the originals, of the Base Indenture and such other documents, corporate records, certificates of officers of the Company, the Guarantor and of public officials and other instruments as we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Beijing • Brussels • Century City • Dallas • Denver • Dubai • Frankfurt • Hong Kong • Houston • London • Los Angeles • Munich</w:t>
      </w:r>
    </w:p>
    <w:p>
      <w:pPr>
        <w:jc w:val="center"/>
        <w:ind w:right="-79"/>
        <w:spacing w:after="0"/>
        <w:rPr>
          <w:sz w:val="20"/>
          <w:szCs w:val="20"/>
          <w:color w:val="auto"/>
        </w:rPr>
      </w:pPr>
      <w:r>
        <w:rPr>
          <w:rFonts w:ascii="Arial" w:cs="Arial" w:eastAsia="Arial" w:hAnsi="Arial"/>
          <w:sz w:val="14"/>
          <w:szCs w:val="14"/>
          <w:color w:val="auto"/>
        </w:rPr>
        <w:t>New York • Orange County • Palo Alto • Paris • San Francisco • São Paulo • Singapore • Washington, D.C.</w:t>
      </w:r>
    </w:p>
    <w:p>
      <w:pPr>
        <w:sectPr>
          <w:pgSz w:w="11900" w:h="16838" w:orient="portrait"/>
          <w:cols w:equalWidth="0" w:num="1">
            <w:col w:w="10960"/>
          </w:cols>
          <w:pgMar w:left="440" w:top="121"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5544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80340"/>
                    </a:xfrm>
                    <a:prstGeom prst="rect">
                      <a:avLst/>
                    </a:prstGeom>
                    <a:noFill/>
                  </pic:spPr>
                </pic:pic>
              </a:graphicData>
            </a:graphic>
          </wp:anchor>
        </w:drawing>
        <w:t xml:space="preserve">April 25, </w:t>
      </w:r>
      <w:r>
        <w:rPr>
          <w:rFonts w:ascii="Arial" w:cs="Arial" w:eastAsia="Arial" w:hAnsi="Arial"/>
          <w:sz w:val="18"/>
          <w:szCs w:val="18"/>
          <w:color w:val="auto"/>
        </w:rPr>
        <w:t>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not admitted or qualified to practice law in Luxembourg or Curaçao. Therefore, we have relied upon the opinions of Loyens &amp; Loeff Luxembourg S.à r.l. and STvB Advocaten (Europe) N.V., filed as exhibits to the Registration Statement, with respect to matters governed by the laws of Luxembourg and Curaçao.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without independent investigation that:</w:t>
      </w:r>
    </w:p>
    <w:p>
      <w:pPr>
        <w:spacing w:after="0" w:line="117" w:lineRule="exact"/>
        <w:rPr>
          <w:sz w:val="20"/>
          <w:szCs w:val="20"/>
          <w:color w:val="auto"/>
        </w:rPr>
      </w:pPr>
    </w:p>
    <w:p>
      <w:pPr>
        <w:ind w:right="680" w:firstLine="444"/>
        <w:spacing w:after="0" w:line="342" w:lineRule="auto"/>
        <w:tabs>
          <w:tab w:leader="none" w:pos="791"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 the time any Securities are sold pursuant to the Registration Statement (the “</w:t>
      </w:r>
      <w:r>
        <w:rPr>
          <w:rFonts w:ascii="Arial" w:cs="Arial" w:eastAsia="Arial" w:hAnsi="Arial"/>
          <w:sz w:val="16"/>
          <w:szCs w:val="16"/>
          <w:u w:val="single" w:color="auto"/>
          <w:color w:val="auto"/>
        </w:rPr>
        <w:t>Relevant Time</w:t>
      </w:r>
      <w:r>
        <w:rPr>
          <w:rFonts w:ascii="Arial" w:cs="Arial" w:eastAsia="Arial" w:hAnsi="Arial"/>
          <w:sz w:val="16"/>
          <w:szCs w:val="16"/>
          <w:color w:val="auto"/>
        </w:rPr>
        <w:t>”), the Registration Statement and any supplements and amendments thereto (including post-effective amendments) will be effective and will comply with all applicable laws;</w:t>
      </w:r>
    </w:p>
    <w:p>
      <w:pPr>
        <w:spacing w:after="0" w:line="123" w:lineRule="exact"/>
        <w:rPr>
          <w:rFonts w:ascii="Arial" w:cs="Arial" w:eastAsia="Arial" w:hAnsi="Arial"/>
          <w:sz w:val="16"/>
          <w:szCs w:val="16"/>
          <w:color w:val="auto"/>
        </w:rPr>
      </w:pPr>
    </w:p>
    <w:p>
      <w:pPr>
        <w:ind w:right="340" w:firstLine="444"/>
        <w:spacing w:after="0" w:line="277" w:lineRule="auto"/>
        <w:tabs>
          <w:tab w:leader="none" w:pos="8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170" w:lineRule="exact"/>
        <w:rPr>
          <w:rFonts w:ascii="Arial" w:cs="Arial" w:eastAsia="Arial" w:hAnsi="Arial"/>
          <w:sz w:val="18"/>
          <w:szCs w:val="18"/>
          <w:color w:val="auto"/>
        </w:rPr>
      </w:pPr>
    </w:p>
    <w:p>
      <w:pPr>
        <w:ind w:left="900" w:hanging="45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Securities will be issued and sold in the manner stated in the Registration Statement and the applicable prospectus supplement;</w:t>
      </w:r>
    </w:p>
    <w:p>
      <w:pPr>
        <w:spacing w:after="0" w:line="236" w:lineRule="exact"/>
        <w:rPr>
          <w:rFonts w:ascii="Arial" w:cs="Arial" w:eastAsia="Arial" w:hAnsi="Arial"/>
          <w:sz w:val="17"/>
          <w:szCs w:val="17"/>
          <w:color w:val="auto"/>
        </w:rPr>
      </w:pPr>
    </w:p>
    <w:p>
      <w:pPr>
        <w:ind w:firstLine="444"/>
        <w:spacing w:after="0" w:line="259" w:lineRule="auto"/>
        <w:tabs>
          <w:tab w:leader="none" w:pos="8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Relevant Time, all corporate or other action required to be taken by the Company and the Guarantor to duly authorize each proposed issuance of Securities and any related documentation (including the execution (in the case of certificated Securities), delivery and performance of the Securities and any related documentation referred to in paragraphs 1 through 3 below) shall have been duly completed and shall remain in full force and effect;</w:t>
      </w:r>
    </w:p>
    <w:p>
      <w:pPr>
        <w:spacing w:after="0" w:line="186" w:lineRule="exact"/>
        <w:rPr>
          <w:rFonts w:ascii="Arial" w:cs="Arial" w:eastAsia="Arial" w:hAnsi="Arial"/>
          <w:sz w:val="18"/>
          <w:szCs w:val="18"/>
          <w:color w:val="auto"/>
        </w:rPr>
      </w:pPr>
    </w:p>
    <w:p>
      <w:pPr>
        <w:ind w:right="40" w:firstLine="444"/>
        <w:spacing w:after="0" w:line="286" w:lineRule="auto"/>
        <w:tabs>
          <w:tab w:leader="none" w:pos="831"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 the Relevant Time, the relevant trustee shall have been qualified under the Trust Indenture Act of 1939, as amended (the “</w:t>
      </w:r>
      <w:r>
        <w:rPr>
          <w:rFonts w:ascii="Arial" w:cs="Arial" w:eastAsia="Arial" w:hAnsi="Arial"/>
          <w:sz w:val="17"/>
          <w:szCs w:val="17"/>
          <w:u w:val="single" w:color="auto"/>
          <w:color w:val="auto"/>
        </w:rPr>
        <w:t>TIA</w:t>
      </w:r>
      <w:r>
        <w:rPr>
          <w:rFonts w:ascii="Arial" w:cs="Arial" w:eastAsia="Arial" w:hAnsi="Arial"/>
          <w:sz w:val="17"/>
          <w:szCs w:val="17"/>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165" w:lineRule="exact"/>
        <w:rPr>
          <w:rFonts w:ascii="Arial" w:cs="Arial" w:eastAsia="Arial" w:hAnsi="Arial"/>
          <w:sz w:val="17"/>
          <w:szCs w:val="17"/>
          <w:color w:val="auto"/>
        </w:rPr>
      </w:pPr>
    </w:p>
    <w:p>
      <w:pPr>
        <w:jc w:val="both"/>
        <w:ind w:right="460" w:firstLine="444"/>
        <w:spacing w:after="0" w:line="264" w:lineRule="auto"/>
        <w:tabs>
          <w:tab w:leader="none" w:pos="8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Relevant Time, a definitive purchase, underwriting or similar agreement and any other necessary agreement with respect to any Securities offered or issued will have been duly authorized by all necessary corporate or other action of the Company and the Guarantor and duly executed and delivered by the Company, the Guarantor and the other parties thereto.</w:t>
      </w:r>
    </w:p>
    <w:p>
      <w:pPr>
        <w:sectPr>
          <w:pgSz w:w="11900" w:h="16838" w:orient="portrait"/>
          <w:cols w:equalWidth="0" w:num="1">
            <w:col w:w="10960"/>
          </w:cols>
          <w:pgMar w:left="440" w:top="918"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5544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80340"/>
                    </a:xfrm>
                    <a:prstGeom prst="rect">
                      <a:avLst/>
                    </a:prstGeom>
                    <a:noFill/>
                  </pic:spPr>
                </pic:pic>
              </a:graphicData>
            </a:graphic>
          </wp:anchor>
        </w:drawing>
        <w:t xml:space="preserve">April 25, </w:t>
      </w:r>
      <w:r>
        <w:rPr>
          <w:rFonts w:ascii="Arial" w:cs="Arial" w:eastAsia="Arial" w:hAnsi="Arial"/>
          <w:sz w:val="18"/>
          <w:szCs w:val="18"/>
          <w:color w:val="auto"/>
        </w:rPr>
        <w:t>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exceptions, qualifications and limitations set forth herein, we are of the opinion that with respect to any Debt Securities and related Debt Securities Guarantees, when:</w:t>
      </w:r>
    </w:p>
    <w:p>
      <w:pPr>
        <w:spacing w:after="0" w:line="62" w:lineRule="exact"/>
        <w:rPr>
          <w:sz w:val="20"/>
          <w:szCs w:val="20"/>
          <w:color w:val="auto"/>
        </w:rPr>
      </w:pPr>
    </w:p>
    <w:p>
      <w:pPr>
        <w:ind w:right="220" w:firstLine="444"/>
        <w:spacing w:after="0" w:line="277" w:lineRule="auto"/>
        <w:tabs>
          <w:tab w:leader="none" w:pos="7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conditions of such Securities have been duly established by supplemental indenture or officers’ certificate in accordance with the terms and conditions of the relevant Base Indenture,</w:t>
      </w:r>
    </w:p>
    <w:p>
      <w:pPr>
        <w:spacing w:after="0" w:line="170" w:lineRule="exact"/>
        <w:rPr>
          <w:rFonts w:ascii="Arial" w:cs="Arial" w:eastAsia="Arial" w:hAnsi="Arial"/>
          <w:sz w:val="18"/>
          <w:szCs w:val="18"/>
          <w:color w:val="auto"/>
        </w:rPr>
      </w:pPr>
    </w:p>
    <w:p>
      <w:pPr>
        <w:ind w:right="60" w:firstLine="444"/>
        <w:spacing w:after="0" w:line="277" w:lineRule="auto"/>
        <w:tabs>
          <w:tab w:leader="none" w:pos="7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such supplemental indenture has been duly executed and delivered by the Company, the Guarantor and the relevant trustee (together with the relevant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firstLine="444"/>
        <w:spacing w:after="0" w:line="342" w:lineRule="auto"/>
        <w:tabs>
          <w:tab w:leader="none" w:pos="7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124"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such Debt Securities will be legal, valid and binding obligations of the Company, enforceable against the Company in accordance with their respective terms, and the Guarantees of such Debt Securities will be legal, valid and binding obligations of the Guarantor obligated thereon, enforceable against such Guarantor in accordance with their respective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exceptions, qualifications, limitations and assumptions:</w:t>
      </w:r>
    </w:p>
    <w:p>
      <w:pPr>
        <w:spacing w:after="0" w:line="117" w:lineRule="exact"/>
        <w:rPr>
          <w:sz w:val="20"/>
          <w:szCs w:val="20"/>
          <w:color w:val="auto"/>
        </w:rPr>
      </w:pPr>
    </w:p>
    <w:p>
      <w:pPr>
        <w:ind w:right="100" w:firstLine="444"/>
        <w:spacing w:after="0" w:line="259" w:lineRule="auto"/>
        <w:tabs>
          <w:tab w:leader="none" w:pos="7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86" w:lineRule="exact"/>
        <w:rPr>
          <w:rFonts w:ascii="Arial" w:cs="Arial" w:eastAsia="Arial" w:hAnsi="Arial"/>
          <w:sz w:val="18"/>
          <w:szCs w:val="18"/>
          <w:color w:val="auto"/>
        </w:rPr>
      </w:pPr>
    </w:p>
    <w:p>
      <w:pPr>
        <w:ind w:left="660" w:hanging="216"/>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opinions above with respect to the Indenture, the Debt Securities and the related Debt Securities Guarantees (collectively, the</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ectPr>
          <w:pgSz w:w="11900" w:h="16838" w:orient="portrait"/>
          <w:cols w:equalWidth="0" w:num="1">
            <w:col w:w="11000"/>
          </w:cols>
          <w:pgMar w:left="440" w:top="918"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5544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80340"/>
                    </a:xfrm>
                    <a:prstGeom prst="rect">
                      <a:avLst/>
                    </a:prstGeom>
                    <a:noFill/>
                  </pic:spPr>
                </pic:pic>
              </a:graphicData>
            </a:graphic>
          </wp:anchor>
        </w:drawing>
        <w:t xml:space="preserve">April 25, </w:t>
      </w:r>
      <w:r>
        <w:rPr>
          <w:rFonts w:ascii="Arial" w:cs="Arial" w:eastAsia="Arial" w:hAnsi="Arial"/>
          <w:sz w:val="18"/>
          <w:szCs w:val="18"/>
          <w:color w:val="auto"/>
        </w:rPr>
        <w:t>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7" w:lineRule="exact"/>
        <w:rPr>
          <w:sz w:val="20"/>
          <w:szCs w:val="20"/>
          <w:color w:val="auto"/>
        </w:rPr>
      </w:pPr>
    </w:p>
    <w:p>
      <w:pPr>
        <w:ind w:firstLine="444"/>
        <w:spacing w:after="0" w:line="284" w:lineRule="auto"/>
        <w:tabs>
          <w:tab w:leader="none" w:pos="782" w:val="left"/>
        </w:tabs>
        <w:numPr>
          <w:ilvl w:val="1"/>
          <w:numId w:val="43"/>
        </w:numPr>
        <w:rPr>
          <w:rFonts w:ascii="Arial" w:cs="Arial" w:eastAsia="Arial" w:hAnsi="Arial"/>
          <w:sz w:val="16"/>
          <w:szCs w:val="16"/>
          <w:color w:val="auto"/>
        </w:rPr>
      </w:pPr>
      <w:r>
        <w:rPr>
          <w:rFonts w:ascii="Arial" w:cs="Arial" w:eastAsia="Arial" w:hAnsi="Arial"/>
          <w:sz w:val="16"/>
          <w:szCs w:val="16"/>
          <w:color w:val="auto"/>
        </w:rPr>
        <w:t>We express no opinion regarding the effectiveness of (i) any waiver of stay, extension or usury laws or of unknown future rights; (ii) any waiver (whether or not stated as such) under the Indenture or any other Document of, or any consent thereunder relating to, unknown future rights or the rights of any party thereto existing, or duties owing to it, as a matter of law; (iii) any waiver (whether or not stated as such) contained in the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w:t>
      </w:r>
    </w:p>
    <w:p>
      <w:pPr>
        <w:spacing w:after="0" w:line="4" w:lineRule="exact"/>
        <w:rPr>
          <w:rFonts w:ascii="Arial" w:cs="Arial" w:eastAsia="Arial" w:hAnsi="Arial"/>
          <w:sz w:val="16"/>
          <w:szCs w:val="16"/>
          <w:color w:val="auto"/>
        </w:rPr>
      </w:pPr>
    </w:p>
    <w:p>
      <w:pPr>
        <w:ind w:right="80" w:firstLine="4"/>
        <w:spacing w:after="0" w:line="254"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purported fraudulent transfer “savings” clause; (vi) any provision in any Documents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w:t>
      </w:r>
    </w:p>
    <w:p>
      <w:pPr>
        <w:ind w:right="40" w:firstLine="4"/>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ectPr>
          <w:pgSz w:w="11900" w:h="16838" w:orient="portrait"/>
          <w:cols w:equalWidth="0" w:num="1">
            <w:col w:w="10980"/>
          </w:cols>
          <w:pgMar w:left="440" w:top="918"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655445"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80340"/>
                    </a:xfrm>
                    <a:prstGeom prst="rect">
                      <a:avLst/>
                    </a:prstGeom>
                    <a:noFill/>
                  </pic:spPr>
                </pic:pic>
              </a:graphicData>
            </a:graphic>
          </wp:anchor>
        </w:drawing>
        <w:t xml:space="preserve">April 25, </w:t>
      </w:r>
      <w:r>
        <w:rPr>
          <w:rFonts w:ascii="Arial" w:cs="Arial" w:eastAsia="Arial" w:hAnsi="Arial"/>
          <w:sz w:val="18"/>
          <w:szCs w:val="18"/>
          <w:color w:val="auto"/>
        </w:rPr>
        <w:t>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 Gibson, Dunn &amp; Crutcher LLP</w:t>
      </w:r>
    </w:p>
    <w:p>
      <w:pPr>
        <w:sectPr>
          <w:pgSz w:w="11900" w:h="16838" w:orient="portrait"/>
          <w:cols w:equalWidth="0" w:num="1">
            <w:col w:w="10019"/>
          </w:cols>
          <w:pgMar w:left="440" w:top="918"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25 April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acted as legal counsel to Schlumberger N.V. (also referred to as Schlumberger Limited), a limited liability company organized under the laws of Curaçao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of the filing by the Company and Schlumberger Investment SA, a public company limited by shares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the Grand Duchy of Luxembourg (“</w:t>
      </w:r>
      <w:r>
        <w:rPr>
          <w:rFonts w:ascii="Arial" w:cs="Arial" w:eastAsia="Arial" w:hAnsi="Arial"/>
          <w:sz w:val="17"/>
          <w:szCs w:val="17"/>
          <w:b w:val="1"/>
          <w:bCs w:val="1"/>
          <w:color w:val="auto"/>
        </w:rPr>
        <w:t>SISA</w:t>
      </w:r>
      <w:r>
        <w:rPr>
          <w:rFonts w:ascii="Arial" w:cs="Arial" w:eastAsia="Arial" w:hAnsi="Arial"/>
          <w:sz w:val="17"/>
          <w:szCs w:val="17"/>
          <w:color w:val="auto"/>
        </w:rPr>
        <w:t>”), of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relating to the registration under the Act of (i) senior unsecured debt securities of SISA (“</w:t>
      </w:r>
      <w:r>
        <w:rPr>
          <w:rFonts w:ascii="Arial" w:cs="Arial" w:eastAsia="Arial" w:hAnsi="Arial"/>
          <w:sz w:val="17"/>
          <w:szCs w:val="17"/>
          <w:b w:val="1"/>
          <w:bCs w:val="1"/>
          <w:color w:val="auto"/>
        </w:rPr>
        <w:t>Debt Securities</w:t>
      </w:r>
      <w:r>
        <w:rPr>
          <w:rFonts w:ascii="Arial" w:cs="Arial" w:eastAsia="Arial" w:hAnsi="Arial"/>
          <w:sz w:val="17"/>
          <w:szCs w:val="17"/>
          <w:color w:val="auto"/>
        </w:rPr>
        <w:t>”) and (ii) guarantees of the Debt Securities by the Company (the “</w:t>
      </w:r>
      <w:r>
        <w:rPr>
          <w:rFonts w:ascii="Arial" w:cs="Arial" w:eastAsia="Arial" w:hAnsi="Arial"/>
          <w:sz w:val="17"/>
          <w:szCs w:val="17"/>
          <w:b w:val="1"/>
          <w:bCs w:val="1"/>
          <w:color w:val="auto"/>
        </w:rPr>
        <w:t>Guarantees</w:t>
      </w:r>
      <w:r>
        <w:rPr>
          <w:rFonts w:ascii="Arial" w:cs="Arial" w:eastAsia="Arial" w:hAnsi="Arial"/>
          <w:sz w:val="17"/>
          <w:szCs w:val="17"/>
          <w:color w:val="auto"/>
        </w:rPr>
        <w:t>,” and, together with the Debt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 that may be issued and sold from time to time pursuant to Rule 415 under the Act, as amended, certain legal matters in connection with the Securities are being passed upon for you by us. At your request, this opinion is being furnished to you for filing as Exhibit 5.2 to the Registration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reviewed each of the Articles of Incorporation, the Amended and Restated Bylaws of the Company, each as amended to date and a draft of the Registration Statement; have familiarized ourselves with the matters discussed in the Registration Statement; and have examined all statutes and other records, instruments and corporate documents pertaining to the Company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Based upon our examination as aforesaid, we are of the opinion that:</w:t>
      </w:r>
    </w:p>
    <w:p>
      <w:pPr>
        <w:spacing w:after="0" w:line="131" w:lineRule="exact"/>
        <w:rPr>
          <w:sz w:val="20"/>
          <w:szCs w:val="20"/>
          <w:color w:val="auto"/>
        </w:rPr>
      </w:pPr>
    </w:p>
    <w:p>
      <w:pPr>
        <w:ind w:left="440" w:right="140" w:hanging="436"/>
        <w:spacing w:after="0" w:line="27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and is currently validly existing as a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under the laws of Curaçao.</w:t>
      </w:r>
    </w:p>
    <w:p>
      <w:pPr>
        <w:spacing w:after="0" w:line="75" w:lineRule="exact"/>
        <w:rPr>
          <w:rFonts w:ascii="Arial" w:cs="Arial" w:eastAsia="Arial" w:hAnsi="Arial"/>
          <w:sz w:val="18"/>
          <w:szCs w:val="18"/>
          <w:color w:val="auto"/>
        </w:rPr>
      </w:pPr>
    </w:p>
    <w:p>
      <w:pPr>
        <w:ind w:left="440" w:right="260" w:hanging="436"/>
        <w:spacing w:after="0" w:line="26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Guarantees, if and when the issue and the amount of any such guarantees of Debt Securities by the Company have been duly authorized by the Board of Directors of the Company, or, to the extent lawfully delegated, by a committee thereof or by officers authorized by the Board of Directors or such committee, will, if and when issued by the Company, be duly authorized.</w:t>
      </w:r>
    </w:p>
    <w:p>
      <w:pPr>
        <w:sectPr>
          <w:pgSz w:w="11900" w:h="16838" w:orient="portrait"/>
          <w:cols w:equalWidth="0" w:num="1">
            <w:col w:w="11020"/>
          </w:cols>
          <w:pgMar w:left="440" w:top="121" w:right="439" w:bottom="1440" w:gutter="0" w:footer="0" w:header="0"/>
        </w:sectPr>
      </w:pPr>
    </w:p>
    <w:bookmarkStart w:id="44" w:name="page45"/>
    <w:bookmarkEnd w:id="4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consent to the filing of this opinion as Exhibit 5.2 to the Registration Statement. In giving this consent, we do not admit that we are in the category of persons whose consent is required under Section 7 of the Act or the rules and regulations of the Commission thereunder.</w:t>
      </w:r>
    </w:p>
    <w:p>
      <w:pPr>
        <w:spacing w:after="0" w:line="1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STvB Advocaten (Europe) N.V.</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440" w:top="274" w:right="7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1551940" cy="3517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520"/>
        <w:spacing w:after="0"/>
        <w:tabs>
          <w:tab w:leader="none" w:pos="7600" w:val="left"/>
        </w:tabs>
        <w:rPr>
          <w:sz w:val="20"/>
          <w:szCs w:val="20"/>
          <w:color w:val="auto"/>
        </w:rPr>
      </w:pPr>
      <w:r>
        <w:rPr>
          <w:rFonts w:ascii="Arial" w:cs="Arial" w:eastAsia="Arial" w:hAnsi="Arial"/>
          <w:sz w:val="12"/>
          <w:szCs w:val="12"/>
          <w:color w:val="auto"/>
        </w:rPr>
        <w:t>OFFICE ADDRESS</w:t>
      </w:r>
      <w:r>
        <w:rPr>
          <w:sz w:val="20"/>
          <w:szCs w:val="20"/>
          <w:color w:val="auto"/>
        </w:rPr>
        <w:tab/>
      </w:r>
      <w:r>
        <w:rPr>
          <w:rFonts w:ascii="Arial" w:cs="Arial" w:eastAsia="Arial" w:hAnsi="Arial"/>
          <w:sz w:val="12"/>
          <w:szCs w:val="12"/>
          <w:color w:val="auto"/>
        </w:rPr>
        <w:t>18-20, rue Edward Steichen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4"/>
          <w:szCs w:val="14"/>
          <w:color w:val="auto"/>
        </w:rPr>
        <w:t>L-2540 LUXEMBOURG</w:t>
      </w:r>
    </w:p>
    <w:p>
      <w:pPr>
        <w:spacing w:after="0" w:line="1" w:lineRule="exact"/>
        <w:rPr>
          <w:sz w:val="20"/>
          <w:szCs w:val="20"/>
          <w:color w:val="auto"/>
        </w:rPr>
      </w:pPr>
    </w:p>
    <w:p>
      <w:pPr>
        <w:ind w:left="6920"/>
        <w:spacing w:after="0"/>
        <w:tabs>
          <w:tab w:leader="none" w:pos="7600" w:val="left"/>
        </w:tabs>
        <w:rPr>
          <w:sz w:val="20"/>
          <w:szCs w:val="20"/>
          <w:color w:val="auto"/>
        </w:rPr>
      </w:pPr>
      <w:r>
        <w:rPr>
          <w:rFonts w:ascii="Arial" w:cs="Arial" w:eastAsia="Arial" w:hAnsi="Arial"/>
          <w:sz w:val="12"/>
          <w:szCs w:val="12"/>
          <w:color w:val="auto"/>
        </w:rPr>
        <w:t>INTERNET</w:t>
      </w:r>
      <w:r>
        <w:rPr>
          <w:sz w:val="20"/>
          <w:szCs w:val="20"/>
          <w:color w:val="auto"/>
        </w:rPr>
        <w:tab/>
      </w:r>
      <w:r>
        <w:rPr>
          <w:rFonts w:ascii="Arial" w:cs="Arial" w:eastAsia="Arial" w:hAnsi="Arial"/>
          <w:sz w:val="13"/>
          <w:szCs w:val="13"/>
          <w:color w:val="auto"/>
        </w:rPr>
        <w:t>www.loyensloeff.lu</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42-44 Avenue de la Gare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123" w:lineRule="exact"/>
        <w:rPr>
          <w:sz w:val="20"/>
          <w:szCs w:val="20"/>
          <w:color w:val="auto"/>
        </w:rPr>
      </w:pPr>
    </w:p>
    <w:p>
      <w:pPr>
        <w:spacing w:after="0"/>
        <w:tabs>
          <w:tab w:leader="none" w:pos="1100" w:val="left"/>
        </w:tabs>
        <w:rPr>
          <w:sz w:val="20"/>
          <w:szCs w:val="20"/>
          <w:color w:val="auto"/>
        </w:rPr>
      </w:pPr>
      <w:r>
        <w:rPr>
          <w:rFonts w:ascii="Arial" w:cs="Arial" w:eastAsia="Arial" w:hAnsi="Arial"/>
          <w:sz w:val="30"/>
          <w:szCs w:val="30"/>
          <w:color w:val="auto"/>
          <w:vertAlign w:val="superscript"/>
        </w:rPr>
        <w:t>RE</w:t>
      </w:r>
      <w:r>
        <w:rPr>
          <w:sz w:val="20"/>
          <w:szCs w:val="20"/>
          <w:color w:val="auto"/>
        </w:rPr>
        <w:tab/>
      </w:r>
      <w:r>
        <w:rPr>
          <w:rFonts w:ascii="Arial" w:cs="Arial" w:eastAsia="Arial" w:hAnsi="Arial"/>
          <w:sz w:val="18"/>
          <w:szCs w:val="18"/>
          <w:b w:val="1"/>
          <w:bCs w:val="1"/>
          <w:color w:val="auto"/>
        </w:rPr>
        <w:t>Luxembourg law legal opinion – Schlumberger – S-3 Registration Statement</w:t>
      </w:r>
    </w:p>
    <w:p>
      <w:pPr>
        <w:spacing w:after="0" w:line="1"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color w:val="auto"/>
        </w:rPr>
        <w:t>REFERENCE</w:t>
      </w:r>
      <w:r>
        <w:rPr>
          <w:sz w:val="20"/>
          <w:szCs w:val="20"/>
          <w:color w:val="auto"/>
        </w:rPr>
        <w:tab/>
      </w:r>
      <w:r>
        <w:rPr>
          <w:rFonts w:ascii="Arial" w:cs="Arial" w:eastAsia="Arial" w:hAnsi="Arial"/>
          <w:sz w:val="18"/>
          <w:szCs w:val="18"/>
          <w:color w:val="auto"/>
        </w:rPr>
        <w:t>70127950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Luxembourg, April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48" w:lineRule="exact"/>
        <w:rPr>
          <w:sz w:val="20"/>
          <w:szCs w:val="20"/>
          <w:color w:val="auto"/>
        </w:rPr>
      </w:pPr>
    </w:p>
    <w:p>
      <w:pPr>
        <w:ind w:left="440" w:hanging="436"/>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acted as your special legal counsel on certain matters of Luxembourg law in respect of the Company. We render this opinion regarding the filing of a Registration Statement (as defined below).</w:t>
      </w:r>
    </w:p>
    <w:p>
      <w:pPr>
        <w:spacing w:after="0" w:line="315" w:lineRule="exact"/>
        <w:rPr>
          <w:sz w:val="20"/>
          <w:szCs w:val="20"/>
          <w:color w:val="auto"/>
        </w:rPr>
      </w:pPr>
    </w:p>
    <w:p>
      <w:pPr>
        <w:ind w:left="440" w:hanging="436"/>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Capitalised terms which are not otherwise defined herein are used as defined in the Schedules to this opinion letter.</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In this opinion letter: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United States Securities Act of 1933, as amended.</w:t>
      </w:r>
    </w:p>
    <w:p>
      <w:pPr>
        <w:spacing w:after="0" w:line="117" w:lineRule="exact"/>
        <w:rPr>
          <w:sz w:val="20"/>
          <w:szCs w:val="20"/>
          <w:color w:val="auto"/>
        </w:rPr>
      </w:pPr>
    </w:p>
    <w:p>
      <w:pPr>
        <w:ind w:left="440" w:right="100"/>
        <w:spacing w:after="0" w:line="282" w:lineRule="auto"/>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consolidated text of the articles of association of the Company as at 2 September 2011 drawn up by Maître Martine Schaeffer,</w:t>
      </w:r>
      <w:r>
        <w:rPr>
          <w:rFonts w:ascii="Arial" w:cs="Arial" w:eastAsia="Arial" w:hAnsi="Arial"/>
          <w:sz w:val="18"/>
          <w:szCs w:val="18"/>
          <w:b w:val="1"/>
          <w:bCs w:val="1"/>
          <w:color w:val="auto"/>
        </w:rPr>
        <w:t xml:space="preserve"> </w:t>
      </w:r>
      <w:r>
        <w:rPr>
          <w:rFonts w:ascii="Arial" w:cs="Arial" w:eastAsia="Arial" w:hAnsi="Arial"/>
          <w:sz w:val="18"/>
          <w:szCs w:val="18"/>
          <w:color w:val="auto"/>
        </w:rPr>
        <w:t>notary in Luxembourg.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Authorisations </w:t>
      </w:r>
      <w:r>
        <w:rPr>
          <w:rFonts w:ascii="Arial" w:cs="Arial" w:eastAsia="Arial" w:hAnsi="Arial"/>
          <w:sz w:val="18"/>
          <w:szCs w:val="18"/>
          <w:color w:val="auto"/>
        </w:rPr>
        <w:t>means the authorisations of the board of directors of the Company covering the issuance of Debt Securities.</w:t>
      </w:r>
    </w:p>
    <w:p>
      <w:pPr>
        <w:spacing w:after="0" w:line="157"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All services are provided by Loyens &amp; Loeff Luxembourg S. à r.l., a private limited liability company (sociétéà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w:t>
      </w:r>
    </w:p>
    <w:p>
      <w:pPr>
        <w:sectPr>
          <w:pgSz w:w="11900" w:h="16838" w:orient="portrait"/>
          <w:cols w:equalWidth="0" w:num="1">
            <w:col w:w="11020"/>
          </w:cols>
          <w:pgMar w:left="440" w:top="121" w:right="439" w:bottom="1440" w:gutter="0" w:footer="0" w:header="0"/>
        </w:sectPr>
      </w:pPr>
    </w:p>
    <w:p>
      <w:pPr>
        <w:spacing w:after="0" w:line="314"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AMSTERDAM</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LONDON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firstLine="407"/>
        <w:spacing w:after="0" w:line="331" w:lineRule="auto"/>
        <w:rPr>
          <w:sz w:val="20"/>
          <w:szCs w:val="20"/>
          <w:color w:val="auto"/>
        </w:rPr>
      </w:pPr>
      <w:r>
        <w:rPr>
          <w:rFonts w:ascii="Arial" w:cs="Arial" w:eastAsia="Arial" w:hAnsi="Arial"/>
          <w:sz w:val="11"/>
          <w:szCs w:val="11"/>
          <w:color w:val="auto"/>
        </w:rPr>
        <w:t>BRUSSELS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8"/>
          <w:szCs w:val="8"/>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1"/>
          <w:szCs w:val="11"/>
          <w:color w:val="auto"/>
        </w:rPr>
        <w:t>PARIS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tabs>
          <w:tab w:leader="none" w:pos="1180" w:val="left"/>
        </w:tabs>
        <w:rPr>
          <w:sz w:val="20"/>
          <w:szCs w:val="20"/>
          <w:color w:val="auto"/>
        </w:rPr>
      </w:pPr>
      <w:r>
        <w:rPr>
          <w:rFonts w:ascii="Arial" w:cs="Arial" w:eastAsia="Arial" w:hAnsi="Arial"/>
          <w:sz w:val="12"/>
          <w:szCs w:val="12"/>
          <w:color w:val="auto"/>
        </w:rPr>
        <w:t>LUXEMBOURG</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SINGAPORE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ROTTERDAM</w:t>
      </w:r>
    </w:p>
    <w:p>
      <w:pPr>
        <w:spacing w:after="0" w:line="15"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TOKYO</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right"/>
        <w:ind w:right="1960"/>
        <w:spacing w:after="0"/>
        <w:rPr>
          <w:sz w:val="20"/>
          <w:szCs w:val="20"/>
          <w:color w:val="auto"/>
        </w:rPr>
      </w:pPr>
      <w:r>
        <w:rPr>
          <w:rFonts w:ascii="Arial" w:cs="Arial" w:eastAsia="Arial" w:hAnsi="Arial"/>
          <w:sz w:val="11"/>
          <w:szCs w:val="11"/>
          <w:color w:val="auto"/>
        </w:rPr>
        <w:t>HONG KONG</w:t>
      </w:r>
    </w:p>
    <w:p>
      <w:pPr>
        <w:spacing w:after="0" w:line="26" w:lineRule="exact"/>
        <w:rPr>
          <w:sz w:val="20"/>
          <w:szCs w:val="20"/>
          <w:color w:val="auto"/>
        </w:rPr>
      </w:pPr>
    </w:p>
    <w:p>
      <w:pPr>
        <w:jc w:val="right"/>
        <w:ind w:right="1980"/>
        <w:spacing w:after="0"/>
        <w:rPr>
          <w:sz w:val="20"/>
          <w:szCs w:val="20"/>
          <w:color w:val="auto"/>
        </w:rPr>
      </w:pPr>
      <w:r>
        <w:rPr>
          <w:rFonts w:ascii="Arial" w:cs="Arial" w:eastAsia="Arial" w:hAnsi="Arial"/>
          <w:sz w:val="12"/>
          <w:szCs w:val="12"/>
          <w:color w:val="auto"/>
        </w:rPr>
        <w:t>ZURICH</w:t>
      </w:r>
    </w:p>
    <w:p>
      <w:pPr>
        <w:sectPr>
          <w:pgSz w:w="11900" w:h="16838" w:orient="portrait"/>
          <w:cols w:equalWidth="0" w:num="11">
            <w:col w:w="2740" w:space="100"/>
            <w:col w:w="80" w:space="280"/>
            <w:col w:w="80" w:space="20"/>
            <w:col w:w="1000" w:space="20"/>
            <w:col w:w="60" w:space="320"/>
            <w:col w:w="380" w:space="60"/>
            <w:col w:w="1440" w:space="220"/>
            <w:col w:w="980" w:space="120"/>
            <w:col w:w="80" w:space="180"/>
            <w:col w:w="80" w:space="100"/>
            <w:col w:w="2680"/>
          </w:cols>
          <w:pgMar w:left="440" w:top="121" w:right="439" w:bottom="1440" w:gutter="0" w:footer="0" w:header="0"/>
          <w:type w:val="continuous"/>
        </w:sectPr>
      </w:pPr>
    </w:p>
    <w:bookmarkStart w:id="46" w:name="page47"/>
    <w:bookmarkEnd w:id="46"/>
    <w:p>
      <w:pPr>
        <w:ind w:left="436" w:right="6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t>
      </w:r>
      <w:r>
        <w:rPr>
          <w:rFonts w:ascii="Arial" w:cs="Arial" w:eastAsia="Arial" w:hAnsi="Arial"/>
          <w:sz w:val="17"/>
          <w:szCs w:val="17"/>
          <w:color w:val="auto"/>
        </w:rPr>
        <w:t>means Schlumberger Investment S.A., a public limited liability company (</w:t>
      </w:r>
      <w:r>
        <w:rPr>
          <w:rFonts w:ascii="Arial" w:cs="Arial" w:eastAsia="Arial" w:hAnsi="Arial"/>
          <w:sz w:val="17"/>
          <w:szCs w:val="17"/>
          <w:i w:val="1"/>
          <w:iCs w:val="1"/>
          <w:color w:val="auto"/>
        </w:rPr>
        <w:t>société anonyme</w:t>
      </w:r>
      <w:r>
        <w:rPr>
          <w:rFonts w:ascii="Arial" w:cs="Arial" w:eastAsia="Arial" w:hAnsi="Arial"/>
          <w:sz w:val="17"/>
          <w:szCs w:val="17"/>
          <w:color w:val="auto"/>
        </w:rPr>
        <w:t>) organised under the laws of Luxembourg</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registered office at 42-44 Avenue de la Gare, L-1610 Luxembourg, registered with the RCS under number B 163.122.</w:t>
      </w:r>
    </w:p>
    <w:p>
      <w:pPr>
        <w:spacing w:after="0" w:line="30" w:lineRule="exact"/>
        <w:rPr>
          <w:sz w:val="20"/>
          <w:szCs w:val="20"/>
          <w:color w:val="auto"/>
        </w:rPr>
      </w:pPr>
    </w:p>
    <w:p>
      <w:pPr>
        <w:ind w:left="436" w:right="80"/>
        <w:spacing w:after="0" w:line="282" w:lineRule="auto"/>
        <w:rPr>
          <w:sz w:val="20"/>
          <w:szCs w:val="20"/>
          <w:color w:val="auto"/>
        </w:rPr>
      </w:pPr>
      <w:r>
        <w:rPr>
          <w:rFonts w:ascii="Arial" w:cs="Arial" w:eastAsia="Arial" w:hAnsi="Arial"/>
          <w:sz w:val="18"/>
          <w:szCs w:val="18"/>
          <w:b w:val="1"/>
          <w:bCs w:val="1"/>
          <w:color w:val="auto"/>
        </w:rPr>
        <w:t xml:space="preserve">Debt Securities </w:t>
      </w:r>
      <w:r>
        <w:rPr>
          <w:rFonts w:ascii="Arial" w:cs="Arial" w:eastAsia="Arial" w:hAnsi="Arial"/>
          <w:sz w:val="18"/>
          <w:szCs w:val="18"/>
          <w:color w:val="auto"/>
        </w:rPr>
        <w:t>means the senior unsecured debt securities to be issued by the Company, guaranteed by the Guarantor and described in detail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prospectus which forms part of the Registration Statement.</w:t>
      </w:r>
    </w:p>
    <w:p>
      <w:pPr>
        <w:spacing w:after="0" w:line="54"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Excerpt </w:t>
      </w:r>
      <w:r>
        <w:rPr>
          <w:rFonts w:ascii="Arial" w:cs="Arial" w:eastAsia="Arial" w:hAnsi="Arial"/>
          <w:sz w:val="18"/>
          <w:szCs w:val="18"/>
          <w:color w:val="auto"/>
        </w:rPr>
        <w:t>means an excerpt pertaining to the Company delivered by the RCS, dated 25 April 2019.</w:t>
      </w:r>
    </w:p>
    <w:p>
      <w:pPr>
        <w:spacing w:after="0" w:line="117" w:lineRule="exact"/>
        <w:rPr>
          <w:sz w:val="20"/>
          <w:szCs w:val="20"/>
          <w:color w:val="auto"/>
        </w:rPr>
      </w:pPr>
    </w:p>
    <w:p>
      <w:pPr>
        <w:ind w:left="436" w:right="800"/>
        <w:spacing w:after="0" w:line="282" w:lineRule="auto"/>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Schlumberger Limited a public limited company organised under the laws of Curacao and entered into the Curacao</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Register with company number 1674.</w:t>
      </w:r>
    </w:p>
    <w:p>
      <w:pPr>
        <w:spacing w:after="0" w:line="54" w:lineRule="exact"/>
        <w:rPr>
          <w:sz w:val="20"/>
          <w:szCs w:val="20"/>
          <w:color w:val="auto"/>
        </w:rPr>
      </w:pPr>
    </w:p>
    <w:p>
      <w:pPr>
        <w:ind w:left="436" w:right="380"/>
        <w:spacing w:after="0" w:line="282" w:lineRule="auto"/>
        <w:rPr>
          <w:sz w:val="20"/>
          <w:szCs w:val="20"/>
          <w:color w:val="auto"/>
        </w:rPr>
      </w:pPr>
      <w:r>
        <w:rPr>
          <w:rFonts w:ascii="Arial" w:cs="Arial" w:eastAsia="Arial" w:hAnsi="Arial"/>
          <w:sz w:val="18"/>
          <w:szCs w:val="18"/>
          <w:b w:val="1"/>
          <w:bCs w:val="1"/>
          <w:color w:val="auto"/>
        </w:rPr>
        <w:t xml:space="preserve">Insolvency Regulation </w:t>
      </w:r>
      <w:r>
        <w:rPr>
          <w:rFonts w:ascii="Arial" w:cs="Arial" w:eastAsia="Arial" w:hAnsi="Arial"/>
          <w:sz w:val="18"/>
          <w:szCs w:val="18"/>
          <w:color w:val="auto"/>
        </w:rPr>
        <w:t>means the Regulation (EU) 2015/848 of the European Parliament and of the Council of 20 May 2015 on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(recast).</w:t>
      </w:r>
    </w:p>
    <w:p>
      <w:pPr>
        <w:spacing w:after="0" w:line="54"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Luxembourg </w:t>
      </w:r>
      <w:r>
        <w:rPr>
          <w:rFonts w:ascii="Arial" w:cs="Arial" w:eastAsia="Arial" w:hAnsi="Arial"/>
          <w:sz w:val="18"/>
          <w:szCs w:val="18"/>
          <w:color w:val="auto"/>
        </w:rPr>
        <w:t>means the Grand Duchy of Luxembourg.</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RCS </w:t>
      </w:r>
      <w:r>
        <w:rPr>
          <w:rFonts w:ascii="Arial" w:cs="Arial" w:eastAsia="Arial" w:hAnsi="Arial"/>
          <w:sz w:val="18"/>
          <w:szCs w:val="18"/>
          <w:color w:val="auto"/>
        </w:rPr>
        <w:t>means the Luxembourg Register of Commerce and Companies.</w:t>
      </w:r>
    </w:p>
    <w:p>
      <w:pPr>
        <w:spacing w:after="0" w:line="117" w:lineRule="exact"/>
        <w:rPr>
          <w:sz w:val="20"/>
          <w:szCs w:val="20"/>
          <w:color w:val="auto"/>
        </w:rPr>
      </w:pPr>
    </w:p>
    <w:p>
      <w:pPr>
        <w:ind w:left="436" w:right="260"/>
        <w:spacing w:after="0" w:line="313" w:lineRule="auto"/>
        <w:rPr>
          <w:sz w:val="20"/>
          <w:szCs w:val="20"/>
          <w:color w:val="auto"/>
        </w:rPr>
      </w:pPr>
      <w:r>
        <w:rPr>
          <w:rFonts w:ascii="Arial" w:cs="Arial" w:eastAsia="Arial" w:hAnsi="Arial"/>
          <w:sz w:val="17"/>
          <w:szCs w:val="17"/>
          <w:b w:val="1"/>
          <w:bCs w:val="1"/>
          <w:color w:val="auto"/>
        </w:rPr>
        <w:t xml:space="preserve">RCS Certificate </w:t>
      </w:r>
      <w:r>
        <w:rPr>
          <w:rFonts w:ascii="Arial" w:cs="Arial" w:eastAsia="Arial" w:hAnsi="Arial"/>
          <w:sz w:val="17"/>
          <w:szCs w:val="17"/>
          <w:color w:val="auto"/>
        </w:rPr>
        <w:t>means a certificate of absence of a judicial decision (</w:t>
      </w:r>
      <w:r>
        <w:rPr>
          <w:rFonts w:ascii="Arial" w:cs="Arial" w:eastAsia="Arial" w:hAnsi="Arial"/>
          <w:sz w:val="17"/>
          <w:szCs w:val="17"/>
          <w:i w:val="1"/>
          <w:iCs w:val="1"/>
          <w:color w:val="auto"/>
        </w:rPr>
        <w:t>certificat de non-inscription d’une décision judiciaire</w:t>
      </w:r>
      <w:r>
        <w:rPr>
          <w:rFonts w:ascii="Arial" w:cs="Arial" w:eastAsia="Arial" w:hAnsi="Arial"/>
          <w:sz w:val="17"/>
          <w:szCs w:val="17"/>
          <w:color w:val="auto"/>
        </w:rPr>
        <w:t>) pertaining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delivered by the RCS on 25 April 2019, with respect to the situation of the Company as at 24 April 2019.</w:t>
      </w:r>
    </w:p>
    <w:p>
      <w:pPr>
        <w:spacing w:after="0" w:line="30" w:lineRule="exact"/>
        <w:rPr>
          <w:sz w:val="20"/>
          <w:szCs w:val="20"/>
          <w:color w:val="auto"/>
        </w:rPr>
      </w:pPr>
    </w:p>
    <w:p>
      <w:pPr>
        <w:ind w:left="436" w:right="60"/>
        <w:spacing w:after="0" w:line="282"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means the Form S-3 automatic shelf registration statement under the Act dated April 25, 2019, to be filed with the SEC</w:t>
      </w:r>
      <w:r>
        <w:rPr>
          <w:rFonts w:ascii="Arial" w:cs="Arial" w:eastAsia="Arial" w:hAnsi="Arial"/>
          <w:sz w:val="18"/>
          <w:szCs w:val="18"/>
          <w:b w:val="1"/>
          <w:bCs w:val="1"/>
          <w:color w:val="auto"/>
        </w:rPr>
        <w:t xml:space="preserve"> </w:t>
      </w:r>
      <w:r>
        <w:rPr>
          <w:rFonts w:ascii="Arial" w:cs="Arial" w:eastAsia="Arial" w:hAnsi="Arial"/>
          <w:sz w:val="18"/>
          <w:szCs w:val="18"/>
          <w:color w:val="auto"/>
        </w:rPr>
        <w:t>by the Guarantor and the Company on or about the date of this opinion letter.</w:t>
      </w:r>
    </w:p>
    <w:p>
      <w:pPr>
        <w:spacing w:after="0" w:line="54"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date of the Registration Statement and the date of this opinion letter.</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374" w:lineRule="exact"/>
        <w:rPr>
          <w:sz w:val="20"/>
          <w:szCs w:val="20"/>
          <w:color w:val="auto"/>
        </w:rPr>
      </w:pPr>
    </w:p>
    <w:p>
      <w:pPr>
        <w:ind w:left="436" w:hanging="436"/>
        <w:spacing w:after="0"/>
        <w:tabs>
          <w:tab w:leader="none" w:pos="43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SCOPE OF INQUIRY</w:t>
      </w:r>
    </w:p>
    <w:p>
      <w:pPr>
        <w:spacing w:after="0" w:line="135" w:lineRule="exact"/>
        <w:rPr>
          <w:sz w:val="20"/>
          <w:szCs w:val="20"/>
          <w:color w:val="auto"/>
        </w:rPr>
      </w:pPr>
    </w:p>
    <w:p>
      <w:pPr>
        <w:ind w:left="436" w:right="380" w:hanging="431"/>
        <w:spacing w:after="0" w:line="277" w:lineRule="auto"/>
        <w:tabs>
          <w:tab w:leader="none" w:pos="416" w:val="left"/>
        </w:tabs>
        <w:rPr>
          <w:sz w:val="20"/>
          <w:szCs w:val="20"/>
          <w:color w:val="auto"/>
        </w:rPr>
      </w:pPr>
      <w:r>
        <w:rPr>
          <w:rFonts w:ascii="Arial" w:cs="Arial" w:eastAsia="Arial" w:hAnsi="Arial"/>
          <w:sz w:val="18"/>
          <w:szCs w:val="18"/>
          <w:color w:val="auto"/>
        </w:rPr>
        <w:t>3.1</w:t>
        <w:tab/>
        <w:t>For the purpose of rendering this opinion letter, we have only examined and relied upon electronically transmitted copies of the Registration Statement and electronically transmitted copies of the Articles, the Excerpt and the RCS Certificate.</w:t>
      </w:r>
    </w:p>
    <w:p>
      <w:pPr>
        <w:spacing w:after="0" w:line="76" w:lineRule="exact"/>
        <w:rPr>
          <w:sz w:val="20"/>
          <w:szCs w:val="20"/>
          <w:color w:val="auto"/>
        </w:rPr>
      </w:pPr>
    </w:p>
    <w:p>
      <w:pPr>
        <w:ind w:left="436" w:hanging="431"/>
        <w:spacing w:after="0" w:line="277" w:lineRule="auto"/>
        <w:tabs>
          <w:tab w:leader="none" w:pos="416" w:val="left"/>
        </w:tabs>
        <w:rPr>
          <w:sz w:val="20"/>
          <w:szCs w:val="20"/>
          <w:color w:val="auto"/>
        </w:rPr>
      </w:pPr>
      <w:r>
        <w:rPr>
          <w:rFonts w:ascii="Arial" w:cs="Arial" w:eastAsia="Arial" w:hAnsi="Arial"/>
          <w:sz w:val="18"/>
          <w:szCs w:val="18"/>
          <w:color w:val="auto"/>
        </w:rPr>
        <w:t>3.2</w:t>
        <w:tab/>
        <w:t>We have not reviewed the prospectus, or any other documents incorporated by reference or referred to in the Registration Statement and therefore our opinions do not extend to such documents.</w:t>
      </w:r>
    </w:p>
    <w:p>
      <w:pPr>
        <w:spacing w:after="0" w:line="315" w:lineRule="exact"/>
        <w:rPr>
          <w:sz w:val="20"/>
          <w:szCs w:val="20"/>
          <w:color w:val="auto"/>
        </w:rPr>
      </w:pPr>
    </w:p>
    <w:p>
      <w:pPr>
        <w:ind w:left="436" w:hanging="436"/>
        <w:spacing w:after="0"/>
        <w:tabs>
          <w:tab w:leader="none" w:pos="43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OPINION</w:t>
      </w:r>
    </w:p>
    <w:p>
      <w:pPr>
        <w:spacing w:after="0" w:line="135" w:lineRule="exact"/>
        <w:rPr>
          <w:sz w:val="20"/>
          <w:szCs w:val="20"/>
          <w:color w:val="auto"/>
        </w:rPr>
      </w:pPr>
    </w:p>
    <w:p>
      <w:pPr>
        <w:ind w:left="436" w:hanging="431"/>
        <w:spacing w:after="0" w:line="264" w:lineRule="auto"/>
        <w:tabs>
          <w:tab w:leader="none" w:pos="416" w:val="left"/>
        </w:tabs>
        <w:rPr>
          <w:sz w:val="20"/>
          <w:szCs w:val="20"/>
          <w:color w:val="auto"/>
        </w:rPr>
      </w:pPr>
      <w:r>
        <w:rPr>
          <w:rFonts w:ascii="Arial" w:cs="Arial" w:eastAsia="Arial" w:hAnsi="Arial"/>
          <w:sz w:val="18"/>
          <w:szCs w:val="18"/>
          <w:color w:val="auto"/>
        </w:rPr>
        <w:t>4.1</w:t>
        <w:tab/>
        <w:t>This opinion letter speaks as of the date hereof and we only express an opinion on matters of Luxembourg law in force on the date of this opinion letter, excluding unpublished case law. We undertake no obligation to update it or to advise of any changes in such laws or case law, their construction or application.</w:t>
      </w:r>
    </w:p>
    <w:p>
      <w:pPr>
        <w:spacing w:after="0" w:line="114"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16"/>
          </w:cols>
          <w:pgMar w:left="444" w:top="270" w:right="539" w:bottom="1440" w:gutter="0" w:footer="0" w:header="0"/>
        </w:sectPr>
      </w:pPr>
    </w:p>
    <w:bookmarkStart w:id="47" w:name="page48"/>
    <w:bookmarkEnd w:id="47"/>
    <w:p>
      <w:pPr>
        <w:ind w:left="440" w:hanging="431"/>
        <w:spacing w:after="0" w:line="297"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Arial" w:cs="Arial" w:eastAsia="Arial" w:hAnsi="Arial"/>
          <w:sz w:val="16"/>
          <w:szCs w:val="16"/>
          <w:color w:val="auto"/>
        </w:rPr>
        <w:t>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the European Market Infrastructure Regulation EU 648/2012 and any laws and regulations relating thereto, any Luxembourg laws implementing the Directive 2011/61/EU of the European Parliament and of the Council on Alternative Investment Fund Managers, tax, transfer pricing, regulatory, competition, accounting or administrative law, sanction laws and regulations or as to the consequences thereof.</w:t>
      </w:r>
    </w:p>
    <w:p>
      <w:pPr>
        <w:spacing w:after="0" w:line="64" w:lineRule="exact"/>
        <w:rPr>
          <w:sz w:val="20"/>
          <w:szCs w:val="20"/>
          <w:color w:val="auto"/>
        </w:rPr>
      </w:pPr>
    </w:p>
    <w:p>
      <w:pPr>
        <w:ind w:left="440" w:right="140" w:hanging="431"/>
        <w:spacing w:after="0" w:line="259" w:lineRule="auto"/>
        <w:tabs>
          <w:tab w:leader="none" w:pos="420" w:val="left"/>
        </w:tabs>
        <w:rPr>
          <w:sz w:val="20"/>
          <w:szCs w:val="20"/>
          <w:color w:val="auto"/>
        </w:rPr>
      </w:pPr>
      <w:r>
        <w:rPr>
          <w:rFonts w:ascii="Arial" w:cs="Arial" w:eastAsia="Arial" w:hAnsi="Arial"/>
          <w:sz w:val="18"/>
          <w:szCs w:val="18"/>
          <w:color w:val="auto"/>
        </w:rPr>
        <w:t>4.3</w:t>
        <w:tab/>
        <w:t>Our opinion is strictly limited to the matters stated herein. We do not express any opinion on matters of fact, on the commercial and other non-legal aspects of the transactions contemplated by the Registration Statement or the Debt Securities and on any representations, warranties or other information included in the Registration Statement and any other document examined in connection with this opinion letter, except as expressly stated in this opinion letter.</w:t>
      </w:r>
    </w:p>
    <w:p>
      <w:pPr>
        <w:spacing w:after="0" w:line="92" w:lineRule="exact"/>
        <w:rPr>
          <w:sz w:val="20"/>
          <w:szCs w:val="20"/>
          <w:color w:val="auto"/>
        </w:rPr>
      </w:pPr>
    </w:p>
    <w:p>
      <w:pPr>
        <w:jc w:val="both"/>
        <w:ind w:left="440" w:hanging="431"/>
        <w:spacing w:after="0" w:line="286" w:lineRule="auto"/>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In this opinion letter Luxembourg legal concepts are sometimes expressed in English terms and not in their original French or German terms. The concepts concerned may not be identical to the concepts described by the same English term as they exist under the laws of other jurisdictions. For the purpose of tax law, a term may have a different meaning than for the purpose of other areas of Luxembourg law.</w:t>
      </w:r>
    </w:p>
    <w:p>
      <w:pPr>
        <w:spacing w:after="0" w:line="71" w:lineRule="exact"/>
        <w:rPr>
          <w:sz w:val="20"/>
          <w:szCs w:val="20"/>
          <w:color w:val="auto"/>
        </w:rPr>
      </w:pPr>
    </w:p>
    <w:p>
      <w:pPr>
        <w:ind w:left="440" w:right="540" w:hanging="431"/>
        <w:spacing w:after="0" w:line="308" w:lineRule="auto"/>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This opinion letter may only be relied upon under the express condition that any issue of interpretation or liability arising hereunder will be governed by Luxembourg law and be brought exclusively before the Courts of the District of Luxembourg-City.</w:t>
      </w:r>
    </w:p>
    <w:p>
      <w:pPr>
        <w:spacing w:after="0" w:line="52" w:lineRule="exact"/>
        <w:rPr>
          <w:sz w:val="20"/>
          <w:szCs w:val="20"/>
          <w:color w:val="auto"/>
        </w:rPr>
      </w:pPr>
    </w:p>
    <w:p>
      <w:pPr>
        <w:ind w:left="440" w:right="120" w:hanging="431"/>
        <w:spacing w:after="0" w:line="264" w:lineRule="auto"/>
        <w:tabs>
          <w:tab w:leader="none" w:pos="420" w:val="left"/>
        </w:tabs>
        <w:rPr>
          <w:sz w:val="20"/>
          <w:szCs w:val="20"/>
          <w:color w:val="auto"/>
        </w:rPr>
      </w:pPr>
      <w:r>
        <w:rPr>
          <w:rFonts w:ascii="Arial" w:cs="Arial" w:eastAsia="Arial" w:hAnsi="Arial"/>
          <w:sz w:val="18"/>
          <w:szCs w:val="18"/>
          <w:color w:val="auto"/>
        </w:rPr>
        <w:t>4.6</w:t>
        <w:tab/>
        <w:t>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w:t>
      </w:r>
    </w:p>
    <w:p>
      <w:pPr>
        <w:spacing w:after="0" w:line="326" w:lineRule="exact"/>
        <w:rPr>
          <w:sz w:val="20"/>
          <w:szCs w:val="20"/>
          <w:color w:val="auto"/>
        </w:rPr>
      </w:pPr>
    </w:p>
    <w:p>
      <w:pPr>
        <w:ind w:left="440" w:hanging="436"/>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121" w:lineRule="exact"/>
        <w:rPr>
          <w:rFonts w:ascii="Arial" w:cs="Arial" w:eastAsia="Arial" w:hAnsi="Arial"/>
          <w:sz w:val="18"/>
          <w:szCs w:val="18"/>
          <w:b w:val="1"/>
          <w:bCs w:val="1"/>
          <w:color w:val="auto"/>
        </w:rPr>
      </w:pPr>
    </w:p>
    <w:p>
      <w:pPr>
        <w:ind w:left="44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opinions expressed in this paragraph 5 (Opinions) should be read in conjunction with the assumptions set out in Schedule 1 (Assumptions) and the qualifications set out in Schedule 2 (Qualifications). On the basis of these Assumptions and subject to these Qualifications and any factual matters or information not disclosed to us in the course of our investigation, we are of the opinion that as at the date of this opinion letter:</w:t>
      </w:r>
    </w:p>
    <w:p>
      <w:pPr>
        <w:spacing w:after="0" w:line="2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Corporate status</w:t>
      </w:r>
    </w:p>
    <w:p>
      <w:pPr>
        <w:spacing w:after="0" w:line="121"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The Company is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duly incorporated and validly existing under Luxembourg law for an unlimited duration.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8" w:name="page49"/>
    <w:bookmarkEnd w:id="48"/>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Due authorization</w:t>
      </w:r>
    </w:p>
    <w:p>
      <w:pPr>
        <w:spacing w:after="0" w:line="121" w:lineRule="exact"/>
        <w:rPr>
          <w:sz w:val="20"/>
          <w:szCs w:val="20"/>
          <w:color w:val="auto"/>
        </w:rPr>
      </w:pPr>
    </w:p>
    <w:p>
      <w:pPr>
        <w:ind w:left="440" w:right="460"/>
        <w:spacing w:after="0" w:line="308" w:lineRule="auto"/>
        <w:rPr>
          <w:sz w:val="20"/>
          <w:szCs w:val="20"/>
          <w:color w:val="auto"/>
        </w:rPr>
      </w:pPr>
      <w:r>
        <w:rPr>
          <w:rFonts w:ascii="Arial" w:cs="Arial" w:eastAsia="Arial" w:hAnsi="Arial"/>
          <w:sz w:val="17"/>
          <w:szCs w:val="17"/>
          <w:color w:val="auto"/>
        </w:rPr>
        <w:t>The Debt Securities, if and when the issue and the amount of such Debt Securities have been duly authorised by the board of directors of the Company, will be duly authorized according to Luxembourg laws applicable to commercial companies generally.</w:t>
      </w:r>
    </w:p>
    <w:p>
      <w:pPr>
        <w:spacing w:after="0" w:line="291" w:lineRule="exact"/>
        <w:rPr>
          <w:sz w:val="20"/>
          <w:szCs w:val="20"/>
          <w:color w:val="auto"/>
        </w:rPr>
      </w:pPr>
    </w:p>
    <w:p>
      <w:pPr>
        <w:ind w:left="440" w:hanging="436"/>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ADDRESSEES</w:t>
      </w:r>
    </w:p>
    <w:p>
      <w:pPr>
        <w:spacing w:after="0" w:line="121" w:lineRule="exact"/>
        <w:rPr>
          <w:rFonts w:ascii="Arial" w:cs="Arial" w:eastAsia="Arial" w:hAnsi="Arial"/>
          <w:sz w:val="18"/>
          <w:szCs w:val="18"/>
          <w:b w:val="1"/>
          <w:bCs w:val="1"/>
          <w:color w:val="auto"/>
        </w:rPr>
      </w:pPr>
    </w:p>
    <w:p>
      <w:pPr>
        <w:ind w:left="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opinion letter is addressed to you and may only be relied upon by you in connection with the transactions to which the Registration Statement and the Debt Securities relate and may not be disclosed to and relied upon by any other person without our prior written consent</w:t>
      </w:r>
    </w:p>
    <w:p>
      <w:pPr>
        <w:spacing w:after="0" w:line="38" w:lineRule="exact"/>
        <w:rPr>
          <w:rFonts w:ascii="Arial" w:cs="Arial" w:eastAsia="Arial" w:hAnsi="Arial"/>
          <w:sz w:val="18"/>
          <w:szCs w:val="18"/>
          <w:b w:val="1"/>
          <w:bCs w:val="1"/>
          <w:color w:val="auto"/>
        </w:rPr>
      </w:pPr>
    </w:p>
    <w:p>
      <w:pPr>
        <w:ind w:left="44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hereby consent to the filing of this opinion letter as Exhibit 5.3 to the Registration Statement. In giving this consent, we do not admit that we are in the category of persons whose consent is required under Section 7 of the Act or the rules and regulations of the SEC thereunder.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Loyens &amp; Loeff Luxembourg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0" w:right="4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opinion letter are subject to the following assumptions:</w:t>
      </w:r>
    </w:p>
    <w:p>
      <w:pPr>
        <w:spacing w:after="0" w:line="248" w:lineRule="exact"/>
        <w:rPr>
          <w:sz w:val="20"/>
          <w:szCs w:val="20"/>
          <w:color w:val="auto"/>
        </w:rPr>
      </w:pPr>
    </w:p>
    <w:p>
      <w:pPr>
        <w:ind w:left="440" w:hanging="436"/>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All signatures, stamps and seals are genuine, all original documents are authentic and all copies are complete and conform to the originals.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information contained and the statements made in the Excerpt and the RCS Certificate are true, accurate and complete at the Relevant Date.</w:t>
      </w:r>
    </w:p>
    <w:p>
      <w:pPr>
        <w:spacing w:after="0" w:line="370" w:lineRule="exact"/>
        <w:rPr>
          <w:sz w:val="20"/>
          <w:szCs w:val="20"/>
          <w:color w:val="auto"/>
        </w:rPr>
      </w:pPr>
    </w:p>
    <w:p>
      <w:pPr>
        <w:ind w:left="440" w:hanging="436"/>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CORPORATE POWER</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There were no defects in the incorporation process of the Company. The Articles are in full force and effect on the Relevant Date.</w:t>
      </w:r>
    </w:p>
    <w:p>
      <w:pPr>
        <w:spacing w:after="0" w:line="131" w:lineRule="exact"/>
        <w:rPr>
          <w:sz w:val="20"/>
          <w:szCs w:val="20"/>
          <w:color w:val="auto"/>
        </w:rPr>
      </w:pPr>
    </w:p>
    <w:p>
      <w:pPr>
        <w:jc w:val="center"/>
        <w:ind w:right="800"/>
        <w:spacing w:after="0" w:line="342" w:lineRule="auto"/>
        <w:rPr>
          <w:sz w:val="20"/>
          <w:szCs w:val="20"/>
          <w:color w:val="auto"/>
        </w:rPr>
      </w:pPr>
      <w:r>
        <w:rPr>
          <w:rFonts w:ascii="Arial" w:cs="Arial" w:eastAsia="Arial" w:hAnsi="Arial"/>
          <w:sz w:val="16"/>
          <w:szCs w:val="16"/>
          <w:color w:val="auto"/>
        </w:rPr>
        <w:t>2.2   The Company has its central administration (</w:t>
      </w:r>
      <w:r>
        <w:rPr>
          <w:rFonts w:ascii="Arial" w:cs="Arial" w:eastAsia="Arial" w:hAnsi="Arial"/>
          <w:sz w:val="16"/>
          <w:szCs w:val="16"/>
          <w:i w:val="1"/>
          <w:iCs w:val="1"/>
          <w:color w:val="auto"/>
        </w:rPr>
        <w:t>administration centrale</w:t>
      </w:r>
      <w:r>
        <w:rPr>
          <w:rFonts w:ascii="Arial" w:cs="Arial" w:eastAsia="Arial" w:hAnsi="Arial"/>
          <w:sz w:val="16"/>
          <w:szCs w:val="16"/>
          <w:color w:val="auto"/>
        </w:rPr>
        <w:t>) and has its centre of main interest (as described in the Insolvency Regulation) in Luxembourg and does not have an establishment (as described in the Insolvency Regulation) outside Luxembourg.</w:t>
      </w:r>
    </w:p>
    <w:p>
      <w:pPr>
        <w:spacing w:after="0" w:line="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Company complies with and adheres to all laws and regulations on the domiciliation of companies.</w:t>
      </w:r>
    </w:p>
    <w:p>
      <w:pPr>
        <w:spacing w:after="0" w:line="131" w:lineRule="exact"/>
        <w:rPr>
          <w:sz w:val="20"/>
          <w:szCs w:val="20"/>
          <w:color w:val="auto"/>
        </w:rPr>
      </w:pPr>
    </w:p>
    <w:p>
      <w:pPr>
        <w:ind w:left="440" w:right="420" w:hanging="431"/>
        <w:spacing w:after="0" w:line="264" w:lineRule="auto"/>
        <w:tabs>
          <w:tab w:leader="none" w:pos="420" w:val="left"/>
        </w:tabs>
        <w:rPr>
          <w:sz w:val="20"/>
          <w:szCs w:val="20"/>
          <w:color w:val="auto"/>
        </w:rPr>
      </w:pPr>
      <w:r>
        <w:rPr>
          <w:rFonts w:ascii="Arial" w:cs="Arial" w:eastAsia="Arial" w:hAnsi="Arial"/>
          <w:sz w:val="18"/>
          <w:szCs w:val="18"/>
          <w:color w:val="auto"/>
        </w:rPr>
        <w:t>2.4</w:t>
        <w:tab/>
        <w:t>The issue of the Debt Securities and the execution, entry into, performance and filing by the Company of the Registration Statement, and the transactions in connection therewith (a) are in its corporate interest, (b) with the intent of pursuing profit (</w:t>
      </w:r>
      <w:r>
        <w:rPr>
          <w:rFonts w:ascii="Arial" w:cs="Arial" w:eastAsia="Arial" w:hAnsi="Arial"/>
          <w:sz w:val="18"/>
          <w:szCs w:val="18"/>
          <w:i w:val="1"/>
          <w:iCs w:val="1"/>
          <w:color w:val="auto"/>
        </w:rPr>
        <w:t>but lucratif</w:t>
      </w:r>
      <w:r>
        <w:rPr>
          <w:rFonts w:ascii="Arial" w:cs="Arial" w:eastAsia="Arial" w:hAnsi="Arial"/>
          <w:sz w:val="18"/>
          <w:szCs w:val="18"/>
          <w:color w:val="auto"/>
        </w:rPr>
        <w:t>) and (c) serving the corporate object of the Company.</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Company will be validly existing under Luxembourg law at the date of the Authorisations.</w:t>
      </w:r>
    </w:p>
    <w:p>
      <w:pPr>
        <w:spacing w:after="0" w:line="370" w:lineRule="exact"/>
        <w:rPr>
          <w:sz w:val="20"/>
          <w:szCs w:val="20"/>
          <w:color w:val="auto"/>
        </w:rPr>
      </w:pPr>
    </w:p>
    <w:p>
      <w:pPr>
        <w:ind w:left="440" w:hanging="436"/>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AUTHORISATIONS</w:t>
      </w:r>
    </w:p>
    <w:p>
      <w:pPr>
        <w:spacing w:after="0" w:line="135" w:lineRule="exact"/>
        <w:rPr>
          <w:sz w:val="20"/>
          <w:szCs w:val="20"/>
          <w:color w:val="auto"/>
        </w:rPr>
      </w:pPr>
    </w:p>
    <w:p>
      <w:pPr>
        <w:ind w:left="440" w:hanging="431"/>
        <w:spacing w:after="0" w:line="264" w:lineRule="auto"/>
        <w:tabs>
          <w:tab w:leader="none" w:pos="420" w:val="left"/>
        </w:tabs>
        <w:rPr>
          <w:sz w:val="20"/>
          <w:szCs w:val="20"/>
          <w:color w:val="auto"/>
        </w:rPr>
      </w:pPr>
      <w:r>
        <w:rPr>
          <w:rFonts w:ascii="Arial" w:cs="Arial" w:eastAsia="Arial" w:hAnsi="Arial"/>
          <w:sz w:val="18"/>
          <w:szCs w:val="18"/>
          <w:color w:val="auto"/>
        </w:rPr>
        <w:t>3.1</w:t>
        <w:tab/>
        <w:t>The Company is not and will not be under any contractual obligation to obtain the consent, approval, co-operation, permission or otherwise of any third party or person in connection with the execution of, entry into, and performance of its obligations under, the Registration Statement and the issuance of the Debt Securities.</w:t>
      </w:r>
    </w:p>
    <w:p>
      <w:pPr>
        <w:spacing w:after="0" w:line="326" w:lineRule="exact"/>
        <w:rPr>
          <w:sz w:val="20"/>
          <w:szCs w:val="20"/>
          <w:color w:val="auto"/>
        </w:rPr>
      </w:pPr>
    </w:p>
    <w:p>
      <w:pPr>
        <w:ind w:left="440" w:hanging="436"/>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VALIDITY</w:t>
      </w:r>
    </w:p>
    <w:p>
      <w:pPr>
        <w:spacing w:after="0" w:line="121" w:lineRule="exact"/>
        <w:rPr>
          <w:rFonts w:ascii="Arial" w:cs="Arial" w:eastAsia="Arial" w:hAnsi="Arial"/>
          <w:sz w:val="18"/>
          <w:szCs w:val="18"/>
          <w:b w:val="1"/>
          <w:bCs w:val="1"/>
          <w:color w:val="auto"/>
        </w:rPr>
      </w:pPr>
    </w:p>
    <w:p>
      <w:pPr>
        <w:ind w:left="4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any applicable laws (other than Luxembourg law, to the extent opined upon herein) the Debt Securities and all obligations in connection therewith and under the Registration Statement (and the documents in connection therewith) are legal, valid, binding upon it and enforceable as a matter of all relevant laws (other than, but only to the extent expressly opined herein, Luxembourg law) and, in particular, their expressed governing law.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0" w:right="479" w:bottom="1440" w:gutter="0" w:footer="0" w:header="0"/>
        </w:sectPr>
      </w:pPr>
    </w:p>
    <w:bookmarkStart w:id="50" w:name="page51"/>
    <w:bookmarkEnd w:id="50"/>
    <w:p>
      <w:pPr>
        <w:ind w:left="436" w:hanging="436"/>
        <w:spacing w:after="0"/>
        <w:tabs>
          <w:tab w:leader="none" w:pos="43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35" w:lineRule="exact"/>
        <w:rPr>
          <w:sz w:val="20"/>
          <w:szCs w:val="20"/>
          <w:color w:val="auto"/>
        </w:rPr>
      </w:pPr>
    </w:p>
    <w:p>
      <w:pPr>
        <w:ind w:left="436" w:right="320" w:hanging="431"/>
        <w:spacing w:after="0" w:line="259" w:lineRule="auto"/>
        <w:tabs>
          <w:tab w:leader="none" w:pos="416" w:val="left"/>
        </w:tabs>
        <w:rPr>
          <w:sz w:val="20"/>
          <w:szCs w:val="20"/>
          <w:color w:val="auto"/>
        </w:rPr>
      </w:pPr>
      <w:r>
        <w:rPr>
          <w:rFonts w:ascii="Arial" w:cs="Arial" w:eastAsia="Arial" w:hAnsi="Arial"/>
          <w:sz w:val="18"/>
          <w:szCs w:val="18"/>
          <w:color w:val="auto"/>
        </w:rPr>
        <w:t>5.1</w:t>
        <w:tab/>
        <w:t>The Company will issue the Debt Securities and execute and perform its obligations under the Registration Statement (and all documents in connection therewith) in good faith, for the purpose of carrying out its business and without any intention to defraud or deprive of any legal benefit any other party (including third party creditors) or to circumvent any mandatory law, regulation of any jurisdiction or contractual arrangements.</w:t>
      </w:r>
    </w:p>
    <w:p>
      <w:pPr>
        <w:spacing w:after="0" w:line="92" w:lineRule="exact"/>
        <w:rPr>
          <w:sz w:val="20"/>
          <w:szCs w:val="20"/>
          <w:color w:val="auto"/>
        </w:rPr>
      </w:pPr>
    </w:p>
    <w:p>
      <w:pPr>
        <w:ind w:left="436" w:hanging="431"/>
        <w:spacing w:after="0" w:line="277" w:lineRule="auto"/>
        <w:tabs>
          <w:tab w:leader="none" w:pos="416" w:val="left"/>
        </w:tabs>
        <w:rPr>
          <w:sz w:val="20"/>
          <w:szCs w:val="20"/>
          <w:color w:val="auto"/>
        </w:rPr>
      </w:pPr>
      <w:r>
        <w:rPr>
          <w:rFonts w:ascii="Arial" w:cs="Arial" w:eastAsia="Arial" w:hAnsi="Arial"/>
          <w:sz w:val="18"/>
          <w:szCs w:val="18"/>
          <w:color w:val="auto"/>
        </w:rPr>
        <w:t>5.2</w:t>
        <w:tab/>
        <w:t>There are no provisions in the laws of any jurisdiction outside Luxembourg or in the documents mentioned in the Registration Statement, which would adversely affect, or otherwise have any negative impact on this opinion letter.</w:t>
      </w:r>
    </w:p>
    <w:p>
      <w:pPr>
        <w:spacing w:after="0" w:line="103" w:lineRule="exact"/>
        <w:rPr>
          <w:sz w:val="20"/>
          <w:szCs w:val="20"/>
          <w:color w:val="auto"/>
        </w:rPr>
      </w:pPr>
    </w:p>
    <w:p>
      <w:pPr>
        <w:jc w:val="center"/>
        <w:ind w:right="-215"/>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16"/>
          </w:cols>
          <w:pgMar w:left="444" w:top="270" w:right="6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opinion letter are subject to the following qualifications:</w:t>
      </w:r>
    </w:p>
    <w:p>
      <w:pPr>
        <w:spacing w:after="0" w:line="370" w:lineRule="exact"/>
        <w:rPr>
          <w:sz w:val="20"/>
          <w:szCs w:val="20"/>
          <w:color w:val="auto"/>
        </w:rPr>
      </w:pPr>
    </w:p>
    <w:p>
      <w:pPr>
        <w:ind w:left="440" w:hanging="436"/>
        <w:spacing w:after="0"/>
        <w:tabs>
          <w:tab w:leader="none" w:pos="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35" w:lineRule="exact"/>
        <w:rPr>
          <w:sz w:val="20"/>
          <w:szCs w:val="20"/>
          <w:color w:val="auto"/>
        </w:rPr>
      </w:pPr>
    </w:p>
    <w:p>
      <w:pPr>
        <w:ind w:left="440" w:right="20" w:hanging="431"/>
        <w:spacing w:after="0" w:line="257" w:lineRule="auto"/>
        <w:tabs>
          <w:tab w:leader="none" w:pos="420" w:val="left"/>
        </w:tabs>
        <w:rPr>
          <w:sz w:val="20"/>
          <w:szCs w:val="20"/>
          <w:color w:val="auto"/>
        </w:rPr>
      </w:pPr>
      <w:r>
        <w:rPr>
          <w:rFonts w:ascii="Arial" w:cs="Arial" w:eastAsia="Arial" w:hAnsi="Arial"/>
          <w:sz w:val="18"/>
          <w:szCs w:val="18"/>
          <w:color w:val="auto"/>
        </w:rPr>
        <w:t>1.1</w:t>
        <w:tab/>
        <w:t>This opinion letter is subject to all limitations resulting from the application of Luxembourg public policy rules, overriding statutes and mandatory laws as well as to all limitations by reasons of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la faillite</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sursis de paiements</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insolvency, liquidation, reorganisation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and any similar Luxembourg or foreign proceedings, regimes or officers relating to, or affecting, the rights of creditors generally (</w:t>
      </w:r>
      <w:r>
        <w:rPr>
          <w:rFonts w:ascii="Arial" w:cs="Arial" w:eastAsia="Arial" w:hAnsi="Arial"/>
          <w:sz w:val="18"/>
          <w:szCs w:val="18"/>
          <w:b w:val="1"/>
          <w:bCs w:val="1"/>
          <w:color w:val="auto"/>
        </w:rPr>
        <w:t>Insolvency Proceedings</w:t>
      </w:r>
      <w:r>
        <w:rPr>
          <w:rFonts w:ascii="Arial" w:cs="Arial" w:eastAsia="Arial" w:hAnsi="Arial"/>
          <w:sz w:val="18"/>
          <w:szCs w:val="18"/>
          <w:color w:val="auto"/>
        </w:rPr>
        <w:t>).</w:t>
      </w:r>
    </w:p>
    <w:p>
      <w:pPr>
        <w:spacing w:after="0" w:line="333" w:lineRule="exact"/>
        <w:rPr>
          <w:sz w:val="20"/>
          <w:szCs w:val="20"/>
          <w:color w:val="auto"/>
        </w:rPr>
      </w:pPr>
    </w:p>
    <w:p>
      <w:pPr>
        <w:ind w:left="440" w:hanging="436"/>
        <w:spacing w:after="0"/>
        <w:tabs>
          <w:tab w:leader="none" w:pos="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INFORMATION</w:t>
      </w:r>
    </w:p>
    <w:p>
      <w:pPr>
        <w:spacing w:after="0" w:line="135" w:lineRule="exact"/>
        <w:rPr>
          <w:sz w:val="20"/>
          <w:szCs w:val="20"/>
          <w:color w:val="auto"/>
        </w:rPr>
      </w:pPr>
    </w:p>
    <w:p>
      <w:pPr>
        <w:ind w:left="440" w:hanging="431"/>
        <w:spacing w:after="0" w:line="264" w:lineRule="auto"/>
        <w:tabs>
          <w:tab w:leader="none" w:pos="420" w:val="left"/>
        </w:tabs>
        <w:rPr>
          <w:sz w:val="20"/>
          <w:szCs w:val="20"/>
          <w:color w:val="auto"/>
        </w:rPr>
      </w:pPr>
      <w:r>
        <w:rPr>
          <w:rFonts w:ascii="Arial" w:cs="Arial" w:eastAsia="Arial" w:hAnsi="Arial"/>
          <w:sz w:val="18"/>
          <w:szCs w:val="18"/>
          <w:color w:val="auto"/>
        </w:rPr>
        <w:t>2.1</w:t>
        <w:tab/>
        <w:t>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w:t>
      </w:r>
    </w:p>
    <w:p>
      <w:pPr>
        <w:spacing w:after="0" w:line="87"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Documents relating to a Luxembourg company the publication of which is required by law will only be valid towards third parties from the day of</w:t>
      </w:r>
    </w:p>
    <w:p>
      <w:pPr>
        <w:spacing w:after="0" w:line="23"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their publication with the Electronic Register of Companies and Associations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unless the company proves that the relevant third parties had prior knowledge thereof. Third parties may however rely upon such documents which have not yet been published. For 15 days following their publication, such documents will not be valid towards third parties who prove the impossibility for them to have knowledge thereof.</w:t>
      </w:r>
    </w:p>
    <w:p>
      <w:pPr>
        <w:spacing w:after="0" w:line="95" w:lineRule="exact"/>
        <w:rPr>
          <w:sz w:val="20"/>
          <w:szCs w:val="20"/>
          <w:color w:val="auto"/>
        </w:rPr>
      </w:pPr>
    </w:p>
    <w:p>
      <w:pPr>
        <w:ind w:left="440" w:right="240" w:hanging="431"/>
        <w:spacing w:after="0" w:line="264" w:lineRule="auto"/>
        <w:tabs>
          <w:tab w:leader="none" w:pos="420" w:val="left"/>
        </w:tabs>
        <w:rPr>
          <w:sz w:val="20"/>
          <w:szCs w:val="20"/>
          <w:color w:val="auto"/>
        </w:rPr>
      </w:pPr>
      <w:r>
        <w:rPr>
          <w:rFonts w:ascii="Arial" w:cs="Arial" w:eastAsia="Arial" w:hAnsi="Arial"/>
          <w:sz w:val="18"/>
          <w:szCs w:val="18"/>
          <w:color w:val="auto"/>
        </w:rPr>
        <w:t>2.3</w:t>
        <w:tab/>
        <w:t>The Articles, the Excerpt and the RCS Certificate do not constitute conclusive evidence whether or not a winding-up, administration petition or order has been presented or made, a receiver has been appointed, an arrangement with creditors has been proposed or approved or any other Insolvency Proceedings have commenced.</w:t>
      </w:r>
    </w:p>
    <w:p>
      <w:pPr>
        <w:spacing w:after="0" w:line="326" w:lineRule="exact"/>
        <w:rPr>
          <w:sz w:val="20"/>
          <w:szCs w:val="20"/>
          <w:color w:val="auto"/>
        </w:rPr>
      </w:pPr>
    </w:p>
    <w:p>
      <w:pPr>
        <w:ind w:left="440" w:hanging="436"/>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AND CORPORATE POWER</w:t>
      </w:r>
    </w:p>
    <w:p>
      <w:pPr>
        <w:spacing w:after="0" w:line="135" w:lineRule="exact"/>
        <w:rPr>
          <w:sz w:val="20"/>
          <w:szCs w:val="20"/>
          <w:color w:val="auto"/>
        </w:rPr>
      </w:pPr>
    </w:p>
    <w:p>
      <w:pPr>
        <w:ind w:left="440" w:right="160" w:hanging="431"/>
        <w:spacing w:after="0" w:line="279" w:lineRule="auto"/>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Our opinion that the Company exists is based on the Articles, the Excerpt and the RCS Certificate (which confirms, in particular, that no judicial decision in respect of bankruptcy (</w:t>
      </w:r>
      <w:r>
        <w:rPr>
          <w:rFonts w:ascii="Arial" w:cs="Arial" w:eastAsia="Arial" w:hAnsi="Arial"/>
          <w:sz w:val="17"/>
          <w:szCs w:val="17"/>
          <w:i w:val="1"/>
          <w:iCs w:val="1"/>
          <w:color w:val="auto"/>
        </w:rPr>
        <w:t>faillite</w:t>
      </w:r>
      <w:r>
        <w:rPr>
          <w:rFonts w:ascii="Arial" w:cs="Arial" w:eastAsia="Arial" w:hAnsi="Arial"/>
          <w:sz w:val="17"/>
          <w:szCs w:val="17"/>
          <w:color w:val="auto"/>
        </w:rPr>
        <w:t>), composition with creditors (</w:t>
      </w:r>
      <w:r>
        <w:rPr>
          <w:rFonts w:ascii="Arial" w:cs="Arial" w:eastAsia="Arial" w:hAnsi="Arial"/>
          <w:sz w:val="17"/>
          <w:szCs w:val="17"/>
          <w:i w:val="1"/>
          <w:iCs w:val="1"/>
          <w:color w:val="auto"/>
        </w:rPr>
        <w:t>concordat préventif de la faillite</w:t>
      </w:r>
      <w:r>
        <w:rPr>
          <w:rFonts w:ascii="Arial" w:cs="Arial" w:eastAsia="Arial" w:hAnsi="Arial"/>
          <w:sz w:val="17"/>
          <w:szCs w:val="17"/>
          <w:color w:val="auto"/>
        </w:rPr>
        <w:t>), suspension of payments (</w:t>
      </w:r>
      <w:r>
        <w:rPr>
          <w:rFonts w:ascii="Arial" w:cs="Arial" w:eastAsia="Arial" w:hAnsi="Arial"/>
          <w:sz w:val="17"/>
          <w:szCs w:val="17"/>
          <w:i w:val="1"/>
          <w:iCs w:val="1"/>
          <w:color w:val="auto"/>
        </w:rPr>
        <w:t>sursis de</w:t>
      </w:r>
      <w:r>
        <w:rPr>
          <w:rFonts w:ascii="Arial" w:cs="Arial" w:eastAsia="Arial" w:hAnsi="Arial"/>
          <w:sz w:val="17"/>
          <w:szCs w:val="17"/>
          <w:color w:val="auto"/>
        </w:rPr>
        <w:t xml:space="preserve"> </w:t>
      </w:r>
      <w:r>
        <w:rPr>
          <w:rFonts w:ascii="Arial" w:cs="Arial" w:eastAsia="Arial" w:hAnsi="Arial"/>
          <w:sz w:val="17"/>
          <w:szCs w:val="17"/>
          <w:i w:val="1"/>
          <w:iCs w:val="1"/>
          <w:color w:val="auto"/>
        </w:rPr>
        <w:t>paiements</w:t>
      </w:r>
      <w:r>
        <w:rPr>
          <w:rFonts w:ascii="Arial" w:cs="Arial" w:eastAsia="Arial" w:hAnsi="Arial"/>
          <w:sz w:val="17"/>
          <w:szCs w:val="17"/>
          <w:color w:val="auto"/>
        </w:rPr>
        <w:t>), controlled management (</w:t>
      </w:r>
      <w:r>
        <w:rPr>
          <w:rFonts w:ascii="Arial" w:cs="Arial" w:eastAsia="Arial" w:hAnsi="Arial"/>
          <w:sz w:val="17"/>
          <w:szCs w:val="17"/>
          <w:i w:val="1"/>
          <w:iCs w:val="1"/>
          <w:color w:val="auto"/>
        </w:rPr>
        <w:t>gestion contrôlée</w:t>
      </w:r>
      <w:r>
        <w:rPr>
          <w:rFonts w:ascii="Arial" w:cs="Arial" w:eastAsia="Arial" w:hAnsi="Arial"/>
          <w:sz w:val="17"/>
          <w:szCs w:val="17"/>
          <w:color w:val="auto"/>
        </w:rPr>
        <w:t>), judicial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or the appointment of a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t>
      </w:r>
      <w:r>
        <w:rPr>
          <w:rFonts w:ascii="Arial" w:cs="Arial" w:eastAsia="Arial" w:hAnsi="Arial"/>
          <w:sz w:val="17"/>
          <w:szCs w:val="17"/>
          <w:i w:val="1"/>
          <w:iCs w:val="1"/>
          <w:color w:val="auto"/>
        </w:rPr>
        <w:t>administrateur provisoire</w:t>
      </w:r>
      <w:r>
        <w:rPr>
          <w:rFonts w:ascii="Arial" w:cs="Arial" w:eastAsia="Arial" w:hAnsi="Arial"/>
          <w:sz w:val="17"/>
          <w:szCs w:val="17"/>
          <w:color w:val="auto"/>
        </w:rPr>
        <w:t>) pertaining to the Company have been registered with the RCS.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0" w:right="459" w:bottom="1440" w:gutter="0" w:footer="0" w:header="0"/>
        </w:sectPr>
      </w:pPr>
    </w:p>
    <w:bookmarkStart w:id="52" w:name="page53"/>
    <w:bookmarkEnd w:id="52"/>
    <w:p>
      <w:pPr>
        <w:ind w:left="436" w:hanging="436"/>
        <w:spacing w:after="0"/>
        <w:tabs>
          <w:tab w:leader="none" w:pos="43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w:t>
      </w:r>
    </w:p>
    <w:p>
      <w:pPr>
        <w:spacing w:after="0" w:line="121" w:lineRule="exact"/>
        <w:rPr>
          <w:rFonts w:ascii="Arial" w:cs="Arial" w:eastAsia="Arial" w:hAnsi="Arial"/>
          <w:sz w:val="18"/>
          <w:szCs w:val="18"/>
          <w:b w:val="1"/>
          <w:bCs w:val="1"/>
          <w:color w:val="auto"/>
        </w:rPr>
      </w:pPr>
    </w:p>
    <w:p>
      <w:pPr>
        <w:ind w:left="4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opinions expressed herein may be affected by the availability of general defences under Luxembourg law such as the principles of reasonableness and fairness, modification on grounds of unforeseen circumstances, undue influence, force majeure, the right to suspend performance as long as the other party is in default in respect of its obligations, the right to set-off and the right to dissolve a transaction upon default by the other party.</w:t>
      </w:r>
    </w:p>
    <w:p>
      <w:pPr>
        <w:spacing w:after="0" w:line="331" w:lineRule="exact"/>
        <w:rPr>
          <w:sz w:val="20"/>
          <w:szCs w:val="20"/>
          <w:color w:val="auto"/>
        </w:rPr>
      </w:pPr>
    </w:p>
    <w:p>
      <w:pPr>
        <w:ind w:left="436" w:hanging="436"/>
        <w:spacing w:after="0"/>
        <w:tabs>
          <w:tab w:leader="none" w:pos="43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We express no opinion on general defences under Luxembourg law, such as duress, deceit (</w:t>
      </w:r>
      <w:r>
        <w:rPr>
          <w:rFonts w:ascii="Arial" w:cs="Arial" w:eastAsia="Arial" w:hAnsi="Arial"/>
          <w:sz w:val="18"/>
          <w:szCs w:val="18"/>
          <w:i w:val="1"/>
          <w:iCs w:val="1"/>
          <w:color w:val="auto"/>
        </w:rPr>
        <w:t>dol</w:t>
      </w:r>
      <w:r>
        <w:rPr>
          <w:rFonts w:ascii="Arial" w:cs="Arial" w:eastAsia="Arial" w:hAnsi="Arial"/>
          <w:sz w:val="18"/>
          <w:szCs w:val="18"/>
          <w:color w:val="auto"/>
        </w:rPr>
        <w:t>) or mistake (</w:t>
      </w:r>
      <w:r>
        <w:rPr>
          <w:rFonts w:ascii="Arial" w:cs="Arial" w:eastAsia="Arial" w:hAnsi="Arial"/>
          <w:sz w:val="18"/>
          <w:szCs w:val="18"/>
          <w:i w:val="1"/>
          <w:iCs w:val="1"/>
          <w:color w:val="auto"/>
        </w:rPr>
        <w:t>erreur</w:t>
      </w:r>
      <w:r>
        <w:rPr>
          <w:rFonts w:ascii="Arial" w:cs="Arial" w:eastAsia="Arial" w:hAnsi="Arial"/>
          <w:sz w:val="18"/>
          <w:szCs w:val="18"/>
          <w:color w:val="auto"/>
        </w:rPr>
        <w:t>).</w:t>
      </w:r>
    </w:p>
    <w:p>
      <w:pPr>
        <w:spacing w:after="0" w:line="158" w:lineRule="exact"/>
        <w:rPr>
          <w:sz w:val="20"/>
          <w:szCs w:val="20"/>
          <w:color w:val="auto"/>
        </w:rPr>
      </w:pPr>
    </w:p>
    <w:p>
      <w:pPr>
        <w:jc w:val="center"/>
        <w:ind w:right="-395"/>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616"/>
          </w:cols>
          <w:pgMar w:left="444" w:top="270" w:right="8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Schlumberger Limited and Schlumberger Investment SA of our report dated January 23, 2019 relating to the financial statements and the effectiveness of internal control over financial reporting, which appears in Schlumberger Limited’s Annual Report on Form 10-K for the year ended December 31, 2018.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ectPr>
          <w:pgSz w:w="11900" w:h="16838" w:orient="portrait"/>
          <w:cols w:equalWidth="0" w:num="1">
            <w:col w:w="11020"/>
          </w:cols>
          <w:pgMar w:left="440" w:top="121" w:right="43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Each of the undersigned, being a director or officer, or both, of Schlumberger Limited, a Curaçao corporation (the “Company”), hereby constitutes and appoints Howard Guild, Alexander C. Juden or Saul R. Laureles,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Form S-3, any amendments thereto, and all post-effective amendments and supplements to this Registration Statement for the registration of Schlumberger Investment SA’s debt securities and the Guarantor’s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4"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40"/>
          </w:cols>
          <w:pgMar w:left="440" w:top="121" w:right="419" w:bottom="1440" w:gutter="0" w:footer="0" w:header="0"/>
        </w:sectPr>
      </w:pPr>
    </w:p>
    <w:p>
      <w:pPr>
        <w:spacing w:after="0" w:line="197"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/s/</w:t>
        <w:tab/>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/s/</w:t>
        <w:tab/>
        <w:t>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Miguel Galuccio</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880"/>
        <w:spacing w:after="0"/>
        <w:tabs>
          <w:tab w:leader="none" w:pos="2200" w:val="left"/>
        </w:tabs>
        <w:rPr>
          <w:sz w:val="20"/>
          <w:szCs w:val="20"/>
          <w:color w:val="auto"/>
        </w:rPr>
      </w:pPr>
      <w:r>
        <w:rPr>
          <w:rFonts w:ascii="Arial" w:cs="Arial" w:eastAsia="Arial" w:hAnsi="Arial"/>
          <w:sz w:val="18"/>
          <w:szCs w:val="18"/>
          <w:color w:val="auto"/>
        </w:rPr>
        <w:t>/s/</w:t>
        <w:tab/>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Paal Kibsgaard</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6"/>
          <w:szCs w:val="16"/>
          <w:color w:val="auto"/>
        </w:rPr>
        <w:t>Chairman of the Board and Chief Executive Officer</w:t>
      </w:r>
    </w:p>
    <w:p>
      <w:pPr>
        <w:spacing w:after="0" w:line="247" w:lineRule="exact"/>
        <w:rPr>
          <w:sz w:val="20"/>
          <w:szCs w:val="20"/>
          <w:color w:val="auto"/>
        </w:rPr>
      </w:pPr>
    </w:p>
    <w:p>
      <w:pPr>
        <w:ind w:left="1640"/>
        <w:spacing w:after="0"/>
        <w:tabs>
          <w:tab w:leader="none" w:pos="1980" w:val="left"/>
        </w:tabs>
        <w:rPr>
          <w:sz w:val="20"/>
          <w:szCs w:val="20"/>
          <w:color w:val="auto"/>
        </w:rPr>
      </w:pPr>
      <w:r>
        <w:rPr>
          <w:rFonts w:ascii="Arial" w:cs="Arial" w:eastAsia="Arial" w:hAnsi="Arial"/>
          <w:sz w:val="18"/>
          <w:szCs w:val="18"/>
          <w:color w:val="auto"/>
        </w:rPr>
        <w:t>/s/</w:t>
        <w:tab/>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Nikolay Kudryavtsev</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840"/>
        <w:spacing w:after="0"/>
        <w:tabs>
          <w:tab w:leader="none" w:pos="2180" w:val="left"/>
        </w:tabs>
        <w:rPr>
          <w:sz w:val="20"/>
          <w:szCs w:val="20"/>
          <w:color w:val="auto"/>
        </w:rPr>
      </w:pPr>
      <w:r>
        <w:rPr>
          <w:rFonts w:ascii="Arial" w:cs="Arial" w:eastAsia="Arial" w:hAnsi="Arial"/>
          <w:sz w:val="18"/>
          <w:szCs w:val="18"/>
          <w:color w:val="auto"/>
        </w:rPr>
        <w:t>/s/</w:t>
        <w:tab/>
        <w:t>Tatiana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Tatiana Mitrova</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tcPr>
          <w:p>
            <w:pPr>
              <w:jc w:val="center"/>
              <w:ind w:right="1670"/>
              <w:spacing w:after="0"/>
              <w:rPr>
                <w:sz w:val="20"/>
                <w:szCs w:val="20"/>
                <w:color w:val="auto"/>
              </w:rPr>
            </w:pPr>
            <w:r>
              <w:rPr>
                <w:rFonts w:ascii="Arial" w:cs="Arial" w:eastAsia="Arial" w:hAnsi="Arial"/>
                <w:sz w:val="18"/>
                <w:szCs w:val="18"/>
                <w:color w:val="auto"/>
                <w:w w:val="96"/>
              </w:rPr>
              <w:t>Indra K. Nooyi</w:t>
            </w:r>
          </w:p>
        </w:tc>
      </w:tr>
      <w:tr>
        <w:trPr>
          <w:trHeight w:val="209"/>
        </w:trPr>
        <w:tc>
          <w:tcPr>
            <w:tcW w:w="5180" w:type="dxa"/>
            <w:vAlign w:val="bottom"/>
            <w:gridSpan w:val="2"/>
          </w:tcPr>
          <w:p>
            <w:pPr>
              <w:jc w:val="center"/>
              <w:spacing w:after="0"/>
              <w:rPr>
                <w:sz w:val="20"/>
                <w:szCs w:val="20"/>
                <w:color w:val="auto"/>
              </w:rPr>
            </w:pPr>
            <w:r>
              <w:rPr>
                <w:rFonts w:ascii="Arial" w:cs="Arial" w:eastAsia="Arial" w:hAnsi="Arial"/>
                <w:sz w:val="18"/>
                <w:szCs w:val="18"/>
                <w:color w:val="auto"/>
                <w:w w:val="94"/>
              </w:rPr>
              <w:t>Indra K. Nooyi</w:t>
            </w:r>
          </w:p>
        </w:tc>
      </w:tr>
      <w:tr>
        <w:trPr>
          <w:trHeight w:val="230"/>
        </w:trPr>
        <w:tc>
          <w:tcPr>
            <w:tcW w:w="2080" w:type="dxa"/>
            <w:vAlign w:val="bottom"/>
          </w:tcPr>
          <w:p>
            <w:pPr>
              <w:spacing w:after="0"/>
              <w:rPr>
                <w:sz w:val="20"/>
                <w:szCs w:val="20"/>
                <w:color w:val="auto"/>
              </w:rPr>
            </w:pPr>
          </w:p>
        </w:tc>
        <w:tc>
          <w:tcPr>
            <w:tcW w:w="3100" w:type="dxa"/>
            <w:vAlign w:val="bottom"/>
          </w:tcPr>
          <w:p>
            <w:pPr>
              <w:jc w:val="center"/>
              <w:ind w:right="2010"/>
              <w:spacing w:after="0"/>
              <w:rPr>
                <w:sz w:val="20"/>
                <w:szCs w:val="20"/>
                <w:color w:val="auto"/>
              </w:rPr>
            </w:pPr>
            <w:r>
              <w:rPr>
                <w:rFonts w:ascii="Arial" w:cs="Arial" w:eastAsia="Arial" w:hAnsi="Arial"/>
                <w:sz w:val="18"/>
                <w:szCs w:val="18"/>
                <w:color w:val="auto"/>
                <w:w w:val="95"/>
              </w:rPr>
              <w:t>Director</w:t>
            </w:r>
          </w:p>
        </w:tc>
      </w:tr>
      <w:tr>
        <w:trPr>
          <w:trHeight w:val="446"/>
        </w:trPr>
        <w:tc>
          <w:tcPr>
            <w:tcW w:w="208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tcPr>
          <w:p>
            <w:pPr>
              <w:jc w:val="center"/>
              <w:ind w:right="1670"/>
              <w:spacing w:after="0"/>
              <w:rPr>
                <w:sz w:val="20"/>
                <w:szCs w:val="20"/>
                <w:color w:val="auto"/>
              </w:rPr>
            </w:pPr>
            <w:r>
              <w:rPr>
                <w:rFonts w:ascii="Arial" w:cs="Arial" w:eastAsia="Arial" w:hAnsi="Arial"/>
                <w:sz w:val="18"/>
                <w:szCs w:val="18"/>
                <w:color w:val="auto"/>
                <w:w w:val="90"/>
              </w:rPr>
              <w:t>Lubna S. Olayan</w:t>
            </w:r>
          </w:p>
        </w:tc>
      </w:tr>
      <w:tr>
        <w:trPr>
          <w:trHeight w:val="209"/>
        </w:trPr>
        <w:tc>
          <w:tcPr>
            <w:tcW w:w="5180" w:type="dxa"/>
            <w:vAlign w:val="bottom"/>
            <w:gridSpan w:val="2"/>
          </w:tcPr>
          <w:p>
            <w:pPr>
              <w:jc w:val="center"/>
              <w:spacing w:after="0"/>
              <w:rPr>
                <w:sz w:val="20"/>
                <w:szCs w:val="20"/>
                <w:color w:val="auto"/>
              </w:rPr>
            </w:pPr>
            <w:r>
              <w:rPr>
                <w:rFonts w:ascii="Arial" w:cs="Arial" w:eastAsia="Arial" w:hAnsi="Arial"/>
                <w:sz w:val="18"/>
                <w:szCs w:val="18"/>
                <w:color w:val="auto"/>
                <w:w w:val="89"/>
              </w:rPr>
              <w:t>Lubna S. Olayan</w:t>
            </w:r>
          </w:p>
        </w:tc>
      </w:tr>
      <w:tr>
        <w:trPr>
          <w:trHeight w:val="230"/>
        </w:trPr>
        <w:tc>
          <w:tcPr>
            <w:tcW w:w="2080" w:type="dxa"/>
            <w:vAlign w:val="bottom"/>
          </w:tcPr>
          <w:p>
            <w:pPr>
              <w:spacing w:after="0"/>
              <w:rPr>
                <w:sz w:val="20"/>
                <w:szCs w:val="20"/>
                <w:color w:val="auto"/>
              </w:rPr>
            </w:pPr>
          </w:p>
        </w:tc>
        <w:tc>
          <w:tcPr>
            <w:tcW w:w="3100" w:type="dxa"/>
            <w:vAlign w:val="bottom"/>
          </w:tcPr>
          <w:p>
            <w:pPr>
              <w:jc w:val="center"/>
              <w:ind w:right="2010"/>
              <w:spacing w:after="0"/>
              <w:rPr>
                <w:sz w:val="20"/>
                <w:szCs w:val="20"/>
                <w:color w:val="auto"/>
              </w:rPr>
            </w:pPr>
            <w:r>
              <w:rPr>
                <w:rFonts w:ascii="Arial" w:cs="Arial" w:eastAsia="Arial" w:hAnsi="Arial"/>
                <w:sz w:val="18"/>
                <w:szCs w:val="18"/>
                <w:color w:val="auto"/>
                <w:w w:val="95"/>
              </w:rPr>
              <w:t>Director</w:t>
            </w:r>
          </w:p>
        </w:tc>
      </w:tr>
      <w:tr>
        <w:trPr>
          <w:trHeight w:val="446"/>
        </w:trPr>
        <w:tc>
          <w:tcPr>
            <w:tcW w:w="208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83"/>
              </w:rPr>
              <w:t>/s/</w:t>
            </w:r>
          </w:p>
        </w:tc>
        <w:tc>
          <w:tcPr>
            <w:tcW w:w="3100" w:type="dxa"/>
            <w:vAlign w:val="bottom"/>
            <w:tcBorders>
              <w:bottom w:val="single" w:sz="8" w:color="auto"/>
            </w:tcBorders>
          </w:tcPr>
          <w:p>
            <w:pPr>
              <w:jc w:val="center"/>
              <w:ind w:right="1650"/>
              <w:spacing w:after="0"/>
              <w:rPr>
                <w:sz w:val="20"/>
                <w:szCs w:val="20"/>
                <w:color w:val="auto"/>
              </w:rPr>
            </w:pPr>
            <w:r>
              <w:rPr>
                <w:rFonts w:ascii="Arial" w:cs="Arial" w:eastAsia="Arial" w:hAnsi="Arial"/>
                <w:sz w:val="18"/>
                <w:szCs w:val="18"/>
                <w:color w:val="auto"/>
                <w:w w:val="90"/>
              </w:rPr>
              <w:t>Mark G. Papa</w:t>
            </w:r>
          </w:p>
        </w:tc>
      </w:tr>
      <w:tr>
        <w:trPr>
          <w:trHeight w:val="209"/>
        </w:trPr>
        <w:tc>
          <w:tcPr>
            <w:tcW w:w="2080" w:type="dxa"/>
            <w:vAlign w:val="bottom"/>
          </w:tcPr>
          <w:p>
            <w:pPr>
              <w:spacing w:after="0"/>
              <w:rPr>
                <w:sz w:val="18"/>
                <w:szCs w:val="18"/>
                <w:color w:val="auto"/>
              </w:rPr>
            </w:pPr>
          </w:p>
        </w:tc>
        <w:tc>
          <w:tcPr>
            <w:tcW w:w="3100" w:type="dxa"/>
            <w:vAlign w:val="bottom"/>
          </w:tcPr>
          <w:p>
            <w:pPr>
              <w:jc w:val="center"/>
              <w:ind w:right="2010"/>
              <w:spacing w:after="0"/>
              <w:rPr>
                <w:sz w:val="20"/>
                <w:szCs w:val="20"/>
                <w:color w:val="auto"/>
              </w:rPr>
            </w:pPr>
            <w:r>
              <w:rPr>
                <w:rFonts w:ascii="Arial" w:cs="Arial" w:eastAsia="Arial" w:hAnsi="Arial"/>
                <w:sz w:val="18"/>
                <w:szCs w:val="18"/>
                <w:color w:val="auto"/>
                <w:w w:val="90"/>
              </w:rPr>
              <w:t>Mark G. Papa</w:t>
            </w:r>
          </w:p>
        </w:tc>
      </w:tr>
      <w:tr>
        <w:trPr>
          <w:trHeight w:val="230"/>
        </w:trPr>
        <w:tc>
          <w:tcPr>
            <w:tcW w:w="2080" w:type="dxa"/>
            <w:vAlign w:val="bottom"/>
          </w:tcPr>
          <w:p>
            <w:pPr>
              <w:spacing w:after="0"/>
              <w:rPr>
                <w:sz w:val="20"/>
                <w:szCs w:val="20"/>
                <w:color w:val="auto"/>
              </w:rPr>
            </w:pPr>
          </w:p>
        </w:tc>
        <w:tc>
          <w:tcPr>
            <w:tcW w:w="3100" w:type="dxa"/>
            <w:vAlign w:val="bottom"/>
          </w:tcPr>
          <w:p>
            <w:pPr>
              <w:jc w:val="center"/>
              <w:ind w:right="2010"/>
              <w:spacing w:after="0"/>
              <w:rPr>
                <w:sz w:val="20"/>
                <w:szCs w:val="20"/>
                <w:color w:val="auto"/>
              </w:rPr>
            </w:pPr>
            <w:r>
              <w:rPr>
                <w:rFonts w:ascii="Arial" w:cs="Arial" w:eastAsia="Arial" w:hAnsi="Arial"/>
                <w:sz w:val="18"/>
                <w:szCs w:val="18"/>
                <w:color w:val="auto"/>
                <w:w w:val="95"/>
              </w:rPr>
              <w:t>Director</w:t>
            </w:r>
          </w:p>
        </w:tc>
      </w:tr>
      <w:tr>
        <w:trPr>
          <w:trHeight w:val="446"/>
        </w:trPr>
        <w:tc>
          <w:tcPr>
            <w:tcW w:w="20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tcPr>
          <w:p>
            <w:pPr>
              <w:jc w:val="center"/>
              <w:ind w:right="1670"/>
              <w:spacing w:after="0"/>
              <w:rPr>
                <w:sz w:val="20"/>
                <w:szCs w:val="20"/>
                <w:color w:val="auto"/>
              </w:rPr>
            </w:pPr>
            <w:r>
              <w:rPr>
                <w:rFonts w:ascii="Arial" w:cs="Arial" w:eastAsia="Arial" w:hAnsi="Arial"/>
                <w:sz w:val="18"/>
                <w:szCs w:val="18"/>
                <w:color w:val="auto"/>
                <w:w w:val="91"/>
              </w:rPr>
              <w:t>Leo Rafael Reif</w:t>
            </w:r>
          </w:p>
        </w:tc>
      </w:tr>
      <w:tr>
        <w:trPr>
          <w:trHeight w:val="209"/>
        </w:trPr>
        <w:tc>
          <w:tcPr>
            <w:tcW w:w="5180" w:type="dxa"/>
            <w:vAlign w:val="bottom"/>
            <w:gridSpan w:val="2"/>
          </w:tcPr>
          <w:p>
            <w:pPr>
              <w:jc w:val="center"/>
              <w:spacing w:after="0"/>
              <w:rPr>
                <w:sz w:val="20"/>
                <w:szCs w:val="20"/>
                <w:color w:val="auto"/>
              </w:rPr>
            </w:pPr>
            <w:r>
              <w:rPr>
                <w:rFonts w:ascii="Arial" w:cs="Arial" w:eastAsia="Arial" w:hAnsi="Arial"/>
                <w:sz w:val="18"/>
                <w:szCs w:val="18"/>
                <w:color w:val="auto"/>
                <w:w w:val="93"/>
              </w:rPr>
              <w:t>Leo Rafael Reif</w:t>
            </w:r>
          </w:p>
        </w:tc>
      </w:tr>
      <w:tr>
        <w:trPr>
          <w:trHeight w:val="230"/>
        </w:trPr>
        <w:tc>
          <w:tcPr>
            <w:tcW w:w="2080" w:type="dxa"/>
            <w:vAlign w:val="bottom"/>
          </w:tcPr>
          <w:p>
            <w:pPr>
              <w:spacing w:after="0"/>
              <w:rPr>
                <w:sz w:val="20"/>
                <w:szCs w:val="20"/>
                <w:color w:val="auto"/>
              </w:rPr>
            </w:pPr>
          </w:p>
        </w:tc>
        <w:tc>
          <w:tcPr>
            <w:tcW w:w="3100" w:type="dxa"/>
            <w:vAlign w:val="bottom"/>
          </w:tcPr>
          <w:p>
            <w:pPr>
              <w:jc w:val="center"/>
              <w:ind w:right="2010"/>
              <w:spacing w:after="0"/>
              <w:rPr>
                <w:sz w:val="20"/>
                <w:szCs w:val="20"/>
                <w:color w:val="auto"/>
              </w:rPr>
            </w:pPr>
            <w:r>
              <w:rPr>
                <w:rFonts w:ascii="Arial" w:cs="Arial" w:eastAsia="Arial" w:hAnsi="Arial"/>
                <w:sz w:val="18"/>
                <w:szCs w:val="18"/>
                <w:color w:val="auto"/>
                <w:w w:val="95"/>
              </w:rPr>
              <w:t>Director</w:t>
            </w:r>
          </w:p>
        </w:tc>
      </w:tr>
      <w:tr>
        <w:trPr>
          <w:trHeight w:val="446"/>
        </w:trPr>
        <w:tc>
          <w:tcPr>
            <w:tcW w:w="2080" w:type="dxa"/>
            <w:vAlign w:val="bottom"/>
          </w:tcPr>
          <w:p>
            <w:pPr>
              <w:ind w:left="1860"/>
              <w:spacing w:after="0"/>
              <w:rPr>
                <w:sz w:val="20"/>
                <w:szCs w:val="20"/>
                <w:color w:val="auto"/>
              </w:rPr>
            </w:pPr>
            <w:r>
              <w:rPr>
                <w:rFonts w:ascii="Arial" w:cs="Arial" w:eastAsia="Arial" w:hAnsi="Arial"/>
                <w:sz w:val="18"/>
                <w:szCs w:val="18"/>
                <w:color w:val="auto"/>
              </w:rPr>
              <w:t>/s/</w:t>
            </w:r>
          </w:p>
        </w:tc>
        <w:tc>
          <w:tcPr>
            <w:tcW w:w="3100" w:type="dxa"/>
            <w:vAlign w:val="bottom"/>
          </w:tcPr>
          <w:p>
            <w:pPr>
              <w:jc w:val="center"/>
              <w:ind w:right="1650"/>
              <w:spacing w:after="0"/>
              <w:rPr>
                <w:sz w:val="20"/>
                <w:szCs w:val="20"/>
                <w:color w:val="auto"/>
              </w:rPr>
            </w:pPr>
            <w:r>
              <w:rPr>
                <w:rFonts w:ascii="Arial" w:cs="Arial" w:eastAsia="Arial" w:hAnsi="Arial"/>
                <w:sz w:val="18"/>
                <w:szCs w:val="18"/>
                <w:color w:val="auto"/>
                <w:w w:val="91"/>
              </w:rPr>
              <w:t>Henri Seydoux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284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140" w:space="720"/>
            <w:col w:w="5180"/>
          </w:cols>
          <w:pgMar w:left="440" w:top="121" w:right="41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of the undersigned, being a director or officer, or both, of Schlumberger Investment SA, a</w:t>
      </w:r>
      <w:r>
        <w:rPr>
          <w:rFonts w:ascii="Arial" w:cs="Arial" w:eastAsia="Arial" w:hAnsi="Arial"/>
          <w:sz w:val="16"/>
          <w:szCs w:val="16"/>
          <w:b w:val="1"/>
          <w:bCs w:val="1"/>
          <w:color w:val="auto"/>
        </w:rPr>
        <w:t xml:space="preserve"> </w:t>
      </w:r>
      <w:r>
        <w:rPr>
          <w:rFonts w:ascii="Arial" w:cs="Arial" w:eastAsia="Arial" w:hAnsi="Arial"/>
          <w:sz w:val="16"/>
          <w:szCs w:val="16"/>
          <w:color w:val="auto"/>
        </w:rPr>
        <w:t>Luxembourg société anonyme (the “Company”), hereby constitutes and appoints Eileen Hardell, Saul Laureles, Philippe Petre, or Joanna Todd,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on Form S-3, any amendments thereto, and all post-effective amendments and supplements to this Registration Statement for the registration of the Company’s debt securities and Schlumberger Limited’s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4"/>
                <w:szCs w:val="14"/>
                <w:color w:val="auto"/>
              </w:rPr>
            </w:pPr>
          </w:p>
        </w:tc>
      </w:tr>
      <w:tr>
        <w:trPr>
          <w:trHeight w:val="426"/>
        </w:trPr>
        <w:tc>
          <w:tcPr>
            <w:tcW w:w="22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w w:val="83"/>
              </w:rPr>
              <w:t>/s/</w:t>
            </w:r>
          </w:p>
        </w:tc>
        <w:tc>
          <w:tcPr>
            <w:tcW w:w="3280" w:type="dxa"/>
            <w:vAlign w:val="bottom"/>
            <w:tcBorders>
              <w:bottom w:val="single" w:sz="8" w:color="auto"/>
            </w:tcBorders>
            <w:gridSpan w:val="3"/>
          </w:tcPr>
          <w:p>
            <w:pPr>
              <w:jc w:val="center"/>
              <w:ind w:right="1920"/>
              <w:spacing w:after="0"/>
              <w:rPr>
                <w:sz w:val="20"/>
                <w:szCs w:val="20"/>
                <w:color w:val="auto"/>
              </w:rPr>
            </w:pPr>
            <w:r>
              <w:rPr>
                <w:rFonts w:ascii="Arial" w:cs="Arial" w:eastAsia="Arial" w:hAnsi="Arial"/>
                <w:sz w:val="18"/>
                <w:szCs w:val="18"/>
                <w:color w:val="auto"/>
                <w:w w:val="89"/>
              </w:rPr>
              <w:t>Philippe Petre</w:t>
            </w:r>
          </w:p>
        </w:tc>
        <w:tc>
          <w:tcPr>
            <w:tcW w:w="3380" w:type="dxa"/>
            <w:vAlign w:val="bottom"/>
            <w:gridSpan w:val="3"/>
          </w:tcPr>
          <w:p>
            <w:pPr>
              <w:jc w:val="center"/>
              <w:ind w:left="2110"/>
              <w:spacing w:after="0"/>
              <w:rPr>
                <w:sz w:val="20"/>
                <w:szCs w:val="20"/>
                <w:color w:val="auto"/>
              </w:rPr>
            </w:pPr>
            <w:r>
              <w:rPr>
                <w:rFonts w:ascii="Arial" w:cs="Arial" w:eastAsia="Arial" w:hAnsi="Arial"/>
                <w:sz w:val="18"/>
                <w:szCs w:val="18"/>
                <w:color w:val="auto"/>
                <w:w w:val="90"/>
              </w:rPr>
              <w:t>Class B Director</w:t>
            </w:r>
          </w:p>
        </w:tc>
      </w:tr>
      <w:tr>
        <w:trPr>
          <w:trHeight w:val="224"/>
        </w:trPr>
        <w:tc>
          <w:tcPr>
            <w:tcW w:w="55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(Philippe Petre)</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2260"/>
              <w:spacing w:after="0"/>
              <w:rPr>
                <w:sz w:val="20"/>
                <w:szCs w:val="20"/>
                <w:color w:val="auto"/>
              </w:rPr>
            </w:pPr>
            <w:r>
              <w:rPr>
                <w:rFonts w:ascii="Arial" w:cs="Arial" w:eastAsia="Arial" w:hAnsi="Arial"/>
                <w:sz w:val="18"/>
                <w:szCs w:val="18"/>
                <w:color w:val="auto"/>
                <w:w w:val="97"/>
              </w:rPr>
              <w:t>/s/  Sinar Sar</w:t>
            </w:r>
          </w:p>
        </w:tc>
        <w:tc>
          <w:tcPr>
            <w:tcW w:w="3380" w:type="dxa"/>
            <w:vAlign w:val="bottom"/>
            <w:gridSpan w:val="3"/>
          </w:tcPr>
          <w:p>
            <w:pPr>
              <w:jc w:val="center"/>
              <w:ind w:left="2110"/>
              <w:spacing w:after="0"/>
              <w:rPr>
                <w:sz w:val="20"/>
                <w:szCs w:val="20"/>
                <w:color w:val="auto"/>
              </w:rPr>
            </w:pPr>
            <w:r>
              <w:rPr>
                <w:rFonts w:ascii="Arial" w:cs="Arial" w:eastAsia="Arial" w:hAnsi="Arial"/>
                <w:sz w:val="18"/>
                <w:szCs w:val="18"/>
                <w:color w:val="auto"/>
                <w:w w:val="90"/>
              </w:rPr>
              <w:t>Class A Director</w:t>
            </w:r>
          </w:p>
        </w:tc>
      </w:tr>
      <w:tr>
        <w:trPr>
          <w:trHeight w:val="224"/>
        </w:trPr>
        <w:tc>
          <w:tcPr>
            <w:tcW w:w="2240" w:type="dxa"/>
            <w:vAlign w:val="bottom"/>
          </w:tcPr>
          <w:p>
            <w:pPr>
              <w:spacing w:after="0"/>
              <w:rPr>
                <w:sz w:val="19"/>
                <w:szCs w:val="19"/>
                <w:color w:val="auto"/>
              </w:rPr>
            </w:pPr>
          </w:p>
        </w:tc>
        <w:tc>
          <w:tcPr>
            <w:tcW w:w="3280" w:type="dxa"/>
            <w:vAlign w:val="bottom"/>
            <w:gridSpan w:val="3"/>
          </w:tcPr>
          <w:p>
            <w:pPr>
              <w:jc w:val="center"/>
              <w:ind w:right="2260"/>
              <w:spacing w:after="0"/>
              <w:rPr>
                <w:sz w:val="20"/>
                <w:szCs w:val="20"/>
                <w:color w:val="auto"/>
              </w:rPr>
            </w:pPr>
            <w:r>
              <w:rPr>
                <w:rFonts w:ascii="Arial" w:cs="Arial" w:eastAsia="Arial" w:hAnsi="Arial"/>
                <w:sz w:val="18"/>
                <w:szCs w:val="18"/>
                <w:color w:val="auto"/>
                <w:w w:val="89"/>
              </w:rPr>
              <w:t>(Sinar Sar)</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24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w w:val="94"/>
              </w:rPr>
              <w:t>/s/</w:t>
            </w:r>
          </w:p>
        </w:tc>
        <w:tc>
          <w:tcPr>
            <w:tcW w:w="3280" w:type="dxa"/>
            <w:vAlign w:val="bottom"/>
            <w:tcBorders>
              <w:bottom w:val="single" w:sz="8" w:color="auto"/>
            </w:tcBorders>
            <w:gridSpan w:val="3"/>
          </w:tcPr>
          <w:p>
            <w:pPr>
              <w:jc w:val="center"/>
              <w:ind w:right="1920"/>
              <w:spacing w:after="0"/>
              <w:rPr>
                <w:sz w:val="20"/>
                <w:szCs w:val="20"/>
                <w:color w:val="auto"/>
              </w:rPr>
            </w:pPr>
            <w:r>
              <w:rPr>
                <w:rFonts w:ascii="Arial" w:cs="Arial" w:eastAsia="Arial" w:hAnsi="Arial"/>
                <w:sz w:val="18"/>
                <w:szCs w:val="18"/>
                <w:color w:val="auto"/>
                <w:w w:val="96"/>
              </w:rPr>
              <w:t>Brian Halcrow</w:t>
            </w:r>
          </w:p>
        </w:tc>
        <w:tc>
          <w:tcPr>
            <w:tcW w:w="3380" w:type="dxa"/>
            <w:vAlign w:val="bottom"/>
            <w:gridSpan w:val="3"/>
          </w:tcPr>
          <w:p>
            <w:pPr>
              <w:jc w:val="center"/>
              <w:ind w:left="2110"/>
              <w:spacing w:after="0"/>
              <w:rPr>
                <w:sz w:val="20"/>
                <w:szCs w:val="20"/>
                <w:color w:val="auto"/>
              </w:rPr>
            </w:pPr>
            <w:r>
              <w:rPr>
                <w:rFonts w:ascii="Arial" w:cs="Arial" w:eastAsia="Arial" w:hAnsi="Arial"/>
                <w:sz w:val="18"/>
                <w:szCs w:val="18"/>
                <w:color w:val="auto"/>
                <w:w w:val="90"/>
              </w:rPr>
              <w:t>Class A Director</w:t>
            </w:r>
          </w:p>
        </w:tc>
      </w:tr>
      <w:tr>
        <w:trPr>
          <w:trHeight w:val="224"/>
        </w:trPr>
        <w:tc>
          <w:tcPr>
            <w:tcW w:w="55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(Brian Halcrow)</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2019</w:t>
      </w:r>
    </w:p>
    <w:p>
      <w:pPr>
        <w:sectPr>
          <w:pgSz w:w="11900" w:h="16838" w:orient="portrait"/>
          <w:cols w:equalWidth="0" w:num="1">
            <w:col w:w="11020"/>
          </w:cols>
          <w:pgMar w:left="440" w:top="270" w:right="439" w:bottom="1440" w:gutter="0" w:footer="0" w:header="0"/>
        </w:sectPr>
      </w:pPr>
    </w:p>
    <w:bookmarkStart w:id="56" w:name="page57"/>
    <w:bookmarkEnd w:id="56"/>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6997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92710</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40" w:right="2800" w:hanging="436"/>
        <w:spacing w:after="0" w:line="269" w:lineRule="auto"/>
        <w:tabs>
          <w:tab w:leader="none" w:pos="440" w:val="left"/>
        </w:tabs>
        <w:numPr>
          <w:ilvl w:val="0"/>
          <w:numId w:val="63"/>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197485</wp:posOffset>
            </wp:positionV>
            <wp:extent cx="14662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602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92"/>
              </w:rPr>
              <w:t>New York</w:t>
            </w:r>
          </w:p>
        </w:tc>
        <w:tc>
          <w:tcPr>
            <w:tcW w:w="1440" w:type="dxa"/>
            <w:vAlign w:val="bottom"/>
          </w:tcPr>
          <w:p>
            <w:pPr>
              <w:jc w:val="right"/>
              <w:ind w:right="20"/>
              <w:spacing w:after="0"/>
              <w:rPr>
                <w:sz w:val="20"/>
                <w:szCs w:val="20"/>
                <w:color w:val="auto"/>
              </w:rPr>
            </w:pPr>
            <w:r>
              <w:rPr>
                <w:rFonts w:ascii="Arial" w:cs="Arial" w:eastAsia="Arial" w:hAnsi="Arial"/>
                <w:sz w:val="18"/>
                <w:szCs w:val="18"/>
                <w:b w:val="1"/>
                <w:bCs w:val="1"/>
                <w:color w:val="auto"/>
              </w:rPr>
              <w:t>13-5160382</w:t>
            </w:r>
          </w:p>
        </w:tc>
      </w:tr>
      <w:tr>
        <w:trPr>
          <w:trHeight w:val="149"/>
        </w:trPr>
        <w:tc>
          <w:tcPr>
            <w:tcW w:w="6020" w:type="dxa"/>
            <w:vAlign w:val="bottom"/>
            <w:gridSpan w:val="3"/>
          </w:tcPr>
          <w:p>
            <w:pPr>
              <w:jc w:val="center"/>
              <w:ind w:right="3420"/>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1440" w:type="dxa"/>
            <w:vAlign w:val="bottom"/>
          </w:tcPr>
          <w:p>
            <w:pPr>
              <w:jc w:val="center"/>
              <w:ind w:left="280"/>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02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w w:val="93"/>
              </w:rPr>
              <w:t>if not a U.S. national bank)</w:t>
            </w:r>
          </w:p>
        </w:tc>
        <w:tc>
          <w:tcPr>
            <w:tcW w:w="1440" w:type="dxa"/>
            <w:vAlign w:val="bottom"/>
          </w:tcPr>
          <w:p>
            <w:pPr>
              <w:jc w:val="center"/>
              <w:ind w:left="280"/>
              <w:spacing w:after="0"/>
              <w:rPr>
                <w:sz w:val="20"/>
                <w:szCs w:val="20"/>
                <w:color w:val="auto"/>
              </w:rPr>
            </w:pPr>
            <w:r>
              <w:rPr>
                <w:rFonts w:ascii="Arial" w:cs="Arial" w:eastAsia="Arial" w:hAnsi="Arial"/>
                <w:sz w:val="14"/>
                <w:szCs w:val="14"/>
                <w:b w:val="1"/>
                <w:bCs w:val="1"/>
                <w:color w:val="auto"/>
                <w:w w:val="92"/>
              </w:rPr>
              <w:t>identification no.)</w:t>
            </w:r>
          </w:p>
        </w:tc>
      </w:tr>
      <w:tr>
        <w:trPr>
          <w:trHeight w:val="408"/>
        </w:trPr>
        <w:tc>
          <w:tcPr>
            <w:tcW w:w="602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93"/>
              </w:rPr>
              <w:t>225 Liberty Street, New York, NY</w:t>
            </w:r>
          </w:p>
        </w:tc>
        <w:tc>
          <w:tcPr>
            <w:tcW w:w="1440" w:type="dxa"/>
            <w:vAlign w:val="bottom"/>
          </w:tcPr>
          <w:p>
            <w:pPr>
              <w:jc w:val="right"/>
              <w:ind w:right="240"/>
              <w:spacing w:after="0"/>
              <w:rPr>
                <w:sz w:val="20"/>
                <w:szCs w:val="20"/>
                <w:color w:val="auto"/>
              </w:rPr>
            </w:pPr>
            <w:r>
              <w:rPr>
                <w:rFonts w:ascii="Arial" w:cs="Arial" w:eastAsia="Arial" w:hAnsi="Arial"/>
                <w:sz w:val="18"/>
                <w:szCs w:val="18"/>
                <w:b w:val="1"/>
                <w:bCs w:val="1"/>
                <w:color w:val="auto"/>
              </w:rPr>
              <w:t>10286</w:t>
            </w:r>
          </w:p>
        </w:tc>
      </w:tr>
      <w:tr>
        <w:trPr>
          <w:trHeight w:val="186"/>
        </w:trPr>
        <w:tc>
          <w:tcPr>
            <w:tcW w:w="602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440" w:type="dxa"/>
            <w:vAlign w:val="bottom"/>
          </w:tcPr>
          <w:p>
            <w:pPr>
              <w:jc w:val="center"/>
              <w:ind w:left="280"/>
              <w:spacing w:after="0"/>
              <w:rPr>
                <w:sz w:val="20"/>
                <w:szCs w:val="20"/>
                <w:color w:val="auto"/>
              </w:rPr>
            </w:pPr>
            <w:r>
              <w:rPr>
                <w:rFonts w:ascii="Arial" w:cs="Arial" w:eastAsia="Arial" w:hAnsi="Arial"/>
                <w:sz w:val="14"/>
                <w:szCs w:val="14"/>
                <w:b w:val="1"/>
                <w:bCs w:val="1"/>
                <w:color w:val="auto"/>
                <w:w w:val="95"/>
              </w:rPr>
              <w:t>(Zip code)</w:t>
            </w:r>
          </w:p>
        </w:tc>
      </w:tr>
      <w:tr>
        <w:trPr>
          <w:trHeight w:val="412"/>
        </w:trPr>
        <w:tc>
          <w:tcPr>
            <w:tcW w:w="602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w w:val="90"/>
              </w:rPr>
              <w:t>Adam Solowsky, Legal Department</w:t>
            </w:r>
          </w:p>
        </w:tc>
        <w:tc>
          <w:tcPr>
            <w:tcW w:w="1440" w:type="dxa"/>
            <w:vAlign w:val="bottom"/>
          </w:tcPr>
          <w:p>
            <w:pPr>
              <w:spacing w:after="0"/>
              <w:rPr>
                <w:sz w:val="24"/>
                <w:szCs w:val="24"/>
                <w:color w:val="auto"/>
              </w:rPr>
            </w:pPr>
          </w:p>
        </w:tc>
      </w:tr>
      <w:tr>
        <w:trPr>
          <w:trHeight w:val="216"/>
        </w:trPr>
        <w:tc>
          <w:tcPr>
            <w:tcW w:w="6020" w:type="dxa"/>
            <w:vAlign w:val="bottom"/>
            <w:gridSpan w:val="3"/>
          </w:tcPr>
          <w:p>
            <w:pPr>
              <w:jc w:val="center"/>
              <w:ind w:left="1877"/>
              <w:spacing w:after="0"/>
              <w:rPr>
                <w:sz w:val="20"/>
                <w:szCs w:val="20"/>
                <w:color w:val="auto"/>
              </w:rPr>
            </w:pPr>
            <w:r>
              <w:rPr>
                <w:rFonts w:ascii="Arial" w:cs="Arial" w:eastAsia="Arial" w:hAnsi="Arial"/>
                <w:sz w:val="18"/>
                <w:szCs w:val="18"/>
                <w:b w:val="1"/>
                <w:bCs w:val="1"/>
                <w:color w:val="auto"/>
                <w:w w:val="92"/>
              </w:rPr>
              <w:t>The Bank of New York Mellon</w:t>
            </w:r>
          </w:p>
        </w:tc>
        <w:tc>
          <w:tcPr>
            <w:tcW w:w="1440" w:type="dxa"/>
            <w:vAlign w:val="bottom"/>
          </w:tcPr>
          <w:p>
            <w:pPr>
              <w:spacing w:after="0"/>
              <w:rPr>
                <w:sz w:val="18"/>
                <w:szCs w:val="18"/>
                <w:color w:val="auto"/>
              </w:rPr>
            </w:pPr>
          </w:p>
        </w:tc>
      </w:tr>
      <w:tr>
        <w:trPr>
          <w:trHeight w:val="216"/>
        </w:trPr>
        <w:tc>
          <w:tcPr>
            <w:tcW w:w="602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w w:val="90"/>
              </w:rPr>
              <w:t>240 Greenwich Street, Floor 7 East</w:t>
            </w:r>
          </w:p>
        </w:tc>
        <w:tc>
          <w:tcPr>
            <w:tcW w:w="144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New York, New York 10286</w:t>
            </w:r>
          </w:p>
        </w:tc>
        <w:tc>
          <w:tcPr>
            <w:tcW w:w="1440" w:type="dxa"/>
            <w:vAlign w:val="bottom"/>
          </w:tcPr>
          <w:p>
            <w:pPr>
              <w:spacing w:after="0"/>
              <w:rPr>
                <w:sz w:val="18"/>
                <w:szCs w:val="18"/>
                <w:color w:val="auto"/>
              </w:rPr>
            </w:pPr>
          </w:p>
        </w:tc>
      </w:tr>
      <w:tr>
        <w:trPr>
          <w:trHeight w:val="212"/>
        </w:trPr>
        <w:tc>
          <w:tcPr>
            <w:tcW w:w="5140" w:type="dxa"/>
            <w:vAlign w:val="bottom"/>
            <w:gridSpan w:val="2"/>
          </w:tcPr>
          <w:p>
            <w:pPr>
              <w:jc w:val="center"/>
              <w:ind w:left="2777"/>
              <w:spacing w:after="0"/>
              <w:rPr>
                <w:sz w:val="20"/>
                <w:szCs w:val="20"/>
                <w:color w:val="auto"/>
              </w:rPr>
            </w:pPr>
            <w:r>
              <w:rPr>
                <w:rFonts w:ascii="Arial" w:cs="Arial" w:eastAsia="Arial" w:hAnsi="Arial"/>
                <w:sz w:val="18"/>
                <w:szCs w:val="18"/>
                <w:b w:val="1"/>
                <w:bCs w:val="1"/>
                <w:color w:val="auto"/>
                <w:w w:val="90"/>
              </w:rPr>
              <w:t>(212) 635-7147</w:t>
            </w: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6"/>
        </w:trPr>
        <w:tc>
          <w:tcPr>
            <w:tcW w:w="6020" w:type="dxa"/>
            <w:vAlign w:val="bottom"/>
            <w:gridSpan w:val="3"/>
          </w:tcPr>
          <w:p>
            <w:pPr>
              <w:jc w:val="center"/>
              <w:ind w:left="1877"/>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440" w:type="dxa"/>
            <w:vAlign w:val="bottom"/>
          </w:tcPr>
          <w:p>
            <w:pPr>
              <w:spacing w:after="0"/>
              <w:rPr>
                <w:sz w:val="16"/>
                <w:szCs w:val="16"/>
                <w:color w:val="auto"/>
              </w:rPr>
            </w:pPr>
          </w:p>
        </w:tc>
      </w:tr>
      <w:tr>
        <w:trPr>
          <w:trHeight w:val="350"/>
        </w:trPr>
        <w:tc>
          <w:tcPr>
            <w:tcW w:w="28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7"/>
        </w:trPr>
        <w:tc>
          <w:tcPr>
            <w:tcW w:w="28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8"/>
              </w:rPr>
              <w:t>SCHLUMBERGER N.V.</w:t>
            </w:r>
          </w:p>
        </w:tc>
        <w:tc>
          <w:tcPr>
            <w:tcW w:w="1440" w:type="dxa"/>
            <w:vAlign w:val="bottom"/>
          </w:tcPr>
          <w:p>
            <w:pPr>
              <w:spacing w:after="0"/>
              <w:rPr>
                <w:sz w:val="24"/>
                <w:szCs w:val="24"/>
                <w:color w:val="auto"/>
              </w:rPr>
            </w:pPr>
          </w:p>
        </w:tc>
      </w:tr>
      <w:tr>
        <w:trPr>
          <w:trHeight w:val="212"/>
        </w:trPr>
        <w:tc>
          <w:tcPr>
            <w:tcW w:w="602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rPr>
              <w:t>(SCHLUMBERGER LIMITED)</w:t>
            </w:r>
          </w:p>
        </w:tc>
        <w:tc>
          <w:tcPr>
            <w:tcW w:w="1440" w:type="dxa"/>
            <w:vAlign w:val="bottom"/>
          </w:tcPr>
          <w:p>
            <w:pPr>
              <w:spacing w:after="0"/>
              <w:rPr>
                <w:sz w:val="18"/>
                <w:szCs w:val="18"/>
                <w:color w:val="auto"/>
              </w:rPr>
            </w:pPr>
          </w:p>
        </w:tc>
      </w:tr>
      <w:tr>
        <w:trPr>
          <w:trHeight w:val="186"/>
        </w:trPr>
        <w:tc>
          <w:tcPr>
            <w:tcW w:w="6020" w:type="dxa"/>
            <w:vAlign w:val="bottom"/>
            <w:gridSpan w:val="3"/>
          </w:tcPr>
          <w:p>
            <w:pPr>
              <w:jc w:val="center"/>
              <w:ind w:left="1877"/>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440" w:type="dxa"/>
            <w:vAlign w:val="bottom"/>
          </w:tcPr>
          <w:p>
            <w:pPr>
              <w:spacing w:after="0"/>
              <w:rPr>
                <w:sz w:val="16"/>
                <w:szCs w:val="16"/>
                <w:color w:val="auto"/>
              </w:rPr>
            </w:pPr>
          </w:p>
        </w:tc>
      </w:tr>
      <w:tr>
        <w:trPr>
          <w:trHeight w:val="336"/>
        </w:trPr>
        <w:tc>
          <w:tcPr>
            <w:tcW w:w="28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0"/>
        </w:trPr>
        <w:tc>
          <w:tcPr>
            <w:tcW w:w="60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Curaçao</w:t>
            </w:r>
          </w:p>
        </w:tc>
        <w:tc>
          <w:tcPr>
            <w:tcW w:w="1440" w:type="dxa"/>
            <w:vAlign w:val="bottom"/>
          </w:tcPr>
          <w:p>
            <w:pPr>
              <w:jc w:val="center"/>
              <w:ind w:left="100"/>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6020" w:type="dxa"/>
            <w:vAlign w:val="bottom"/>
            <w:gridSpan w:val="3"/>
          </w:tcPr>
          <w:p>
            <w:pPr>
              <w:jc w:val="center"/>
              <w:ind w:right="35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1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gridSpan w:val="3"/>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100"/>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60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Schlumberger Limited</w:t>
            </w:r>
          </w:p>
        </w:tc>
        <w:tc>
          <w:tcPr>
            <w:tcW w:w="1440" w:type="dxa"/>
            <w:vAlign w:val="bottom"/>
          </w:tcPr>
          <w:p>
            <w:pPr>
              <w:spacing w:after="0"/>
              <w:rPr>
                <w:sz w:val="24"/>
                <w:szCs w:val="24"/>
                <w:color w:val="auto"/>
              </w:rPr>
            </w:pPr>
          </w:p>
        </w:tc>
      </w:tr>
      <w:tr>
        <w:trPr>
          <w:trHeight w:val="216"/>
        </w:trPr>
        <w:tc>
          <w:tcPr>
            <w:tcW w:w="602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1"/>
              </w:rPr>
              <w:t>42, rue Saint-Dominique</w:t>
            </w:r>
          </w:p>
        </w:tc>
        <w:tc>
          <w:tcPr>
            <w:tcW w:w="1440" w:type="dxa"/>
            <w:vAlign w:val="bottom"/>
          </w:tcPr>
          <w:p>
            <w:pPr>
              <w:spacing w:after="0"/>
              <w:rPr>
                <w:sz w:val="18"/>
                <w:szCs w:val="18"/>
                <w:color w:val="auto"/>
              </w:rPr>
            </w:pPr>
          </w:p>
        </w:tc>
      </w:tr>
      <w:tr>
        <w:trPr>
          <w:trHeight w:val="234"/>
        </w:trPr>
        <w:tc>
          <w:tcPr>
            <w:tcW w:w="60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0"/>
              </w:rPr>
              <w:t>Paris, France</w:t>
            </w:r>
          </w:p>
        </w:tc>
        <w:tc>
          <w:tcPr>
            <w:tcW w:w="1440" w:type="dxa"/>
            <w:vAlign w:val="bottom"/>
          </w:tcPr>
          <w:p>
            <w:pPr>
              <w:jc w:val="center"/>
              <w:ind w:left="100"/>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602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0"/>
              </w:rPr>
              <w:t>5599 San Felipe, 17th Floor</w:t>
            </w:r>
          </w:p>
        </w:tc>
        <w:tc>
          <w:tcPr>
            <w:tcW w:w="1440" w:type="dxa"/>
            <w:vAlign w:val="bottom"/>
          </w:tcPr>
          <w:p>
            <w:pPr>
              <w:spacing w:after="0"/>
              <w:rPr>
                <w:sz w:val="24"/>
                <w:szCs w:val="24"/>
                <w:color w:val="auto"/>
              </w:rPr>
            </w:pPr>
          </w:p>
        </w:tc>
      </w:tr>
      <w:tr>
        <w:trPr>
          <w:trHeight w:val="234"/>
        </w:trPr>
        <w:tc>
          <w:tcPr>
            <w:tcW w:w="60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88"/>
              </w:rPr>
              <w:t>Houston, Texas</w:t>
            </w:r>
          </w:p>
        </w:tc>
        <w:tc>
          <w:tcPr>
            <w:tcW w:w="1440" w:type="dxa"/>
            <w:vAlign w:val="bottom"/>
          </w:tcPr>
          <w:p>
            <w:pPr>
              <w:jc w:val="center"/>
              <w:ind w:left="100"/>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602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2"/>
              </w:rPr>
              <w:t>Parkstraat 83, The Hague</w:t>
            </w:r>
          </w:p>
        </w:tc>
        <w:tc>
          <w:tcPr>
            <w:tcW w:w="1440" w:type="dxa"/>
            <w:vAlign w:val="bottom"/>
          </w:tcPr>
          <w:p>
            <w:pPr>
              <w:jc w:val="center"/>
              <w:ind w:left="100"/>
              <w:spacing w:after="0"/>
              <w:rPr>
                <w:sz w:val="20"/>
                <w:szCs w:val="20"/>
                <w:color w:val="auto"/>
              </w:rPr>
            </w:pPr>
            <w:r>
              <w:rPr>
                <w:rFonts w:ascii="Arial" w:cs="Arial" w:eastAsia="Arial" w:hAnsi="Arial"/>
                <w:sz w:val="18"/>
                <w:szCs w:val="18"/>
                <w:b w:val="1"/>
                <w:bCs w:val="1"/>
                <w:color w:val="auto"/>
                <w:w w:val="89"/>
              </w:rPr>
              <w:t>2514 JG</w:t>
            </w:r>
          </w:p>
        </w:tc>
      </w:tr>
      <w:tr>
        <w:trPr>
          <w:trHeight w:val="216"/>
        </w:trPr>
        <w:tc>
          <w:tcPr>
            <w:tcW w:w="602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0"/>
              </w:rPr>
              <w:t>The Netherlands</w:t>
            </w:r>
          </w:p>
        </w:tc>
        <w:tc>
          <w:tcPr>
            <w:tcW w:w="1440" w:type="dxa"/>
            <w:vAlign w:val="bottom"/>
          </w:tcPr>
          <w:p>
            <w:pPr>
              <w:jc w:val="center"/>
              <w:ind w:left="100"/>
              <w:spacing w:after="0"/>
              <w:rPr>
                <w:sz w:val="20"/>
                <w:szCs w:val="20"/>
                <w:color w:val="auto"/>
              </w:rPr>
            </w:pPr>
            <w:r>
              <w:rPr>
                <w:rFonts w:ascii="Arial" w:cs="Arial" w:eastAsia="Arial" w:hAnsi="Arial"/>
                <w:sz w:val="14"/>
                <w:szCs w:val="14"/>
                <w:b w:val="1"/>
                <w:bCs w:val="1"/>
                <w:color w:val="auto"/>
                <w:w w:val="92"/>
              </w:rPr>
              <w:t>(Zip code)</w:t>
            </w:r>
          </w:p>
        </w:tc>
      </w:tr>
      <w:tr>
        <w:trPr>
          <w:trHeight w:val="186"/>
        </w:trPr>
        <w:tc>
          <w:tcPr>
            <w:tcW w:w="602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spacing w:after="0"/>
              <w:rPr>
                <w:sz w:val="16"/>
                <w:szCs w:val="16"/>
                <w:color w:val="auto"/>
              </w:rPr>
            </w:pPr>
          </w:p>
        </w:tc>
      </w:tr>
      <w:tr>
        <w:trPr>
          <w:trHeight w:val="350"/>
        </w:trPr>
        <w:tc>
          <w:tcPr>
            <w:tcW w:w="28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6020" w:type="dxa"/>
            <w:vAlign w:val="bottom"/>
            <w:gridSpan w:val="3"/>
          </w:tcPr>
          <w:p>
            <w:pPr>
              <w:jc w:val="center"/>
              <w:ind w:left="1897"/>
              <w:spacing w:after="0"/>
              <w:rPr>
                <w:sz w:val="20"/>
                <w:szCs w:val="20"/>
                <w:color w:val="auto"/>
              </w:rPr>
            </w:pPr>
            <w:r>
              <w:rPr>
                <w:rFonts w:ascii="Arial" w:cs="Arial" w:eastAsia="Arial" w:hAnsi="Arial"/>
                <w:sz w:val="18"/>
                <w:szCs w:val="18"/>
                <w:b w:val="1"/>
                <w:bCs w:val="1"/>
                <w:color w:val="auto"/>
              </w:rPr>
              <w:t>SCHLUMBERGER INVESTMENT SA</w:t>
            </w:r>
          </w:p>
        </w:tc>
        <w:tc>
          <w:tcPr>
            <w:tcW w:w="1440" w:type="dxa"/>
            <w:vAlign w:val="bottom"/>
          </w:tcPr>
          <w:p>
            <w:pPr>
              <w:spacing w:after="0"/>
              <w:rPr>
                <w:sz w:val="24"/>
                <w:szCs w:val="24"/>
                <w:color w:val="auto"/>
              </w:rPr>
            </w:pPr>
          </w:p>
        </w:tc>
      </w:tr>
      <w:tr>
        <w:trPr>
          <w:trHeight w:val="186"/>
        </w:trPr>
        <w:tc>
          <w:tcPr>
            <w:tcW w:w="6020" w:type="dxa"/>
            <w:vAlign w:val="bottom"/>
            <w:gridSpan w:val="3"/>
          </w:tcPr>
          <w:p>
            <w:pPr>
              <w:jc w:val="center"/>
              <w:ind w:left="1877"/>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440" w:type="dxa"/>
            <w:vAlign w:val="bottom"/>
          </w:tcPr>
          <w:p>
            <w:pPr>
              <w:spacing w:after="0"/>
              <w:rPr>
                <w:sz w:val="16"/>
                <w:szCs w:val="16"/>
                <w:color w:val="auto"/>
              </w:rPr>
            </w:pPr>
          </w:p>
        </w:tc>
      </w:tr>
      <w:tr>
        <w:trPr>
          <w:trHeight w:val="421"/>
        </w:trPr>
        <w:tc>
          <w:tcPr>
            <w:tcW w:w="602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1"/>
              </w:rPr>
              <w:t>Luxembourg</w:t>
            </w:r>
          </w:p>
        </w:tc>
        <w:tc>
          <w:tcPr>
            <w:tcW w:w="1440" w:type="dxa"/>
            <w:vAlign w:val="bottom"/>
          </w:tcPr>
          <w:p>
            <w:pPr>
              <w:jc w:val="center"/>
              <w:ind w:left="100"/>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6020" w:type="dxa"/>
            <w:vAlign w:val="bottom"/>
            <w:gridSpan w:val="3"/>
          </w:tcPr>
          <w:p>
            <w:pPr>
              <w:jc w:val="center"/>
              <w:ind w:right="35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6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gridSpan w:val="3"/>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100"/>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02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0"/>
              </w:rPr>
              <w:t>42-44 Avenue de la Gare</w:t>
            </w:r>
          </w:p>
        </w:tc>
        <w:tc>
          <w:tcPr>
            <w:tcW w:w="1440" w:type="dxa"/>
            <w:vAlign w:val="bottom"/>
          </w:tcPr>
          <w:p>
            <w:pPr>
              <w:jc w:val="center"/>
              <w:ind w:left="100"/>
              <w:spacing w:after="0"/>
              <w:rPr>
                <w:sz w:val="20"/>
                <w:szCs w:val="20"/>
                <w:color w:val="auto"/>
              </w:rPr>
            </w:pPr>
            <w:r>
              <w:rPr>
                <w:rFonts w:ascii="Arial" w:cs="Arial" w:eastAsia="Arial" w:hAnsi="Arial"/>
                <w:sz w:val="18"/>
                <w:szCs w:val="18"/>
                <w:b w:val="1"/>
                <w:bCs w:val="1"/>
                <w:color w:val="auto"/>
                <w:w w:val="94"/>
              </w:rPr>
              <w:t>L-1610</w:t>
            </w:r>
          </w:p>
        </w:tc>
      </w:tr>
      <w:tr>
        <w:trPr>
          <w:trHeight w:val="216"/>
        </w:trPr>
        <w:tc>
          <w:tcPr>
            <w:tcW w:w="602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1"/>
              </w:rPr>
              <w:t>Luxembourg</w:t>
            </w:r>
          </w:p>
        </w:tc>
        <w:tc>
          <w:tcPr>
            <w:tcW w:w="1440" w:type="dxa"/>
            <w:vAlign w:val="bottom"/>
          </w:tcPr>
          <w:p>
            <w:pPr>
              <w:jc w:val="center"/>
              <w:ind w:left="100"/>
              <w:spacing w:after="0"/>
              <w:rPr>
                <w:sz w:val="20"/>
                <w:szCs w:val="20"/>
                <w:color w:val="auto"/>
              </w:rPr>
            </w:pPr>
            <w:r>
              <w:rPr>
                <w:rFonts w:ascii="Arial" w:cs="Arial" w:eastAsia="Arial" w:hAnsi="Arial"/>
                <w:sz w:val="14"/>
                <w:szCs w:val="14"/>
                <w:b w:val="1"/>
                <w:bCs w:val="1"/>
                <w:color w:val="auto"/>
                <w:w w:val="92"/>
              </w:rPr>
              <w:t>(Zip code)</w:t>
            </w:r>
          </w:p>
        </w:tc>
      </w:tr>
      <w:tr>
        <w:trPr>
          <w:trHeight w:val="186"/>
        </w:trPr>
        <w:tc>
          <w:tcPr>
            <w:tcW w:w="602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Debt Securities of Schlumberger Investment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 of Senior Debt Securities of Schlumberger Investment SA by Schlumberger Limited</w:t>
      </w:r>
    </w:p>
    <w:p>
      <w:pPr>
        <w:sectPr>
          <w:pgSz w:w="11900" w:h="16878" w:orient="portrait"/>
          <w:cols w:equalWidth="0" w:num="1">
            <w:col w:w="11020"/>
          </w:cols>
          <w:pgMar w:left="440" w:top="121" w:right="4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the indenture securities)</w:t>
      </w:r>
    </w:p>
    <w:p>
      <w:pPr>
        <w:sectPr>
          <w:pgSz w:w="11900" w:h="16878" w:orient="portrait"/>
          <w:cols w:equalWidth="0" w:num="1">
            <w:col w:w="11020"/>
          </w:cols>
          <w:pgMar w:left="440" w:top="121" w:right="439" w:bottom="0" w:gutter="0" w:footer="0" w:header="0"/>
          <w:type w:val="continuous"/>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234950</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ind w:left="436" w:hanging="436"/>
        <w:spacing w:after="0"/>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56" w:hanging="424"/>
        <w:spacing w:after="0"/>
        <w:tabs>
          <w:tab w:leader="none" w:pos="856"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36" w:type="dxa"/>
        <w:tblCellMar>
          <w:top w:w="0" w:type="dxa"/>
          <w:left w:w="0" w:type="dxa"/>
          <w:bottom w:w="0" w:type="dxa"/>
          <w:right w:w="0" w:type="dxa"/>
        </w:tblCellMar>
      </w:tblPr>
      <w:tr>
        <w:trPr>
          <w:trHeight w:val="167"/>
        </w:trPr>
        <w:tc>
          <w:tcPr>
            <w:tcW w:w="360" w:type="dxa"/>
            <w:vAlign w:val="bottom"/>
          </w:tcPr>
          <w:p>
            <w:pPr>
              <w:spacing w:after="0"/>
              <w:rPr>
                <w:sz w:val="20"/>
                <w:szCs w:val="20"/>
                <w:color w:val="auto"/>
              </w:rPr>
            </w:pPr>
            <w:r>
              <w:rPr>
                <w:rFonts w:ascii="Arial" w:cs="Arial" w:eastAsia="Arial" w:hAnsi="Arial"/>
                <w:sz w:val="14"/>
                <w:szCs w:val="14"/>
                <w:color w:val="auto"/>
                <w:w w:val="90"/>
              </w:rPr>
              <w:t>Name</w:t>
            </w:r>
          </w:p>
        </w:tc>
        <w:tc>
          <w:tcPr>
            <w:tcW w:w="4260" w:type="dxa"/>
            <w:vAlign w:val="bottom"/>
          </w:tcPr>
          <w:p>
            <w:pPr>
              <w:spacing w:after="0"/>
              <w:rPr>
                <w:sz w:val="14"/>
                <w:szCs w:val="14"/>
                <w:color w:val="auto"/>
              </w:rPr>
            </w:pPr>
          </w:p>
        </w:tc>
        <w:tc>
          <w:tcPr>
            <w:tcW w:w="3040" w:type="dxa"/>
            <w:vAlign w:val="bottom"/>
            <w:gridSpan w:val="3"/>
          </w:tcPr>
          <w:p>
            <w:pPr>
              <w:ind w:left="100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20" w:type="dxa"/>
            <w:vAlign w:val="bottom"/>
            <w:gridSpan w:val="2"/>
          </w:tcPr>
          <w:p>
            <w:pPr>
              <w:spacing w:after="0" w:line="195" w:lineRule="exact"/>
              <w:rPr>
                <w:sz w:val="20"/>
                <w:szCs w:val="20"/>
                <w:color w:val="auto"/>
              </w:rPr>
            </w:pPr>
            <w:r>
              <w:rPr>
                <w:rFonts w:ascii="Arial" w:cs="Arial" w:eastAsia="Arial" w:hAnsi="Arial"/>
                <w:sz w:val="18"/>
                <w:szCs w:val="18"/>
                <w:color w:val="auto"/>
              </w:rPr>
              <w:t>Superintendent of Banks of the State of New York</w:t>
            </w:r>
          </w:p>
        </w:tc>
        <w:tc>
          <w:tcPr>
            <w:tcW w:w="1000" w:type="dxa"/>
            <w:vAlign w:val="bottom"/>
            <w:vMerge w:val="continue"/>
          </w:tcPr>
          <w:p>
            <w:pPr>
              <w:spacing w:after="0"/>
              <w:rPr>
                <w:sz w:val="16"/>
                <w:szCs w:val="16"/>
                <w:color w:val="auto"/>
              </w:rPr>
            </w:pPr>
          </w:p>
        </w:tc>
        <w:tc>
          <w:tcPr>
            <w:tcW w:w="2040" w:type="dxa"/>
            <w:vAlign w:val="bottom"/>
            <w:gridSpan w:val="2"/>
          </w:tcPr>
          <w:p>
            <w:pPr>
              <w:spacing w:after="0" w:line="195" w:lineRule="exact"/>
              <w:rPr>
                <w:sz w:val="20"/>
                <w:szCs w:val="20"/>
                <w:color w:val="auto"/>
              </w:rPr>
            </w:pPr>
            <w:r>
              <w:rPr>
                <w:rFonts w:ascii="Arial" w:cs="Arial" w:eastAsia="Arial" w:hAnsi="Arial"/>
                <w:sz w:val="18"/>
                <w:szCs w:val="18"/>
                <w:color w:val="auto"/>
                <w:w w:val="88"/>
              </w:rPr>
              <w:t>One State Street, New York,</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NY 10004-1417</w:t>
            </w:r>
          </w:p>
        </w:tc>
        <w:tc>
          <w:tcPr>
            <w:tcW w:w="0" w:type="dxa"/>
            <w:vAlign w:val="bottom"/>
          </w:tcPr>
          <w:p>
            <w:pPr>
              <w:spacing w:after="0"/>
              <w:rPr>
                <w:sz w:val="1"/>
                <w:szCs w:val="1"/>
                <w:color w:val="auto"/>
              </w:rPr>
            </w:pPr>
          </w:p>
        </w:tc>
      </w:tr>
      <w:tr>
        <w:trPr>
          <w:trHeight w:val="310"/>
        </w:trPr>
        <w:tc>
          <w:tcPr>
            <w:tcW w:w="462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33 Liberty Street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New York, NY 10045</w:t>
            </w:r>
          </w:p>
        </w:tc>
        <w:tc>
          <w:tcPr>
            <w:tcW w:w="0" w:type="dxa"/>
            <w:vAlign w:val="bottom"/>
          </w:tcPr>
          <w:p>
            <w:pPr>
              <w:spacing w:after="0"/>
              <w:rPr>
                <w:sz w:val="1"/>
                <w:szCs w:val="1"/>
                <w:color w:val="auto"/>
              </w:rPr>
            </w:pPr>
          </w:p>
        </w:tc>
      </w:tr>
      <w:tr>
        <w:trPr>
          <w:trHeight w:val="310"/>
        </w:trPr>
        <w:tc>
          <w:tcPr>
            <w:tcW w:w="462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550 17</w:t>
            </w:r>
            <w:r>
              <w:rPr>
                <w:rFonts w:ascii="Arial" w:cs="Arial" w:eastAsia="Arial" w:hAnsi="Arial"/>
                <w:sz w:val="15"/>
                <w:szCs w:val="15"/>
                <w:color w:val="auto"/>
              </w:rPr>
              <w:t>th</w:t>
            </w:r>
            <w:r>
              <w:rPr>
                <w:rFonts w:ascii="Arial" w:cs="Arial" w:eastAsia="Arial" w:hAnsi="Arial"/>
                <w:sz w:val="18"/>
                <w:szCs w:val="18"/>
                <w:color w:val="auto"/>
              </w:rPr>
              <w:t xml:space="preserve"> Street, N.W.</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3501 N. Fairfax Drive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Arlington, VA 22226</w:t>
            </w:r>
          </w:p>
        </w:tc>
        <w:tc>
          <w:tcPr>
            <w:tcW w:w="0" w:type="dxa"/>
            <w:vAlign w:val="bottom"/>
          </w:tcPr>
          <w:p>
            <w:pPr>
              <w:spacing w:after="0"/>
              <w:rPr>
                <w:sz w:val="1"/>
                <w:szCs w:val="1"/>
                <w:color w:val="auto"/>
              </w:rPr>
            </w:pP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The Clearing House Association, L.L.C.</w:t>
            </w: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450 West 33rd Street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40" w:type="dxa"/>
            <w:vAlign w:val="bottom"/>
            <w:gridSpan w:val="3"/>
          </w:tcPr>
          <w:p>
            <w:pPr>
              <w:ind w:left="1000"/>
              <w:spacing w:after="0"/>
              <w:rPr>
                <w:sz w:val="20"/>
                <w:szCs w:val="20"/>
                <w:color w:val="auto"/>
              </w:rPr>
            </w:pPr>
            <w:r>
              <w:rPr>
                <w:rFonts w:ascii="Arial" w:cs="Arial" w:eastAsia="Arial" w:hAnsi="Arial"/>
                <w:sz w:val="18"/>
                <w:szCs w:val="18"/>
                <w:color w:val="auto"/>
              </w:rPr>
              <w:t>New York, NY 10001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56" w:hanging="424"/>
        <w:spacing w:after="0"/>
        <w:tabs>
          <w:tab w:leader="none" w:pos="85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Yes.</w:t>
      </w:r>
    </w:p>
    <w:p>
      <w:pPr>
        <w:spacing w:after="0" w:line="370" w:lineRule="exact"/>
        <w:rPr>
          <w:sz w:val="20"/>
          <w:szCs w:val="20"/>
          <w:color w:val="auto"/>
        </w:rPr>
      </w:pPr>
    </w:p>
    <w:p>
      <w:pPr>
        <w:ind w:left="436" w:hanging="436"/>
        <w:spacing w:after="0"/>
        <w:tabs>
          <w:tab w:leader="none" w:pos="436"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36" w:right="4500"/>
        <w:spacing w:after="0" w:line="53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any of the obligors is an affiliate of the trustee, describe each such affiliation. </w:t>
      </w:r>
      <w:r>
        <w:rPr>
          <w:rFonts w:ascii="Arial" w:cs="Arial" w:eastAsia="Arial" w:hAnsi="Arial"/>
          <w:sz w:val="18"/>
          <w:szCs w:val="18"/>
          <w:color w:val="auto"/>
        </w:rPr>
        <w:t>None.</w:t>
      </w:r>
    </w:p>
    <w:p>
      <w:pPr>
        <w:spacing w:after="0" w:line="95" w:lineRule="exact"/>
        <w:rPr>
          <w:sz w:val="20"/>
          <w:szCs w:val="20"/>
          <w:color w:val="auto"/>
        </w:rPr>
      </w:pPr>
    </w:p>
    <w:p>
      <w:pPr>
        <w:ind w:left="436" w:hanging="431"/>
        <w:spacing w:after="0" w:line="289" w:lineRule="auto"/>
        <w:rPr>
          <w:sz w:val="20"/>
          <w:szCs w:val="20"/>
          <w:color w:val="auto"/>
        </w:rPr>
      </w:pPr>
      <w:r>
        <w:rPr>
          <w:rFonts w:ascii="Arial" w:cs="Arial" w:eastAsia="Arial" w:hAnsi="Arial"/>
          <w:sz w:val="17"/>
          <w:szCs w:val="17"/>
          <w:b w:val="1"/>
          <w:bCs w:val="1"/>
          <w:color w:val="auto"/>
        </w:rPr>
        <w:t>3-15. Pursuant to General Instruction B of the Form T-1, no responses are included for Items 3-15 of this Form T-1 because, to the best of The Bank of New York Mellon’s knowledge, the obligors are not in default on any securities issued under indentures under which The Bank of New York Mellon acts as trustee and the trustee is not a foreign trustee as provided under Item 15.</w:t>
      </w:r>
    </w:p>
    <w:p>
      <w:pPr>
        <w:spacing w:after="0" w:line="307" w:lineRule="exact"/>
        <w:rPr>
          <w:sz w:val="20"/>
          <w:szCs w:val="20"/>
          <w:color w:val="auto"/>
        </w:rPr>
      </w:pPr>
    </w:p>
    <w:p>
      <w:pPr>
        <w:ind w:left="436" w:hanging="436"/>
        <w:spacing w:after="0"/>
        <w:tabs>
          <w:tab w:leader="none" w:pos="436"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36" w:right="1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ectPr>
          <w:pgSz w:w="11900" w:h="16838" w:orient="portrait"/>
          <w:cols w:equalWidth="0" w:num="1">
            <w:col w:w="10996"/>
          </w:cols>
          <w:pgMar w:left="444" w:top="270" w:right="459" w:bottom="1440" w:gutter="0" w:footer="0" w:header="0"/>
        </w:sectPr>
      </w:pPr>
    </w:p>
    <w:bookmarkStart w:id="59" w:name="page60"/>
    <w:bookmarkEnd w:id="59"/>
    <w:p>
      <w:pPr>
        <w:ind w:left="424" w:hanging="424"/>
        <w:spacing w:after="0" w:line="297" w:lineRule="auto"/>
        <w:tabs>
          <w:tab w:leader="none" w:pos="424"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 No. 333-152735.)</w:t>
      </w:r>
    </w:p>
    <w:p>
      <w:pPr>
        <w:spacing w:after="0" w:line="64"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1"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53" w:lineRule="exact"/>
        <w:rPr>
          <w:rFonts w:ascii="Arial" w:cs="Arial" w:eastAsia="Arial" w:hAnsi="Arial"/>
          <w:sz w:val="16"/>
          <w:szCs w:val="16"/>
          <w:color w:val="auto"/>
        </w:rPr>
      </w:pPr>
    </w:p>
    <w:p>
      <w:pPr>
        <w:ind w:left="424" w:right="520" w:hanging="424"/>
        <w:spacing w:after="0" w:line="277"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0564"/>
          </w:cols>
          <w:pgMar w:left="876" w:top="274" w:right="459" w:bottom="1440" w:gutter="0" w:footer="0" w:header="0"/>
        </w:sectPr>
      </w:pPr>
    </w:p>
    <w:bookmarkStart w:id="60" w:name="page61"/>
    <w:bookmarkEnd w:id="60"/>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24</w:t>
      </w:r>
      <w:r>
        <w:rPr>
          <w:rFonts w:ascii="Arial" w:cs="Arial" w:eastAsia="Arial" w:hAnsi="Arial"/>
          <w:sz w:val="15"/>
          <w:szCs w:val="15"/>
          <w:color w:val="auto"/>
        </w:rPr>
        <w:t>th</w:t>
      </w:r>
      <w:r>
        <w:rPr>
          <w:rFonts w:ascii="Arial" w:cs="Arial" w:eastAsia="Arial" w:hAnsi="Arial"/>
          <w:sz w:val="18"/>
          <w:szCs w:val="18"/>
          <w:color w:val="auto"/>
        </w:rPr>
        <w:t xml:space="preserve"> day of April 2019.</w:t>
      </w:r>
    </w:p>
    <w:p>
      <w:pPr>
        <w:spacing w:after="0" w:line="200" w:lineRule="exact"/>
        <w:rPr>
          <w:sz w:val="20"/>
          <w:szCs w:val="20"/>
          <w:color w:val="auto"/>
        </w:rPr>
      </w:pP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Laurence J. O’Brien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880"/>
          </w:cols>
          <w:pgMar w:left="440" w:top="274" w:right="5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jc w:val="center"/>
              <w:ind w:left="1510"/>
              <w:spacing w:after="0"/>
              <w:rPr>
                <w:sz w:val="20"/>
                <w:szCs w:val="20"/>
                <w:color w:val="auto"/>
              </w:rPr>
            </w:pPr>
            <w:r>
              <w:rPr>
                <w:rFonts w:ascii="Arial" w:cs="Arial" w:eastAsia="Arial" w:hAnsi="Arial"/>
                <w:sz w:val="18"/>
                <w:szCs w:val="18"/>
                <w:b w:val="1"/>
                <w:bCs w:val="1"/>
                <w:color w:val="auto"/>
                <w:w w:val="95"/>
              </w:rPr>
              <w:t>BY-LAWS</w:t>
            </w:r>
          </w:p>
        </w:tc>
        <w:tc>
          <w:tcPr>
            <w:tcW w:w="1540" w:type="dxa"/>
            <w:vAlign w:val="bottom"/>
          </w:tcPr>
          <w:p>
            <w:pPr>
              <w:spacing w:after="0"/>
              <w:rPr>
                <w:sz w:val="18"/>
                <w:szCs w:val="18"/>
                <w:color w:val="auto"/>
              </w:rPr>
            </w:pPr>
          </w:p>
        </w:tc>
      </w:tr>
      <w:tr>
        <w:trPr>
          <w:trHeight w:val="216"/>
        </w:trPr>
        <w:tc>
          <w:tcPr>
            <w:tcW w:w="9440" w:type="dxa"/>
            <w:vAlign w:val="bottom"/>
          </w:tcPr>
          <w:p>
            <w:pPr>
              <w:jc w:val="center"/>
              <w:ind w:left="1490"/>
              <w:spacing w:after="0"/>
              <w:rPr>
                <w:sz w:val="20"/>
                <w:szCs w:val="20"/>
                <w:color w:val="auto"/>
              </w:rPr>
            </w:pPr>
            <w:r>
              <w:rPr>
                <w:rFonts w:ascii="Arial" w:cs="Arial" w:eastAsia="Arial" w:hAnsi="Arial"/>
                <w:sz w:val="18"/>
                <w:szCs w:val="18"/>
                <w:b w:val="1"/>
                <w:bCs w:val="1"/>
                <w:color w:val="auto"/>
                <w:w w:val="82"/>
              </w:rPr>
              <w:t>of</w:t>
            </w:r>
          </w:p>
        </w:tc>
        <w:tc>
          <w:tcPr>
            <w:tcW w:w="1540" w:type="dxa"/>
            <w:vAlign w:val="bottom"/>
          </w:tcPr>
          <w:p>
            <w:pPr>
              <w:spacing w:after="0"/>
              <w:rPr>
                <w:sz w:val="18"/>
                <w:szCs w:val="18"/>
                <w:color w:val="auto"/>
              </w:rPr>
            </w:pPr>
          </w:p>
        </w:tc>
      </w:tr>
      <w:tr>
        <w:trPr>
          <w:trHeight w:val="216"/>
        </w:trPr>
        <w:tc>
          <w:tcPr>
            <w:tcW w:w="9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The Bank of New York Mellon</w:t>
            </w:r>
          </w:p>
        </w:tc>
        <w:tc>
          <w:tcPr>
            <w:tcW w:w="1540" w:type="dxa"/>
            <w:vAlign w:val="bottom"/>
          </w:tcPr>
          <w:p>
            <w:pPr>
              <w:spacing w:after="0"/>
              <w:rPr>
                <w:sz w:val="18"/>
                <w:szCs w:val="18"/>
                <w:color w:val="auto"/>
              </w:rPr>
            </w:pPr>
          </w:p>
        </w:tc>
      </w:tr>
      <w:tr>
        <w:trPr>
          <w:trHeight w:val="234"/>
        </w:trPr>
        <w:tc>
          <w:tcPr>
            <w:tcW w:w="9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As Amended and Restated through February 12, 2018</w:t>
            </w:r>
          </w:p>
        </w:tc>
        <w:tc>
          <w:tcPr>
            <w:tcW w:w="1540" w:type="dxa"/>
            <w:vAlign w:val="bottom"/>
          </w:tcPr>
          <w:p>
            <w:pPr>
              <w:spacing w:after="0"/>
              <w:rPr>
                <w:sz w:val="20"/>
                <w:szCs w:val="20"/>
                <w:color w:val="auto"/>
              </w:rPr>
            </w:pPr>
          </w:p>
        </w:tc>
      </w:tr>
      <w:tr>
        <w:trPr>
          <w:trHeight w:val="432"/>
        </w:trPr>
        <w:tc>
          <w:tcPr>
            <w:tcW w:w="944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Table of Contents</w:t>
            </w:r>
          </w:p>
        </w:tc>
        <w:tc>
          <w:tcPr>
            <w:tcW w:w="1540" w:type="dxa"/>
            <w:vAlign w:val="bottom"/>
          </w:tcPr>
          <w:p>
            <w:pPr>
              <w:spacing w:after="0"/>
              <w:rPr>
                <w:sz w:val="24"/>
                <w:szCs w:val="24"/>
                <w:color w:val="auto"/>
              </w:rPr>
            </w:pPr>
          </w:p>
        </w:tc>
      </w:tr>
      <w:tr>
        <w:trPr>
          <w:trHeight w:val="377"/>
        </w:trPr>
        <w:tc>
          <w:tcPr>
            <w:tcW w:w="9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Page No.</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ARTICLE I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1.1. Annual Meeting</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1.2. Special Meetings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1.3. Notice of Meetings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SECTION 1.4. Quorum of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9440" w:type="dxa"/>
            <w:vAlign w:val="bottom"/>
          </w:tcPr>
          <w:p>
            <w:pPr>
              <w:spacing w:after="0"/>
              <w:rPr>
                <w:sz w:val="20"/>
                <w:szCs w:val="20"/>
                <w:color w:val="auto"/>
              </w:rPr>
            </w:pPr>
            <w:r>
              <w:rPr>
                <w:rFonts w:ascii="Arial" w:cs="Arial" w:eastAsia="Arial" w:hAnsi="Arial"/>
                <w:sz w:val="18"/>
                <w:szCs w:val="18"/>
                <w:color w:val="auto"/>
              </w:rPr>
              <w:t>ARTICLE II Board of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2.1. Number of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2.2. [Reserved]</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2.3. Meetings of the Board</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2.4. Quorum of Directors and Action by the Board</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2.5. Removal of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2.6. Vacancies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2.7.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2.8. Minutes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2.9. Reports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SECTION 2.10 Action without a Meeting</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440" w:type="dxa"/>
            <w:vAlign w:val="bottom"/>
          </w:tcPr>
          <w:p>
            <w:pPr>
              <w:spacing w:after="0"/>
              <w:rPr>
                <w:sz w:val="20"/>
                <w:szCs w:val="20"/>
                <w:color w:val="auto"/>
              </w:rPr>
            </w:pPr>
            <w:r>
              <w:rPr>
                <w:rFonts w:ascii="Arial" w:cs="Arial" w:eastAsia="Arial" w:hAnsi="Arial"/>
                <w:sz w:val="18"/>
                <w:szCs w:val="18"/>
                <w:color w:val="auto"/>
              </w:rPr>
              <w:t>ARTICLE III [Reserved]</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9440" w:type="dxa"/>
            <w:vAlign w:val="bottom"/>
          </w:tcPr>
          <w:p>
            <w:pPr>
              <w:spacing w:after="0"/>
              <w:rPr>
                <w:sz w:val="20"/>
                <w:szCs w:val="20"/>
                <w:color w:val="auto"/>
              </w:rPr>
            </w:pPr>
            <w:r>
              <w:rPr>
                <w:rFonts w:ascii="Arial" w:cs="Arial" w:eastAsia="Arial" w:hAnsi="Arial"/>
                <w:sz w:val="18"/>
                <w:szCs w:val="18"/>
                <w:color w:val="auto"/>
              </w:rPr>
              <w:t>ARTICLE IV Committees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4.1. Committees of Directors Officers and/or Other Persons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4.2.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SECTION 4.3. Manner of Acting</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9440" w:type="dxa"/>
            <w:vAlign w:val="bottom"/>
          </w:tcPr>
          <w:p>
            <w:pPr>
              <w:spacing w:after="0"/>
              <w:rPr>
                <w:sz w:val="20"/>
                <w:szCs w:val="20"/>
                <w:color w:val="auto"/>
              </w:rPr>
            </w:pPr>
            <w:r>
              <w:rPr>
                <w:rFonts w:ascii="Arial" w:cs="Arial" w:eastAsia="Arial" w:hAnsi="Arial"/>
                <w:sz w:val="18"/>
                <w:szCs w:val="18"/>
                <w:color w:val="auto"/>
              </w:rPr>
              <w:t>ARTICLE V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5.1. Principal Executive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5.2. Senior Executive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5.3. Other Senior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5.4. Appointed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5.5. Bonds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5.6. General Supervisory Powers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5.7. Executive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5.8. Senior Vice Presidents, Managing Directors, Directors, First Vice Presidents and Vice Presidents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5.9. Secretary</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5.10. Treasurer</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SECTION 5.11. Comptroller</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0"/>
          </w:cols>
          <w:pgMar w:left="440" w:top="270" w:right="4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3980" w:type="dxa"/>
            <w:vAlign w:val="bottom"/>
          </w:tcPr>
          <w:p>
            <w:pPr>
              <w:jc w:val="right"/>
              <w:spacing w:after="0"/>
              <w:rPr>
                <w:sz w:val="20"/>
                <w:szCs w:val="20"/>
                <w:color w:val="auto"/>
              </w:rPr>
            </w:pPr>
            <w:r>
              <w:rPr>
                <w:rFonts w:ascii="Arial" w:cs="Arial" w:eastAsia="Arial" w:hAnsi="Arial"/>
                <w:sz w:val="14"/>
                <w:szCs w:val="14"/>
                <w:color w:val="auto"/>
              </w:rPr>
              <w:t>Page No.</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5.12. Chief Auditor</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SECTION 5.13. Other Officers</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7000" w:type="dxa"/>
            <w:vAlign w:val="bottom"/>
          </w:tcPr>
          <w:p>
            <w:pPr>
              <w:spacing w:after="0"/>
              <w:rPr>
                <w:sz w:val="20"/>
                <w:szCs w:val="20"/>
                <w:color w:val="auto"/>
              </w:rPr>
            </w:pPr>
            <w:r>
              <w:rPr>
                <w:rFonts w:ascii="Arial" w:cs="Arial" w:eastAsia="Arial" w:hAnsi="Arial"/>
                <w:sz w:val="18"/>
                <w:szCs w:val="18"/>
                <w:color w:val="auto"/>
              </w:rPr>
              <w:t>ARTICLE VI Signing Authorities</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6.1. [Intentionally Omitted]</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6.2. Senior Signing Powers</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6.3. Limited Signing Powers</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6.4. Powers of Attorney</w:t>
            </w:r>
          </w:p>
        </w:tc>
        <w:tc>
          <w:tcPr>
            <w:tcW w:w="3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SECTION 6.5. Chief Auditor</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7000" w:type="dxa"/>
            <w:vAlign w:val="bottom"/>
          </w:tcPr>
          <w:p>
            <w:pPr>
              <w:spacing w:after="0"/>
              <w:rPr>
                <w:sz w:val="20"/>
                <w:szCs w:val="20"/>
                <w:color w:val="auto"/>
              </w:rPr>
            </w:pPr>
            <w:r>
              <w:rPr>
                <w:rFonts w:ascii="Arial" w:cs="Arial" w:eastAsia="Arial" w:hAnsi="Arial"/>
                <w:sz w:val="18"/>
                <w:szCs w:val="18"/>
                <w:color w:val="auto"/>
              </w:rPr>
              <w:t>ARTICLE VII Indemnification</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7.1. Indemnification</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SECTION 7.2. Other Indemnification</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7000" w:type="dxa"/>
            <w:vAlign w:val="bottom"/>
          </w:tcPr>
          <w:p>
            <w:pPr>
              <w:spacing w:after="0"/>
              <w:rPr>
                <w:sz w:val="20"/>
                <w:szCs w:val="20"/>
                <w:color w:val="auto"/>
              </w:rPr>
            </w:pPr>
            <w:r>
              <w:rPr>
                <w:rFonts w:ascii="Arial" w:cs="Arial" w:eastAsia="Arial" w:hAnsi="Arial"/>
                <w:sz w:val="18"/>
                <w:szCs w:val="18"/>
                <w:color w:val="auto"/>
              </w:rPr>
              <w:t>ARTICLE VIII Capital Stock</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8.1. Certificates of Stock</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8.2. Transfer of Certificates</w:t>
            </w:r>
          </w:p>
        </w:tc>
        <w:tc>
          <w:tcPr>
            <w:tcW w:w="3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SECTION 8.3. New Certificates</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SECTION 8.4. Holders of Record</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7000" w:type="dxa"/>
            <w:vAlign w:val="bottom"/>
          </w:tcPr>
          <w:p>
            <w:pPr>
              <w:spacing w:after="0"/>
              <w:rPr>
                <w:sz w:val="20"/>
                <w:szCs w:val="20"/>
                <w:color w:val="auto"/>
              </w:rPr>
            </w:pPr>
            <w:r>
              <w:rPr>
                <w:rFonts w:ascii="Arial" w:cs="Arial" w:eastAsia="Arial" w:hAnsi="Arial"/>
                <w:sz w:val="18"/>
                <w:szCs w:val="18"/>
                <w:color w:val="auto"/>
              </w:rPr>
              <w:t>ARTICLE IX Corporate Seal</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SECTION 9.1. The Seal</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7000" w:type="dxa"/>
            <w:vAlign w:val="bottom"/>
          </w:tcPr>
          <w:p>
            <w:pPr>
              <w:spacing w:after="0"/>
              <w:rPr>
                <w:sz w:val="20"/>
                <w:szCs w:val="20"/>
                <w:color w:val="auto"/>
              </w:rPr>
            </w:pPr>
            <w:r>
              <w:rPr>
                <w:rFonts w:ascii="Arial" w:cs="Arial" w:eastAsia="Arial" w:hAnsi="Arial"/>
                <w:sz w:val="18"/>
                <w:szCs w:val="18"/>
                <w:color w:val="auto"/>
              </w:rPr>
              <w:t>ARTICLE X Amendment of By-Laws</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SECTION 10.1. Procedure for Amendments</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980"/>
          </w:cols>
          <w:pgMar w:left="440" w:top="261" w:right="4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 Mellon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 through February 12, 2018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w:t>
      </w:r>
    </w:p>
    <w:p>
      <w:pPr>
        <w:spacing w:after="0" w:line="21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SECTION 1.1. Annual Meeting. The annual meeting of stockholders of The Bank of New York Mellon (hereinafter called the Bank) for the election of directors and the transaction of such other business as properly may be brought before such meeting shall be held within the first four months of the Bank’s fiscal year, unless otherwise permitted under the New York Banking Law (hereinafter called the Banking Law) or applicable regulation, at the principal office of the Bank, or such other place in the city in which such principal office is located as shall be specified in the notice of such meeting, on such day and at such hour as may be fixed by the Board of Directors (hereinafter called the Board).</w:t>
      </w:r>
    </w:p>
    <w:p>
      <w:pPr>
        <w:spacing w:after="0" w:line="173"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SECTION 1.2. Special Meetings. Special meetings of the stockholders of the Bank (hereinafter called the stockholders) may be called by the Board, the Executive Chairman of the Board, the Chief Executive Officer or the President and shall be called upon the written request of the holders of record of not less than twenty percent of the outstanding shares of stock of the Bank entitled to vote at the meeting requested to be called. Such meetings of stockholders shall be held on such day and at such hour and at such place, within or without the State of New York, as may be fixed by the Board.</w:t>
      </w:r>
    </w:p>
    <w:p>
      <w:pPr>
        <w:spacing w:after="0" w:line="154"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1.3. Notice of Meetings. Notice of each meeting of stockholders shall be given in writing, not less than ten nor more than fifty days before the date of the meeting, to each stockholder entitled to vote at such meeting, and shall state the place, date and hour of the meeting and the purpose or purposes for which the meeting is called. If mailed, such notice shall be deemed to have been given when deposited in the United States mail, with postage thereon prepaid, directed to the stockholder at his or her address as it appears on the record of stockholders.</w:t>
      </w:r>
    </w:p>
    <w:p>
      <w:pPr>
        <w:spacing w:after="0" w:line="171" w:lineRule="exact"/>
        <w:rPr>
          <w:sz w:val="20"/>
          <w:szCs w:val="20"/>
          <w:color w:val="auto"/>
        </w:rPr>
      </w:pPr>
    </w:p>
    <w:p>
      <w:pPr>
        <w:ind w:right="340" w:firstLine="441"/>
        <w:spacing w:after="0" w:line="286" w:lineRule="auto"/>
        <w:rPr>
          <w:sz w:val="20"/>
          <w:szCs w:val="20"/>
          <w:color w:val="auto"/>
        </w:rPr>
      </w:pPr>
      <w:r>
        <w:rPr>
          <w:rFonts w:ascii="Arial" w:cs="Arial" w:eastAsia="Arial" w:hAnsi="Arial"/>
          <w:sz w:val="17"/>
          <w:szCs w:val="17"/>
          <w:color w:val="auto"/>
        </w:rPr>
        <w:t>Notwithstanding the foregoing, notice of meeting need not be given to any stockholder who submits a signed waiver of notice, in person or by proxy, whether before or after the meeting. The attendance of any stockholder at a meeting, in person or by proxy, without protesting prior to the conclusion of the meeting the lack of notice of such meeting, shall constitute a waiver of notice by him or her.</w:t>
      </w:r>
    </w:p>
    <w:p>
      <w:pPr>
        <w:spacing w:after="0" w:line="166"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SECTION 1.4. Quorum of Stockholders. The holders of a majority of the shares entitled to vote thereat shall constitute a quorum at a meeting of stockholders for the transaction of any business. At all meetings of stockholders, a quorum being present, all matters, except as otherwise provided by law or the Organization Certificate of the Bank, shall be authorized by a majority of the votes cast at the meeting by the stockholders present in person or by proxy and entitled to vote thereon. The stockholders present may adjourn the meeting despite the absence of a quorum. Any action that may be taken by the stockholders at a duly convened meeting may also be taken pursuant to waiver of notice thereof and upon the unanimous written consent of all shareholders of the Bank; such consent shall set forth the action so taken and shall be filed with the Secretary.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SECTION 2.1. Number of Directors. The business of the Bank shall be managed by the Board, which shall consist of such number of directors, within the minimum and maximum limits prescribed in the Organization Certificate of the Bank and the Banking Law, as from time-to-time shall be determined by the vote of a majority of the directors then in office or by the stockholders. In the event of any increase in the number of directors, additional directors shall be elected in the manner herein prescribed for the filling of vacancies. No decrease in the number of directors shall shorten the term of any incumbent director. Each director or, where applicable, all directors collectively must possess such qualifications as to citizenship, age and active service as an officer or employee of the Bank as are prescribed by the Banking Law. Directors shall hold office until the next annual meeting of the stockholders and until their successors are elected and have qualified.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2.2. [Reserved]</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SECTION 2.3. Meetings of the Board. An annual meeting of the Board shall be held in each year within fifteen days after the annual meeting of stockholders. Regular meetings of the Board shall be held on such day and at such hour as the directors may fix from time-to-time, and no notice thereof need be given. In case any date for a meeting shall fall on a public holiday, such meeting shall be held on the next succeeding business day. Special meetings of the Board may be held at any time upon the call of the Executive Chairman of the Board or the Chief Executive Officer or, in their absence, another principal executive officer and shall be called upon the written request of any three directors.</w:t>
      </w:r>
    </w:p>
    <w:p>
      <w:pPr>
        <w:spacing w:after="0" w:line="173"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Meetings of the Board shall be held at such places within or without the State of New York as may be fixed by the Board. If no place is so fixed, meetings of the Board shall be held at the principal office of the Bank in the City of New York.</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Notices of the annual and special meetings of the Board shall be given by delivery, mail, telegraph, facsimile, e-mail, radio or cable to each director at his or her usual place of business or residence address not later than noon, New York time, on the third day prior to the day on which the meeting is to be held or, if given personally or by telephone, not later than noon, New York time, on the day before the day on which the meeting is to be held.</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Notice of a meeting of the Board need not be given to any director who submits a signed waiver of notice whether before or after the meeting, or who attends the meeting without protesting, prior thereto or at its commencement, the lack of notice to him or her.</w:t>
      </w:r>
    </w:p>
    <w:p>
      <w:pPr>
        <w:spacing w:after="0" w:line="170"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A majority of the directors present, whether or not a quorum is present, may adjourn any meeting to another time and place. Except for announcement at the meeting, notice of the time and place of any adjourned meeting need not be given.</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Members of the Board may participate in a meeting of the Board by means of a conference telephone or similar communications equipment allowing all persons participating in the meeting to hear each other at the same time. Participation by such means shall constitute presence in person at a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5" w:name="page66"/>
    <w:bookmarkEnd w:id="65"/>
    <w:p>
      <w:pPr>
        <w:ind w:right="2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2.4. Quorum of Directors and Action by the Board. One-third of the entire Board, but in no case less than five directors, shall constitute a quorum for the transaction of business. Except as otherwise required by law, the Organization Certificate of the Bank or these By-laws, the vote of a majority of the directors present at a meeting at the time of such vote, if a quorum is then present, shall be the act of the Board.</w:t>
      </w:r>
    </w:p>
    <w:p>
      <w:pPr>
        <w:spacing w:after="0" w:line="166"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SECTION 2.5. Removal of Directors. Any one or more of the directors may be removed for cause by action of the Board. Any or all of the directors may be removed with or without cause by vote of the stockholders.</w:t>
      </w:r>
    </w:p>
    <w:p>
      <w:pPr>
        <w:spacing w:after="0" w:line="170"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SECTION 2.6. Vacancies. All vacancies in the office of director shall be filled by election by the stockholders, except that vacancies not exceeding one-third of the entire Board may be filled by the affirmative vote of a majority of the directors in office and the directors so elected shall hold office for the balance of the unexpired term.</w:t>
      </w:r>
    </w:p>
    <w:p>
      <w:pPr>
        <w:spacing w:after="0" w:line="181"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SECTION 2.7. Compensation. Members of the Board, except members who are officers of The Bank of New York Mellon Corporation or any of its subsidiaries, shall be entitled to receive such compensation and such fees for attendance as the Board shall fix from time-to-time.</w:t>
      </w:r>
    </w:p>
    <w:p>
      <w:pPr>
        <w:spacing w:after="0" w:line="147"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SECTION 2.8. Minutes. Regular minutes of the proceedings of the Board shall be kept in books to be provided for that purpose which shall always be open for the inspection of any director.</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SECTION 2.9. Reports. At each regular meeting of the Board there shall be submitted a report of the concerns and business of the Bank, including such reports as shall be required by law or by regulation of the authorities having jurisdiction over the Bank.</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SECTION 2.10. Action without a Meeting. Any action required or permitted to be taken at any meeting of the Board, or of any committee thereof, to the extent permitted by law and regulation, may be taken without a meeting if all members of the Board or of such committee, as the case may be, consent thereto in writing and such consent is filed with the minutes of the proceedings of the Board or such committee.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4.1. Committees of Directors, Officers and/or Other Persons. The Board may appoint, or authorize the Executive Chairman or the Chief Executive Officer or, in their absence, another principal executive officer to appoint, from time-to-time, such other committees consisting of directors, officers and/or other persons and having such powers, duties and functions in or relating to the business and affairs of the Bank as the Board may determine. Each such committee and each member thereof shall serve at the pleasure of the Board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6" w:name="page67"/>
    <w:bookmarkEnd w:id="66"/>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committee appointed by the Executive Chairman, the Chief Executive Officer or another principal executive officer, at the pleasure of the Executive Chairman or of the Chief Executive Officer or of such other principal executive officer. A majority of all members of any such committee may determine the rules of order and procedure of such committee and the time and place of its meetings, unless the Board, or, in the case of any committee appointed by the Executive Chairman, the Chief Executive Officer or another principal executive officer, the Executive Chairman or the Chief Executive Officer or such other principal executive officer, shall otherwise provide.</w:t>
      </w:r>
    </w:p>
    <w:p>
      <w:pPr>
        <w:spacing w:after="0" w:line="173" w:lineRule="exact"/>
        <w:rPr>
          <w:sz w:val="20"/>
          <w:szCs w:val="20"/>
          <w:color w:val="auto"/>
        </w:rPr>
      </w:pPr>
    </w:p>
    <w:p>
      <w:pPr>
        <w:jc w:val="both"/>
        <w:ind w:right="860" w:firstLine="441"/>
        <w:spacing w:after="0" w:line="342" w:lineRule="auto"/>
        <w:rPr>
          <w:sz w:val="20"/>
          <w:szCs w:val="20"/>
          <w:color w:val="auto"/>
        </w:rPr>
      </w:pPr>
      <w:r>
        <w:rPr>
          <w:rFonts w:ascii="Arial" w:cs="Arial" w:eastAsia="Arial" w:hAnsi="Arial"/>
          <w:sz w:val="16"/>
          <w:szCs w:val="16"/>
          <w:color w:val="auto"/>
        </w:rPr>
        <w:t>SECTION 4.2. Compensation. Members of committees, other than officers of The Bank of New York Mellon Corporation or any of its subsidiaries, shall be paid such compensation and such other fees for attendance at meetings as the Board shall determine from time-to-time.</w:t>
      </w:r>
    </w:p>
    <w:p>
      <w:pPr>
        <w:spacing w:after="0" w:line="12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SECTION 4.3. Manner of Acting. Members of committees of directors, officers and/or other persons appointed by the Board, or by any committee or officer pursuant to Section 4.2, may participate in a meeting of such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200" w:lineRule="exact"/>
        <w:rPr>
          <w:sz w:val="20"/>
          <w:szCs w:val="20"/>
          <w:color w:val="auto"/>
        </w:rPr>
      </w:pPr>
    </w:p>
    <w:p>
      <w:pPr>
        <w:spacing w:after="0" w:line="20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SECTION 5.1. Principal Executive Officers. The Board at its annual meeting shall elect from its number an Executive Chairman of the Board (hereinafter called the Executive Chairman), a Chief Executive Officer, and a President. The Board may designate the Chief Executive Officer or the President, or one of the persons holding titles provided in Section 5.2, to act as and carry the additional title of Chief Operating Officer. Officers elected pursuant to this Section 5.1 shall hold office during the pleasure of the Board, which may fill any vacancy and change the designation of the Chief Operating Officer at any regular or special meeting. Officers elected under this section may be removed with or without cause by the Board.</w:t>
      </w:r>
    </w:p>
    <w:p>
      <w:pPr>
        <w:spacing w:after="0" w:line="158" w:lineRule="exact"/>
        <w:rPr>
          <w:sz w:val="20"/>
          <w:szCs w:val="20"/>
          <w:color w:val="auto"/>
        </w:rPr>
      </w:pPr>
    </w:p>
    <w:p>
      <w:pPr>
        <w:ind w:right="420" w:firstLine="441"/>
        <w:spacing w:after="0" w:line="279" w:lineRule="auto"/>
        <w:rPr>
          <w:sz w:val="20"/>
          <w:szCs w:val="20"/>
          <w:color w:val="auto"/>
        </w:rPr>
      </w:pPr>
      <w:r>
        <w:rPr>
          <w:rFonts w:ascii="Arial" w:cs="Arial" w:eastAsia="Arial" w:hAnsi="Arial"/>
          <w:sz w:val="17"/>
          <w:szCs w:val="17"/>
          <w:color w:val="auto"/>
        </w:rPr>
        <w:t>SECTION 5.2. Senior Executive Officers. The Board shall elect one or more senior executive officers, any of whom may be designated Vice Chairman of the Board, Senior Executive Vice President or Executive Vice President and may elect such other officers with such titles as may be specified upon election. The order of seniority shall be determined by the Chief Executive Officer with the approval of the Board. Senior executive officers elected under this section may be removed with or without cause by the Board.</w:t>
      </w:r>
    </w:p>
    <w:p>
      <w:pPr>
        <w:spacing w:after="0" w:line="17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SECTION 5.3. Other Senior Officers. The Board shall elect a Secretary (who shall be a different person from the Chief Executive Officer and the President); a Treasurer; a Comptroller; a Chief Auditor; and such other officers with such titles as may be specified upon election. The order of seniority shall be determined by the Chief Executive Officer with the approval of the Board. The Chief Executive Officer or, in his or her absence, another principal executive officer, may remove any of the officers elected under this section with or without cause with the approval of the Board.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67" w:name="page68"/>
    <w:bookmarkEnd w:id="67"/>
    <w:p>
      <w:pPr>
        <w:ind w:right="8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5.4. Appointed Officers. Officers of the Bank carrying titles set forth in this section may be appointed and removed with or without cause by the Chief Executive Officer or any Senior Executive Vice President or Executive Vice President. Such officers may include one or more Managing Directors; one or more Directors; one or more Senior Vice Presidents; one or more First Vice Presidents; one or more Vice Presidents; one or more Senior Associates; one or more Associates; and such other officers with such titles as may be specified upon appointment.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5.5. Bonds. The Board may require any or all officers or employees to give bonds from time-to-time.</w:t>
      </w:r>
    </w:p>
    <w:p>
      <w:pPr>
        <w:spacing w:after="0" w:line="22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SECTION 5.6. General Supervisory Powers. The Chief Executive Officer or, in his or her absence, another principal executive officer, shall have general supervision of the policies and operations of the Bank which shall in every case be subject to the direction and control of the Board.</w:t>
      </w:r>
    </w:p>
    <w:p>
      <w:pPr>
        <w:spacing w:after="0" w:line="14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SECTION 5.7. Executive Officers. The principal executive officers, the senior executive officers and Executive Vice Presidents shall participate in the supervision of the policies and operations of the Bank as directed by the Chief Executive Officer. In his or her absence another principal executive officer, or a senior executive officer in the order of seniority determined by the Chief Executive Officer as provided in Section 5.2, shall have general supervision of such policies and operations.</w:t>
      </w:r>
    </w:p>
    <w:p>
      <w:pPr>
        <w:spacing w:after="0" w:line="18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SECTION 5.8. Senior Vice Presidents, Managing Directors, Directors, First Vice Presidents and Vice Presidents. Senior Vice Presidents, Managing Directors, Directors, First Vice Presidents and Vice Presidents shall participate in the supervision of operations of the Bank as directed by the Chief Executive Officer. They shall perform such other duties as shall be assigned to them by the Board, the Chief Executive Officer or an executive officer.</w:t>
      </w:r>
    </w:p>
    <w:p>
      <w:pPr>
        <w:spacing w:after="0" w:line="187"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SECTION 5.9. Secretary. The Secretary shall keep the minutes of all meetings of the Board; shall attend to the giving of such notices of meetings as may be required by these By-laws and shall perform all the duties assigned to him or her by the Board or the Chief Executive Officer and in general those duties incident to the office of Secretary. He or she shall have custody of the corporate seal and shall have authority to affix the same to any documents requiring such seal and to attest the same. In the absence of the Secretary, an Assistant Secretary shall act in his or her stead.</w:t>
      </w:r>
    </w:p>
    <w:p>
      <w:pPr>
        <w:spacing w:after="0" w:line="154"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SECTION 5.10. Treasurer. The Treasurer shall have the care and custody of all moneys, funds and other property of the Bank which may come into his or her hands and shall perform such other duties as may be assigned to him or her from time-to-time by the Board or the Chief Executive Officer.</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SECTION 5.11. Comptroller. The Comptroller shall exercise general supervision over, and be responsible for, all matters pertaining to the accounting and bookkeeping of the Bank. He or she shall keep the permanent records of property and indebtedness and of all transactions bearing on the financial affairs of the Bank. The Comptroller shall perform such additional duties as shall be assigned to him or her by the Board or the Chief Executive Officer. He or she shall at any time on the request of any three directors report to the Board such matters concerning the affairs of the Bank as, in his, her or their judgment, should be brought to the attention of the directors.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8" w:name="page69"/>
    <w:bookmarkEnd w:id="68"/>
    <w:p>
      <w:pPr>
        <w:jc w:val="both"/>
        <w:ind w:right="16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5.12. Chief Auditor. The Chief Auditor shall report to the Board, which may be through a committee of the Board. He or she shall be responsible for the planning and direction of the internal auditing function and the evaluation of the internal control safeguards of the Bank. He or she shall perform such additional duties as shall be assigned by the Board, any committee of the Board or the Chief Executive Officer.</w:t>
      </w:r>
    </w:p>
    <w:p>
      <w:pPr>
        <w:spacing w:after="0" w:line="147" w:lineRule="exact"/>
        <w:rPr>
          <w:sz w:val="20"/>
          <w:szCs w:val="20"/>
          <w:color w:val="auto"/>
        </w:rPr>
      </w:pPr>
    </w:p>
    <w:p>
      <w:pPr>
        <w:jc w:val="both"/>
        <w:ind w:right="160" w:firstLine="441"/>
        <w:spacing w:after="0" w:line="277" w:lineRule="auto"/>
        <w:rPr>
          <w:sz w:val="20"/>
          <w:szCs w:val="20"/>
          <w:color w:val="auto"/>
        </w:rPr>
      </w:pPr>
      <w:r>
        <w:rPr>
          <w:rFonts w:ascii="Arial" w:cs="Arial" w:eastAsia="Arial" w:hAnsi="Arial"/>
          <w:sz w:val="18"/>
          <w:szCs w:val="18"/>
          <w:color w:val="auto"/>
        </w:rPr>
        <w:t>SECTION 5.13. Other Officers. All officers whose duties are not described by these By-laws shall perform such duties as may be designated by the Chief Executive Officer or any officer authorized by him or her to do so.</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SIGNING AUTHORITIES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6.1 [Intentionally Omitted]</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SECTION 6.2 Senior Signing Powers. The Chief Executive Officer, the President, any Vice Chairman, any Senior Executive Vice President and any Executive Vice President is authorized to accept, endorse, execute or sign any document, instrument or paper in the name of, or on behalf of, the Bank in all transactions arising out of, or in connection with, the normal course of the Bank’s business or in any fiduciary, representative or agency capacity and, when required, to affix the seal of the Bank thereto. In such instances as in the judgment of the Chief Executive Officer, the President, any Vice Chairman, any Senior Executive Vice President or any Executive Vice President may be proper and desirable, any one of said officers may authorize in writing, including email and other forms of electronic communication or approval, from time-to-time any other officer to have the powers set forth in this section applicable only to the performance or discharge of the duties of such officer within his or her particular division or function. Any officer of the Bank authorized in or pursuant to Section 6.3 to have any of the powers set forth therein, other than the officer signing pursuant to this Section 6.2, is authorized to attest to the seal of the Bank on any documents requiring such seal.</w:t>
      </w:r>
    </w:p>
    <w:p>
      <w:pPr>
        <w:spacing w:after="0" w:line="167"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SECTION 6.3. Limited Signing Powers. In such instances as in the judgment of the Chief Executive Officer, the President, any Vice Chairman, any Senior Executive Vice President, or any Executive Vice President may be proper and desirable, any one of said officers may authorize in writing, including email and other forms of electronic communication or approval, from time to time any other officer, employee or individual to have the limited signing powers or limited power to affix the seal of the Bank to specified classes of documents set forth in a resolution of the Board applicable only to the performance or discharge of the duties of such officer, employee or individual within his or her division or function.</w:t>
      </w:r>
    </w:p>
    <w:p>
      <w:pPr>
        <w:spacing w:after="0" w:line="158"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color w:val="auto"/>
        </w:rPr>
        <w:t>SECTION 6.4 Powers of Attorney. All powers of attorney on behalf of the Bank shall be executed by any officer of the Bank jointly with the Chief Executive Officer, the President, any Vice Chairman, any Senior Executive Vice President, any Executive Vice President, any Senior Vice President, any Managing Director, or any Director provided that the execution by such Senior Vice President, Managing Director or Director of said Power of Attorney shall be applicable only to the performance or discharge of the duties of such officer within his or her particular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69" w:name="page70"/>
    <w:bookmarkEnd w:id="69"/>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division or function. Any such power of attorney may, however, be executed by any officer or officers or person or persons who may be specifically authorized to execute the same by the Board of Directors and, at foreign branches only, by any two officers provided one of such officers is the Branch Manager.</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SECTION 6.5. Chief Auditor. The Chief Auditor or any officer designated by the Chief Auditor is authorized to certify in the name of, or on behalf of the Bank, in its own right or in a fiduciary or representative capacity, as to the accuracy and completeness of any account, schedule of assets, or other document, instrument or paper requiring such certification.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SECTION 7.1. Indemnification. Any person made, or threatened to be made, a party to any action or proceeding, whether civil or criminal, by reason of the fact that he, she, or his or her testator or intestate, is or was a director or officer of the Bank or serves or served any other corporation in any capacity, at the request of the Bank, shall be indemnified by the Bank and the Bank may advance his or her related expenses, to the full extent permitted by law. Persons who are not directors or officers of the Bank may be similarly indemnified in respect of service to the Bank or to another such entity at the request of the Bank to the extent the Board at any time denominates any of such persons as entitled to indemnification and/or advancement of expenses. For purposes of this Article VII, the Bank may consider the term “Bank” to include any corporation which has been merged or consolidated into the Bank or of which the Bank has acquired all or substantially all the assets in a transaction requiring authorization by the shareholders of the corporation whose assets were acquired.</w:t>
      </w:r>
    </w:p>
    <w:p>
      <w:pPr>
        <w:spacing w:after="0" w:line="192" w:lineRule="exact"/>
        <w:rPr>
          <w:sz w:val="20"/>
          <w:szCs w:val="20"/>
          <w:color w:val="auto"/>
        </w:rPr>
      </w:pPr>
    </w:p>
    <w:p>
      <w:pPr>
        <w:jc w:val="both"/>
        <w:ind w:right="180" w:firstLine="441"/>
        <w:spacing w:after="0" w:line="259" w:lineRule="auto"/>
        <w:rPr>
          <w:sz w:val="20"/>
          <w:szCs w:val="20"/>
          <w:color w:val="auto"/>
        </w:rPr>
      </w:pPr>
      <w:r>
        <w:rPr>
          <w:rFonts w:ascii="Arial" w:cs="Arial" w:eastAsia="Arial" w:hAnsi="Arial"/>
          <w:sz w:val="18"/>
          <w:szCs w:val="18"/>
          <w:color w:val="auto"/>
        </w:rPr>
        <w:t>SECTION 7.2. Other Indemnification. The foregoing provisions of this Article VII shall apply in respect of all alleged or actual causes of action accrued before, on or after September 1, 1964, except that, as to any such cause of action which accrued before such date, the Bank may provide, and any person concerned shall be entitled to, indemnification under and pursuant to any statutory provision or principle of common law in effect prior to such date, all to the extent permitted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jc w:val="both"/>
        <w:ind w:right="280" w:firstLine="441"/>
        <w:spacing w:after="0" w:line="279" w:lineRule="auto"/>
        <w:rPr>
          <w:sz w:val="20"/>
          <w:szCs w:val="20"/>
          <w:color w:val="auto"/>
        </w:rPr>
      </w:pPr>
      <w:r>
        <w:rPr>
          <w:rFonts w:ascii="Arial" w:cs="Arial" w:eastAsia="Arial" w:hAnsi="Arial"/>
          <w:sz w:val="17"/>
          <w:szCs w:val="17"/>
          <w:color w:val="auto"/>
        </w:rPr>
        <w:t>SECTION 8.1. Certificates of Stock. Certificates of stock shall be signed by the President or a Vice President and the Secretary or an Assistant Secretary and may bear the seal of the Bank. The signatures and the seal may be facsimile to the extent permitted by law. In case any officer who has signed or whose facsimile signature has been placed upon a certificate shall have ceased to be such officer before such certificate is issued, it may be issued by the Bank with the same effect as if he or she were such officer at the date of issue.</w:t>
      </w:r>
    </w:p>
    <w:p>
      <w:pPr>
        <w:spacing w:after="0" w:line="17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8.2. Transfer of Certificates. Separate books of transfer shall be kept in which transfers of shares of stock shall be entered by the person entitled to make such transfer or his or her attorney-in-fact, upon surrender of the certificate for the shares to be transferred properly endorsed by the stockholder, or by his or her assignee, agent or legal representative, who shall furnish proper evidence of assignment, authority or legal succession, or by the agent of one of the foregoing thereunto duly authorized by an instrument duly executed and filed with the Bank in accordance with regular commercial practice.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70" w:name="page71"/>
    <w:bookmarkEnd w:id="70"/>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8.3. New Certificates. No new certificate shall be issued until the former certificate is cancelled except in the circumstances provided in this section. The holder of any shares of the Bank shall immediately notify it of any loss, theft or destruction of any stock certificate representing such shares. New certificates for shares of stock may be issued to replace such certificates upon satisfactory proof of the loss, theft or destruction and upon such other terms and conditions as the Board of Directors, the Chief Executive Officer or any person designated by either of them may from time to time determine.</w:t>
      </w:r>
    </w:p>
    <w:p>
      <w:pPr>
        <w:spacing w:after="0" w:line="188"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SECTION 8.4. Holders of Record. The Bank shall be entitled to treat any person in whose name shares of stock of the Bank stand on its books as the holder and owner in fact thereof for all purposes, and it shall not be bound to recognize any equitable or other claims to or interest in such shares on the part of any other person, whether or not it shall have express or other notice thereof, except as otherwise expressly provided by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SEAL</w:t>
      </w:r>
    </w:p>
    <w:p>
      <w:pPr>
        <w:spacing w:after="0" w:line="21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SECTION 9.1. The Seal. The Board shall provide a corporate seal for the Bank which may be affixed to any document, certificate or paper and attested by such individuals as provided by these By-laws or as the Board may from time-to-time determine.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OF BY-LAWS</w:t>
      </w:r>
    </w:p>
    <w:p>
      <w:pPr>
        <w:spacing w:after="0" w:line="211" w:lineRule="exact"/>
        <w:rPr>
          <w:sz w:val="20"/>
          <w:szCs w:val="20"/>
          <w:color w:val="auto"/>
        </w:rPr>
      </w:pPr>
    </w:p>
    <w:p>
      <w:pPr>
        <w:ind w:right="200" w:firstLine="441"/>
        <w:spacing w:after="0" w:line="297" w:lineRule="auto"/>
        <w:rPr>
          <w:sz w:val="20"/>
          <w:szCs w:val="20"/>
          <w:color w:val="auto"/>
        </w:rPr>
      </w:pPr>
      <w:r>
        <w:rPr>
          <w:rFonts w:ascii="Arial" w:cs="Arial" w:eastAsia="Arial" w:hAnsi="Arial"/>
          <w:sz w:val="16"/>
          <w:szCs w:val="16"/>
          <w:color w:val="auto"/>
        </w:rPr>
        <w:t>SECTION 10.1. Procedure for Amendments. By-laws of the Bank may be adopted, amended or repealed by vote of the stockholders entitled to vote in any election of directors. By-laws may also be adopted, amended or repealed by a majority of all the directors then in office. Any By-law adopted by the Board may be amended or repealed by the stockholders entitled to vote thereon as hereinabove provided. If any By-law regulating an impending election of directors is adopted, amended or repealed by the Board, there shall be set forth in the notice of the next meeting of stockholders for the election of directors the By-law so adopted, amended or repealed, together with a concise statement of the changes made.</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Secretary of The Bank of New York Mellon, New York, N.Y. 10286, do hereby certify that the foregoing is a complete, true and correct copy of the By-laws of The Bank of New York Mellon, and that the same are in full force and effect at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382905</wp:posOffset>
            </wp:positionV>
            <wp:extent cx="11430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240 Greenwich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 member of the Federal Reserve System, at the close of business December 31, 2018, published in accordance with a call made by the Federal Reserve Bank of this District pursuant to the provisions of the Federal Reserve Act.</w:t>
      </w:r>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800" w:type="dxa"/>
            <w:vAlign w:val="bottom"/>
            <w:gridSpan w:val="3"/>
          </w:tcPr>
          <w:p>
            <w:pPr>
              <w:ind w:left="680"/>
              <w:spacing w:after="0"/>
              <w:rPr>
                <w:sz w:val="20"/>
                <w:szCs w:val="20"/>
                <w:color w:val="auto"/>
              </w:rPr>
            </w:pPr>
            <w:r>
              <w:rPr>
                <w:rFonts w:ascii="Arial" w:cs="Arial" w:eastAsia="Arial" w:hAnsi="Arial"/>
                <w:sz w:val="18"/>
                <w:szCs w:val="18"/>
                <w:color w:val="auto"/>
                <w:w w:val="92"/>
              </w:rPr>
              <w:t>Dollar 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79,008,000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6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33,972,000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82,048,000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340"/>
              <w:spacing w:after="0" w:line="201" w:lineRule="exact"/>
              <w:rPr>
                <w:sz w:val="20"/>
                <w:szCs w:val="20"/>
                <w:color w:val="auto"/>
              </w:rPr>
            </w:pPr>
            <w:r>
              <w:rPr>
                <w:rFonts w:ascii="Arial" w:cs="Arial" w:eastAsia="Arial" w:hAnsi="Arial"/>
                <w:sz w:val="18"/>
                <w:szCs w:val="18"/>
                <w:color w:val="auto"/>
              </w:rPr>
              <w:t>Equity securities with readily determinable fair values not held</w:t>
            </w:r>
          </w:p>
        </w:tc>
        <w:tc>
          <w:tcPr>
            <w:tcW w:w="6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520"/>
              <w:spacing w:after="0"/>
              <w:rPr>
                <w:sz w:val="20"/>
                <w:szCs w:val="20"/>
                <w:color w:val="auto"/>
              </w:rPr>
            </w:pPr>
            <w:r>
              <w:rPr>
                <w:rFonts w:ascii="Arial" w:cs="Arial" w:eastAsia="Arial" w:hAnsi="Arial"/>
                <w:sz w:val="18"/>
                <w:szCs w:val="18"/>
                <w:color w:val="auto"/>
              </w:rPr>
              <w:t>for trading</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securities purchased under agreements to</w:t>
            </w:r>
          </w:p>
        </w:tc>
        <w:tc>
          <w:tcPr>
            <w:tcW w:w="6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resell:</w:t>
            </w:r>
          </w:p>
        </w:tc>
        <w:tc>
          <w:tcPr>
            <w:tcW w:w="6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33,289,000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held for sale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Loans and leases held for investment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26,158,000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Loans and leases held for investment, net of allowance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26,039,000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1,586,000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Investments in unconsolidated subsidiaries and associated</w:t>
            </w:r>
          </w:p>
        </w:tc>
        <w:tc>
          <w:tcPr>
            <w:tcW w:w="6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companies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1,765,000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Intangible assets: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7,090,000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13,586,000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286,411,000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jc w:val="right"/>
              <w:ind w:right="121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820" w:type="dxa"/>
            <w:vAlign w:val="bottom"/>
            <w:gridSpan w:val="3"/>
          </w:tcPr>
          <w:p>
            <w:pPr>
              <w:ind w:left="700"/>
              <w:spacing w:after="0"/>
              <w:rPr>
                <w:sz w:val="20"/>
                <w:szCs w:val="20"/>
                <w:color w:val="auto"/>
              </w:rPr>
            </w:pPr>
            <w:r>
              <w:rPr>
                <w:rFonts w:ascii="Arial" w:cs="Arial" w:eastAsia="Arial" w:hAnsi="Arial"/>
                <w:sz w:val="18"/>
                <w:szCs w:val="18"/>
                <w:color w:val="auto"/>
                <w:w w:val="92"/>
              </w:rPr>
              <w:t>Dollar 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Deposits:</w:t>
            </w: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139,207,000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65,812,000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73,395,000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104,092,000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98,012,000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and securities sold under agreements to</w:t>
            </w:r>
          </w:p>
        </w:tc>
        <w:tc>
          <w:tcPr>
            <w:tcW w:w="7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w:t>
            </w:r>
          </w:p>
        </w:tc>
        <w:tc>
          <w:tcPr>
            <w:tcW w:w="7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Federal funds purchased in domestic offices .</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4,621,000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Trading liabilities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2,254,000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borrowed money: (includes mortgage indebtedness and</w:t>
            </w:r>
          </w:p>
        </w:tc>
        <w:tc>
          <w:tcPr>
            <w:tcW w:w="7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under capitalized leases)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Not applicable</w:t>
            </w: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260,578,000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Perpetual preferred stock and related</w:t>
            </w:r>
          </w:p>
        </w:tc>
        <w:tc>
          <w:tcPr>
            <w:tcW w:w="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surplus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10,964,000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-1,681,000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25,483,000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equity capital</w:t>
            </w:r>
          </w:p>
        </w:tc>
        <w:tc>
          <w:tcPr>
            <w:tcW w:w="70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25,833,000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286,411,000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73" w:name="page74"/>
    <w:bookmarkEnd w:id="7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Santomassimo, Chief Financial Officer of the above-named bank do hereby declare that this Report of Condition is true and correct to the best of my knowledge and belief.</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Michael Santomassimo</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Charles W. Scharf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-121920</wp:posOffset>
            </wp:positionV>
            <wp:extent cx="146050" cy="428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146050" cy="428625"/>
                    </a:xfrm>
                    <a:prstGeom prst="rect">
                      <a:avLst/>
                    </a:prstGeom>
                    <a:noFill/>
                  </pic:spPr>
                </pic:pic>
              </a:graphicData>
            </a:graphic>
          </wp:anchor>
        </w:drawing>
      </w:r>
    </w:p>
    <w:p>
      <w:pPr>
        <w:spacing w:after="0" w:line="3"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Samuel C. Scott</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J. Echevarria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713"/>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
    </w:lvl>
    <w:lvl w:ilvl="1">
      <w:lvlJc w:val="left"/>
      <w:lvlText w:val="(%2)"/>
      <w:numFmt w:val="decimal"/>
      <w:start w:val="1"/>
    </w:lvl>
  </w:abstractNum>
  <w:abstractNum w:abstractNumId="12">
    <w:nsid w:val="3855585C"/>
    <w:multiLevelType w:val="hybridMultilevel"/>
    <w:lvl w:ilvl="0">
      <w:lvlJc w:val="left"/>
      <w:lvlText w:val="(%1)"/>
      <w:numFmt w:val="decimal"/>
      <w:start w:val="6"/>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lowerRoman"/>
      <w:start w:val="2"/>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7"/>
    </w:lvl>
  </w:abstractNum>
  <w:abstractNum w:abstractNumId="17">
    <w:nsid w:val="725A06FB"/>
    <w:multiLevelType w:val="hybridMultilevel"/>
    <w:lvl w:ilvl="0">
      <w:lvlJc w:val="left"/>
      <w:lvlText w:val="(%1)"/>
      <w:numFmt w:val="lowerLetter"/>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35"/>
    </w:lvl>
  </w:abstractNum>
  <w:abstractNum w:abstractNumId="33">
    <w:nsid w:val="75C6C33A"/>
    <w:multiLevelType w:val="hybridMultilevel"/>
    <w:lvl w:ilvl="0">
      <w:lvlJc w:val="left"/>
      <w:lvlText w:val="(%1)"/>
      <w:numFmt w:val="lowerRoman"/>
      <w:start w:val="3"/>
    </w:lvl>
  </w:abstractNum>
  <w:abstractNum w:abstractNumId="34">
    <w:nsid w:val="12E685FB"/>
    <w:multiLevelType w:val="hybridMultilevel"/>
    <w:lvl w:ilvl="0">
      <w:lvlJc w:val="left"/>
      <w:lvlText w:val="(%1)"/>
      <w:numFmt w:val="decimal"/>
      <w:start w:val="2"/>
    </w:lvl>
    <w:lvl w:ilvl="1">
      <w:lvlJc w:val="left"/>
      <w:lvlText w:val="(%2)"/>
      <w:numFmt w:val="upperLetter"/>
      <w:start w:val="1"/>
    </w:lvl>
  </w:abstractNum>
  <w:abstractNum w:abstractNumId="35">
    <w:nsid w:val="70C6A529"/>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35"/>
    </w:lvl>
  </w:abstractNum>
  <w:abstractNum w:abstractNumId="36">
    <w:nsid w:val="520EEDD1"/>
    <w:multiLevelType w:val="hybridMultilevel"/>
    <w:lvl w:ilvl="0">
      <w:lvlJc w:val="left"/>
      <w:lvlText w:val="%1"/>
      <w:numFmt w:val="lowerLetter"/>
      <w:start w:val="1"/>
    </w:lvl>
    <w:lvl w:ilvl="1">
      <w:lvlJc w:val="left"/>
      <w:lvlText w:val="(%2)"/>
      <w:numFmt w:val="upperLetter"/>
      <w:start w:val="4"/>
    </w:lvl>
    <w:lvl w:ilvl="2">
      <w:lvlJc w:val="left"/>
      <w:lvlText w:val="%3"/>
      <w:numFmt w:val="upperLetter"/>
      <w:start w:val="1"/>
    </w:lvl>
  </w:abstractNum>
  <w:abstractNum w:abstractNumId="37">
    <w:nsid w:val="374A3FE6"/>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35"/>
    </w:lvl>
  </w:abstractNum>
  <w:abstractNum w:abstractNumId="38">
    <w:nsid w:val="4F4EF005"/>
    <w:multiLevelType w:val="hybridMultilevel"/>
    <w:lvl w:ilvl="0">
      <w:lvlJc w:val="left"/>
      <w:lvlText w:val="(%1)"/>
      <w:numFmt w:val="lowerRoman"/>
      <w:start w:val="1"/>
    </w:lvl>
  </w:abstractNum>
  <w:abstractNum w:abstractNumId="39">
    <w:nsid w:val="23F9C13C"/>
    <w:multiLevelType w:val="hybridMultilevel"/>
    <w:lvl w:ilvl="0">
      <w:lvlJc w:val="left"/>
      <w:lvlText w:val="(%1)"/>
      <w:numFmt w:val="lowerRoman"/>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upperLetter"/>
      <w:start w:val="1"/>
    </w:lvl>
  </w:abstractNum>
  <w:abstractNum w:abstractNumId="42">
    <w:nsid w:val="39386575"/>
    <w:multiLevelType w:val="hybridMultilevel"/>
    <w:lvl w:ilvl="0">
      <w:lvlJc w:val="left"/>
      <w:lvlText w:val="%1"/>
      <w:numFmt w:val="lowerRoman"/>
      <w:start w:val="1"/>
    </w:lvl>
    <w:lvl w:ilvl="1">
      <w:lvlJc w:val="left"/>
      <w:lvlText w:val="%2."/>
      <w:numFmt w:val="upperLetter"/>
      <w:start w:val="3"/>
    </w:lvl>
  </w:abstractNum>
  <w:abstractNum w:abstractNumId="43">
    <w:nsid w:val="1CF10FD8"/>
    <w:multiLevelType w:val="hybridMultilevel"/>
    <w:lvl w:ilvl="0">
      <w:lvlJc w:val="left"/>
      <w:lvlText w:val="(%1)"/>
      <w:numFmt w:val="lowerRoman"/>
      <w:start w:val="5"/>
    </w:lvl>
    <w:lvl w:ilvl="1">
      <w:lvlJc w:val="left"/>
      <w:lvlText w:val="%2"/>
      <w:numFmt w:val="upperLetter"/>
      <w:start w:val="1"/>
    </w:lvl>
  </w:abstractNum>
  <w:abstractNum w:abstractNumId="44">
    <w:nsid w:val="180115BE"/>
    <w:multiLevelType w:val="hybridMultilevel"/>
    <w:lvl w:ilvl="0">
      <w:lvlJc w:val="left"/>
      <w:lvlText w:val="(%1)"/>
      <w:numFmt w:val="lowerRoman"/>
      <w:start w:val="10"/>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2"/>
      <w:numFmt w:val="bullet"/>
      <w:start w:val="1"/>
    </w:lvl>
  </w:abstractNum>
  <w:abstractNum w:abstractNumId="48">
    <w:nsid w:val="15B5AF5C"/>
    <w:multiLevelType w:val="hybridMultilevel"/>
    <w:lvl w:ilvl="0">
      <w:lvlJc w:val="left"/>
      <w:lvlText w:val="3"/>
      <w:numFmt w:val="bullet"/>
      <w:start w:val="1"/>
    </w:lvl>
  </w:abstractNum>
  <w:abstractNum w:abstractNumId="49">
    <w:nsid w:val="741226BB"/>
    <w:multiLevelType w:val="hybridMultilevel"/>
    <w:lvl w:ilvl="0">
      <w:lvlJc w:val="left"/>
      <w:lvlText w:val="4"/>
      <w:numFmt w:val="bullet"/>
      <w:start w:val="1"/>
    </w:lvl>
  </w:abstractNum>
  <w:abstractNum w:abstractNumId="50">
    <w:nsid w:val="D34B6A8"/>
    <w:multiLevelType w:val="hybridMultilevel"/>
    <w:lvl w:ilvl="0">
      <w:lvlJc w:val="left"/>
      <w:lvlText w:val="5"/>
      <w:numFmt w:val="bullet"/>
      <w:start w:val="1"/>
    </w:lvl>
  </w:abstractNum>
  <w:abstractNum w:abstractNumId="51">
    <w:nsid w:val="10233C99"/>
    <w:multiLevelType w:val="hybridMultilevel"/>
    <w:lvl w:ilvl="0">
      <w:lvlJc w:val="left"/>
      <w:lvlText w:val="6"/>
      <w:numFmt w:val="bullet"/>
      <w:start w:val="1"/>
    </w:lvl>
  </w:abstractNum>
  <w:abstractNum w:abstractNumId="52">
    <w:nsid w:val="3F6AB60F"/>
    <w:multiLevelType w:val="hybridMultilevel"/>
    <w:lvl w:ilvl="0">
      <w:lvlJc w:val="left"/>
      <w:lvlText w:val="1"/>
      <w:numFmt w:val="bullet"/>
      <w:start w:val="1"/>
    </w:lvl>
  </w:abstractNum>
  <w:abstractNum w:abstractNumId="53">
    <w:nsid w:val="61574095"/>
    <w:multiLevelType w:val="hybridMultilevel"/>
    <w:lvl w:ilvl="0">
      <w:lvlJc w:val="left"/>
      <w:lvlText w:val="2"/>
      <w:numFmt w:val="bullet"/>
      <w:start w:val="1"/>
    </w:lvl>
  </w:abstractNum>
  <w:abstractNum w:abstractNumId="54">
    <w:nsid w:val="7E0C57B1"/>
    <w:multiLevelType w:val="hybridMultilevel"/>
    <w:lvl w:ilvl="0">
      <w:lvlJc w:val="left"/>
      <w:lvlText w:val="3"/>
      <w:numFmt w:val="bullet"/>
      <w:start w:val="1"/>
    </w:lvl>
  </w:abstractNum>
  <w:abstractNum w:abstractNumId="55">
    <w:nsid w:val="77AE35EB"/>
    <w:multiLevelType w:val="hybridMultilevel"/>
    <w:lvl w:ilvl="0">
      <w:lvlJc w:val="left"/>
      <w:lvlText w:val="4"/>
      <w:numFmt w:val="bullet"/>
      <w:start w:val="1"/>
    </w:lvl>
  </w:abstractNum>
  <w:abstractNum w:abstractNumId="56">
    <w:nsid w:val="579BE4F1"/>
    <w:multiLevelType w:val="hybridMultilevel"/>
    <w:lvl w:ilvl="0">
      <w:lvlJc w:val="left"/>
      <w:lvlText w:val="5"/>
      <w:numFmt w:val="bullet"/>
      <w:start w:val="1"/>
    </w:lvl>
  </w:abstractNum>
  <w:abstractNum w:abstractNumId="57">
    <w:nsid w:val="310C50B3"/>
    <w:multiLevelType w:val="hybridMultilevel"/>
    <w:lvl w:ilvl="0">
      <w:lvlJc w:val="left"/>
      <w:lvlText w:val="1"/>
      <w:numFmt w:val="bullet"/>
      <w:start w:val="1"/>
    </w:lvl>
  </w:abstractNum>
  <w:abstractNum w:abstractNumId="58">
    <w:nsid w:val="5FF87E05"/>
    <w:multiLevelType w:val="hybridMultilevel"/>
    <w:lvl w:ilvl="0">
      <w:lvlJc w:val="left"/>
      <w:lvlText w:val="2"/>
      <w:numFmt w:val="bullet"/>
      <w:start w:val="1"/>
    </w:lvl>
  </w:abstractNum>
  <w:abstractNum w:abstractNumId="59">
    <w:nsid w:val="2F305DEF"/>
    <w:multiLevelType w:val="hybridMultilevel"/>
    <w:lvl w:ilvl="0">
      <w:lvlJc w:val="left"/>
      <w:lvlText w:val="3"/>
      <w:numFmt w:val="bullet"/>
      <w:start w:val="1"/>
    </w:lvl>
  </w:abstractNum>
  <w:abstractNum w:abstractNumId="60">
    <w:nsid w:val="25A70BF7"/>
    <w:multiLevelType w:val="hybridMultilevel"/>
    <w:lvl w:ilvl="0">
      <w:lvlJc w:val="left"/>
      <w:lvlText w:val="4"/>
      <w:numFmt w:val="bullet"/>
      <w:start w:val="1"/>
    </w:lvl>
  </w:abstractNum>
  <w:abstractNum w:abstractNumId="61">
    <w:nsid w:val="1DBABF00"/>
    <w:multiLevelType w:val="hybridMultilevel"/>
    <w:lvl w:ilvl="0">
      <w:lvlJc w:val="left"/>
      <w:lvlText w:val="5"/>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decimal"/>
      <w:start w:val="1"/>
    </w:lvl>
    <w:lvl w:ilvl="1">
      <w:lvlJc w:val="left"/>
      <w:lvlText w:val="(%2)"/>
      <w:numFmt w:val="lowerLetter"/>
      <w:start w:val="1"/>
    </w:lvl>
  </w:abstractNum>
  <w:abstractNum w:abstractNumId="64">
    <w:nsid w:val="1381823A"/>
    <w:multiLevelType w:val="hybridMultilevel"/>
    <w:lvl w:ilvl="0">
      <w:lvlJc w:val="left"/>
      <w:lvlText w:val="(%1)"/>
      <w:numFmt w:val="lowerLetter"/>
      <w:start w:val="2"/>
    </w:lvl>
  </w:abstractNum>
  <w:abstractNum w:abstractNumId="65">
    <w:nsid w:val="5DB70AE5"/>
    <w:multiLevelType w:val="hybridMultilevel"/>
    <w:lvl w:ilvl="0">
      <w:lvlJc w:val="left"/>
      <w:lvlText w:val="%1."/>
      <w:numFmt w:val="decimal"/>
      <w:start w:val="2"/>
    </w:lvl>
  </w:abstractNum>
  <w:abstractNum w:abstractNumId="66">
    <w:nsid w:val="100F8FCA"/>
    <w:multiLevelType w:val="hybridMultilevel"/>
    <w:lvl w:ilvl="0">
      <w:lvlJc w:val="left"/>
      <w:lvlText w:val="%1."/>
      <w:numFmt w:val="decimal"/>
      <w:start w:val="16"/>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4"/>
    </w:lvl>
  </w:abstractNum>
  <w:abstractNum w:abstractNumId="69">
    <w:nsid w:val="5F5E7FD0"/>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jpeg"/><Relationship Id="rId86" Type="http://schemas.openxmlformats.org/officeDocument/2006/relationships/image" Target="media/image74.png"/><Relationship Id="rId87" Type="http://schemas.openxmlformats.org/officeDocument/2006/relationships/image" Target="media/image75.jpeg"/><Relationship Id="rId88" Type="http://schemas.openxmlformats.org/officeDocument/2006/relationships/image" Target="media/image76.png"/><Relationship Id="rId89" Type="http://schemas.openxmlformats.org/officeDocument/2006/relationships/image" Target="media/image77.jpeg"/><Relationship Id="rId90" Type="http://schemas.openxmlformats.org/officeDocument/2006/relationships/image" Target="media/image78.png"/><Relationship Id="rId91" Type="http://schemas.openxmlformats.org/officeDocument/2006/relationships/image" Target="media/image79.jpeg"/><Relationship Id="rId92" Type="http://schemas.openxmlformats.org/officeDocument/2006/relationships/image" Target="media/image80.png"/><Relationship Id="rId93" Type="http://schemas.openxmlformats.org/officeDocument/2006/relationships/image" Target="media/image81.jpeg"/><Relationship Id="rId94" Type="http://schemas.openxmlformats.org/officeDocument/2006/relationships/image" Target="media/image82.png"/><Relationship Id="rId95" Type="http://schemas.openxmlformats.org/officeDocument/2006/relationships/image" Target="media/image83.jpe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57" Type="http://schemas.openxmlformats.org/officeDocument/2006/relationships/hyperlink" Target="http://www.sec.gov/Archives/edgar/data/87347/000119312516532046/d176097dex31.htm" TargetMode="External"/><Relationship Id="rId59" Type="http://schemas.openxmlformats.org/officeDocument/2006/relationships/hyperlink" Target="http://www.sec.gov/Archives/edgar/data/87347/000119312517013293/d333168dex31.htm" TargetMode="External"/><Relationship Id="rId60" Type="http://schemas.openxmlformats.org/officeDocument/2006/relationships/hyperlink" Target="http://www.sec.gov/Archives/edgar/data/87347/000119312513346708/d527282dex33.htm" TargetMode="External"/><Relationship Id="rId61" Type="http://schemas.openxmlformats.org/officeDocument/2006/relationships/hyperlink" Target="http://www.sec.gov/Archives/edgar/data/87347/000119312513460494/d637672dex41.htm" TargetMode="External"/><Relationship Id="rId62" Type="http://schemas.openxmlformats.org/officeDocument/2006/relationships/hyperlink" Target="http://www.sec.gov/Archives/edgar/data/87347/000119312513460494/d63767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2019-12-03T04:34:31Z</dcterms:created>
  <dcterms:modified xsi:type="dcterms:W3CDTF">2019-12-03T04:34:31Z</dcterms:modified>
</cp:coreProperties>
</file>