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(SCHLUMBERGER LIMITED)</w:t>
      </w: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3940" w:type="dxa"/>
            <w:vAlign w:val="bottom"/>
          </w:tcPr>
          <w:p>
            <w:pPr>
              <w:jc w:val="center"/>
              <w:ind w:right="1954"/>
              <w:spacing w:after="0"/>
              <w:rPr>
                <w:sz w:val="20"/>
                <w:szCs w:val="20"/>
                <w:color w:val="auto"/>
              </w:rPr>
            </w:pPr>
            <w:r>
              <w:rPr>
                <w:rFonts w:ascii="Arial" w:cs="Arial" w:eastAsia="Arial" w:hAnsi="Arial"/>
                <w:sz w:val="18"/>
                <w:szCs w:val="18"/>
                <w:b w:val="1"/>
                <w:bCs w:val="1"/>
                <w:color w:val="auto"/>
                <w:w w:val="91"/>
              </w:rPr>
              <w:t>Curaçao</w:t>
            </w:r>
          </w:p>
        </w:tc>
        <w:tc>
          <w:tcPr>
            <w:tcW w:w="2300" w:type="dxa"/>
            <w:vAlign w:val="bottom"/>
          </w:tcPr>
          <w:p>
            <w:pPr>
              <w:jc w:val="center"/>
              <w:ind w:right="422"/>
              <w:spacing w:after="0"/>
              <w:rPr>
                <w:sz w:val="20"/>
                <w:szCs w:val="20"/>
                <w:color w:val="auto"/>
              </w:rPr>
            </w:pPr>
            <w:r>
              <w:rPr>
                <w:rFonts w:ascii="Arial" w:cs="Arial" w:eastAsia="Arial" w:hAnsi="Arial"/>
                <w:sz w:val="18"/>
                <w:szCs w:val="18"/>
                <w:b w:val="1"/>
                <w:bCs w:val="1"/>
                <w:color w:val="auto"/>
                <w:w w:val="92"/>
              </w:rPr>
              <w:t>1-4601</w:t>
            </w:r>
          </w:p>
        </w:tc>
        <w:tc>
          <w:tcPr>
            <w:tcW w:w="292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3940" w:type="dxa"/>
            <w:vAlign w:val="bottom"/>
          </w:tcPr>
          <w:p>
            <w:pPr>
              <w:jc w:val="center"/>
              <w:ind w:right="197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00" w:type="dxa"/>
            <w:vAlign w:val="bottom"/>
          </w:tcPr>
          <w:p>
            <w:pPr>
              <w:jc w:val="center"/>
              <w:ind w:right="4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920" w:type="dxa"/>
            <w:vAlign w:val="bottom"/>
          </w:tcPr>
          <w:p>
            <w:pPr>
              <w:jc w:val="center"/>
              <w:ind w:left="171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74"/>
              <w:spacing w:after="0"/>
              <w:rPr>
                <w:sz w:val="20"/>
                <w:szCs w:val="20"/>
                <w:color w:val="auto"/>
              </w:rPr>
            </w:pPr>
            <w:r>
              <w:rPr>
                <w:rFonts w:ascii="Arial" w:cs="Arial" w:eastAsia="Arial" w:hAnsi="Arial"/>
                <w:sz w:val="14"/>
                <w:szCs w:val="14"/>
                <w:b w:val="1"/>
                <w:bCs w:val="1"/>
                <w:color w:val="auto"/>
                <w:w w:val="94"/>
              </w:rPr>
              <w:t>incorporation or organization)</w:t>
            </w:r>
          </w:p>
        </w:tc>
        <w:tc>
          <w:tcPr>
            <w:tcW w:w="2300" w:type="dxa"/>
            <w:vAlign w:val="bottom"/>
          </w:tcPr>
          <w:p>
            <w:pPr>
              <w:jc w:val="center"/>
              <w:ind w:right="422"/>
              <w:spacing w:after="0"/>
              <w:rPr>
                <w:sz w:val="20"/>
                <w:szCs w:val="20"/>
                <w:color w:val="auto"/>
              </w:rPr>
            </w:pPr>
            <w:r>
              <w:rPr>
                <w:rFonts w:ascii="Arial" w:cs="Arial" w:eastAsia="Arial" w:hAnsi="Arial"/>
                <w:sz w:val="14"/>
                <w:szCs w:val="14"/>
                <w:b w:val="1"/>
                <w:bCs w:val="1"/>
                <w:color w:val="auto"/>
                <w:w w:val="98"/>
              </w:rPr>
              <w:t>File Number)</w:t>
            </w:r>
          </w:p>
        </w:tc>
        <w:tc>
          <w:tcPr>
            <w:tcW w:w="2920" w:type="dxa"/>
            <w:vAlign w:val="bottom"/>
          </w:tcPr>
          <w:p>
            <w:pPr>
              <w:jc w:val="center"/>
              <w:ind w:left="1717"/>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2"/>
              </w:rPr>
              <w:t>42, rue Saint-Dominique</w:t>
            </w:r>
          </w:p>
        </w:tc>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48"/>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Paris, France</w:t>
            </w:r>
          </w:p>
        </w:tc>
        <w:tc>
          <w:tcPr>
            <w:tcW w:w="2300" w:type="dxa"/>
            <w:vAlign w:val="bottom"/>
          </w:tcPr>
          <w:p>
            <w:pPr>
              <w:spacing w:after="0"/>
              <w:rPr>
                <w:sz w:val="21"/>
                <w:szCs w:val="21"/>
                <w:color w:val="auto"/>
              </w:rPr>
            </w:pPr>
          </w:p>
        </w:tc>
        <w:tc>
          <w:tcPr>
            <w:tcW w:w="2920" w:type="dxa"/>
            <w:vAlign w:val="bottom"/>
          </w:tcPr>
          <w:p>
            <w:pPr>
              <w:jc w:val="center"/>
              <w:ind w:right="17"/>
              <w:spacing w:after="0"/>
              <w:rPr>
                <w:sz w:val="20"/>
                <w:szCs w:val="20"/>
                <w:color w:val="auto"/>
              </w:rPr>
            </w:pPr>
            <w:r>
              <w:rPr>
                <w:rFonts w:ascii="Arial" w:cs="Arial" w:eastAsia="Arial" w:hAnsi="Arial"/>
                <w:sz w:val="18"/>
                <w:szCs w:val="18"/>
                <w:b w:val="1"/>
                <w:bCs w:val="1"/>
                <w:color w:val="auto"/>
                <w:w w:val="91"/>
              </w:rPr>
              <w:t>75007</w:t>
            </w:r>
          </w:p>
        </w:tc>
      </w:tr>
      <w:tr>
        <w:trPr>
          <w:trHeight w:val="414"/>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5599 San Felipe</w:t>
            </w:r>
          </w:p>
        </w:tc>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48"/>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300" w:type="dxa"/>
            <w:vAlign w:val="bottom"/>
          </w:tcPr>
          <w:p>
            <w:pPr>
              <w:spacing w:after="0"/>
              <w:rPr>
                <w:sz w:val="21"/>
                <w:szCs w:val="21"/>
                <w:color w:val="auto"/>
              </w:rPr>
            </w:pPr>
          </w:p>
        </w:tc>
        <w:tc>
          <w:tcPr>
            <w:tcW w:w="2920" w:type="dxa"/>
            <w:vAlign w:val="bottom"/>
          </w:tcPr>
          <w:p>
            <w:pPr>
              <w:jc w:val="center"/>
              <w:ind w:right="17"/>
              <w:spacing w:after="0"/>
              <w:rPr>
                <w:sz w:val="20"/>
                <w:szCs w:val="20"/>
                <w:color w:val="auto"/>
              </w:rPr>
            </w:pPr>
            <w:r>
              <w:rPr>
                <w:rFonts w:ascii="Arial" w:cs="Arial" w:eastAsia="Arial" w:hAnsi="Arial"/>
                <w:sz w:val="18"/>
                <w:szCs w:val="18"/>
                <w:b w:val="1"/>
                <w:bCs w:val="1"/>
                <w:color w:val="auto"/>
                <w:w w:val="91"/>
              </w:rPr>
              <w:t>77056</w:t>
            </w:r>
          </w:p>
        </w:tc>
      </w:tr>
      <w:tr>
        <w:trPr>
          <w:trHeight w:val="414"/>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62 Buckingham Gate</w:t>
            </w:r>
          </w:p>
        </w:tc>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48"/>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2"/>
              </w:rPr>
              <w:t>London, United Kingdom</w:t>
            </w:r>
          </w:p>
        </w:tc>
        <w:tc>
          <w:tcPr>
            <w:tcW w:w="2300" w:type="dxa"/>
            <w:vAlign w:val="bottom"/>
          </w:tcPr>
          <w:p>
            <w:pPr>
              <w:spacing w:after="0"/>
              <w:rPr>
                <w:sz w:val="21"/>
                <w:szCs w:val="21"/>
                <w:color w:val="auto"/>
              </w:rPr>
            </w:pPr>
          </w:p>
        </w:tc>
        <w:tc>
          <w:tcPr>
            <w:tcW w:w="2920" w:type="dxa"/>
            <w:vAlign w:val="bottom"/>
          </w:tcPr>
          <w:p>
            <w:pPr>
              <w:jc w:val="center"/>
              <w:ind w:right="17"/>
              <w:spacing w:after="0"/>
              <w:rPr>
                <w:sz w:val="20"/>
                <w:szCs w:val="20"/>
                <w:color w:val="auto"/>
              </w:rPr>
            </w:pPr>
            <w:r>
              <w:rPr>
                <w:rFonts w:ascii="Arial" w:cs="Arial" w:eastAsia="Arial" w:hAnsi="Arial"/>
                <w:sz w:val="18"/>
                <w:szCs w:val="18"/>
                <w:b w:val="1"/>
                <w:bCs w:val="1"/>
                <w:color w:val="auto"/>
                <w:w w:val="96"/>
              </w:rPr>
              <w:t>SW1E 6AJ</w:t>
            </w:r>
          </w:p>
        </w:tc>
      </w:tr>
      <w:tr>
        <w:trPr>
          <w:trHeight w:val="414"/>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1"/>
              </w:rPr>
              <w:t>Parkstraat 83, The Hague,</w:t>
            </w:r>
          </w:p>
        </w:tc>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25"/>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2"/>
              </w:rPr>
              <w:t>The Netherlands</w:t>
            </w:r>
          </w:p>
        </w:tc>
        <w:tc>
          <w:tcPr>
            <w:tcW w:w="2300" w:type="dxa"/>
            <w:vAlign w:val="bottom"/>
          </w:tcPr>
          <w:p>
            <w:pPr>
              <w:spacing w:after="0"/>
              <w:rPr>
                <w:sz w:val="19"/>
                <w:szCs w:val="19"/>
                <w:color w:val="auto"/>
              </w:rPr>
            </w:pPr>
          </w:p>
        </w:tc>
        <w:tc>
          <w:tcPr>
            <w:tcW w:w="2920" w:type="dxa"/>
            <w:vAlign w:val="bottom"/>
          </w:tcPr>
          <w:p>
            <w:pPr>
              <w:jc w:val="center"/>
              <w:ind w:right="17"/>
              <w:spacing w:after="0"/>
              <w:rPr>
                <w:sz w:val="20"/>
                <w:szCs w:val="20"/>
                <w:color w:val="auto"/>
              </w:rPr>
            </w:pPr>
            <w:r>
              <w:rPr>
                <w:rFonts w:ascii="Arial" w:cs="Arial" w:eastAsia="Arial" w:hAnsi="Arial"/>
                <w:sz w:val="18"/>
                <w:szCs w:val="18"/>
                <w:b w:val="1"/>
                <w:bCs w:val="1"/>
                <w:color w:val="auto"/>
                <w:w w:val="89"/>
              </w:rPr>
              <w:t>2514 JG</w:t>
            </w:r>
          </w:p>
        </w:tc>
      </w:tr>
      <w:tr>
        <w:trPr>
          <w:trHeight w:val="186"/>
        </w:trPr>
        <w:tc>
          <w:tcPr>
            <w:tcW w:w="39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2300" w:type="dxa"/>
            <w:vAlign w:val="bottom"/>
          </w:tcPr>
          <w:p>
            <w:pPr>
              <w:spacing w:after="0"/>
              <w:rPr>
                <w:sz w:val="16"/>
                <w:szCs w:val="16"/>
                <w:color w:val="auto"/>
              </w:rPr>
            </w:pPr>
          </w:p>
        </w:tc>
        <w:tc>
          <w:tcPr>
            <w:tcW w:w="292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(Zip Codes)</w:t>
            </w: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Director, Corporate Legal</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2017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 Specialized Disclosure Report and the Conflict Minerals Report attached hereto as Exhibit 1.01 for the year ended December 31, 2017. Both of these documents are publicly available on the Company’s website at: http://www.slb.com/about/accountability/conflict_minerals.aspx.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2018</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240" w:top="270" w:right="9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11"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This Conflict Minerals Report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of Schlumberger Limited has been prepared pursuant to Rule 13p-1 and Form SD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promulgated under the Securities Exchange Act of 1934, as amended, for the reporting period from January 1, 2017 to December 31, 2017.</w:t>
      </w:r>
    </w:p>
    <w:p>
      <w:pPr>
        <w:spacing w:after="0" w:line="12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references in this Report to “Schlumberger,” “Company,” “we,” “us” or “our” are to Schlumberger Limited (Schlumberger N.V., incorporated in Curaçao) and its consolidated subsidiaries as of December 31, 2017.</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more than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relates to products sold: (a) that contain conflict minerals necessary to their functionality or production (“</w:t>
      </w:r>
      <w:r>
        <w:rPr>
          <w:rFonts w:ascii="Arial" w:cs="Arial" w:eastAsia="Arial" w:hAnsi="Arial"/>
          <w:sz w:val="16"/>
          <w:szCs w:val="16"/>
          <w:b w:val="1"/>
          <w:bCs w:val="1"/>
          <w:i w:val="1"/>
          <w:iCs w:val="1"/>
          <w:color w:val="auto"/>
        </w:rPr>
        <w:t>necessary conflict minerals</w:t>
      </w:r>
      <w:r>
        <w:rPr>
          <w:rFonts w:ascii="Arial" w:cs="Arial" w:eastAsia="Arial" w:hAnsi="Arial"/>
          <w:sz w:val="16"/>
          <w:szCs w:val="16"/>
          <w:color w:val="auto"/>
        </w:rPr>
        <w:t>”);</w:t>
      </w:r>
    </w:p>
    <w:p>
      <w:pPr>
        <w:spacing w:after="0" w:line="46" w:lineRule="exact"/>
        <w:rPr>
          <w:sz w:val="20"/>
          <w:szCs w:val="20"/>
          <w:color w:val="auto"/>
        </w:rPr>
      </w:pPr>
    </w:p>
    <w:p>
      <w:pPr>
        <w:ind w:right="260" w:firstLine="8"/>
        <w:spacing w:after="0" w:line="323"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that we had reason to believe may have originated in the Democratic Republic of the Congo or an adjoining country (the “</w:t>
      </w:r>
      <w:r>
        <w:rPr>
          <w:rFonts w:ascii="Arial" w:cs="Arial" w:eastAsia="Arial" w:hAnsi="Arial"/>
          <w:sz w:val="16"/>
          <w:szCs w:val="16"/>
          <w:b w:val="1"/>
          <w:bCs w:val="1"/>
          <w:i w:val="1"/>
          <w:iCs w:val="1"/>
          <w:color w:val="auto"/>
        </w:rPr>
        <w:t>covered countries</w:t>
      </w:r>
      <w:r>
        <w:rPr>
          <w:rFonts w:ascii="Arial" w:cs="Arial" w:eastAsia="Arial" w:hAnsi="Arial"/>
          <w:sz w:val="16"/>
          <w:szCs w:val="16"/>
          <w:color w:val="auto"/>
        </w:rPr>
        <w:t>”) and may not have come from recycled or scrap sources; and (c) that we manufactured, or contracted to be manufactured, in 2017 (the “</w:t>
      </w:r>
      <w:r>
        <w:rPr>
          <w:rFonts w:ascii="Arial" w:cs="Arial" w:eastAsia="Arial" w:hAnsi="Arial"/>
          <w:sz w:val="16"/>
          <w:szCs w:val="16"/>
          <w:b w:val="1"/>
          <w:bCs w:val="1"/>
          <w:i w:val="1"/>
          <w:iCs w:val="1"/>
          <w:color w:val="auto"/>
        </w:rPr>
        <w:t>covered products</w:t>
      </w:r>
      <w:r>
        <w:rPr>
          <w:rFonts w:ascii="Arial" w:cs="Arial" w:eastAsia="Arial" w:hAnsi="Arial"/>
          <w:sz w:val="16"/>
          <w:szCs w:val="16"/>
          <w:color w:val="auto"/>
        </w:rPr>
        <w: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covered products are as follows: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permanent multiphase meters; subsea safety valves; oil, gas and core analysis laboratory equipment; seismic land acquisition systems; perforating hardware and accessories; downhole drilling tools; solids and pressure control equipment for drilling fluids systems;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 onshore and offshore applications; subsea production systems and manifolds and aftermarket parts; valves; actuators; chokes and aftermarket parts; measurement products that include totalizers; turbine meters; flow computers; chart recorders; ultrasonic flow meters; sampling systems; oil and gas separation equipment; heaters; dehydration and desalting units; gas conditioning units; membrane separation systems; water processing systems; and electronic controls.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Policy</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adopted a policy relating to conflict minerals in our products (the “</w:t>
      </w:r>
      <w:r>
        <w:rPr>
          <w:rFonts w:ascii="Arial" w:cs="Arial" w:eastAsia="Arial" w:hAnsi="Arial"/>
          <w:sz w:val="18"/>
          <w:szCs w:val="18"/>
          <w:b w:val="1"/>
          <w:bCs w:val="1"/>
          <w:i w:val="1"/>
          <w:iCs w:val="1"/>
          <w:color w:val="auto"/>
        </w:rPr>
        <w:t>Conflict Minerals Policy</w:t>
      </w:r>
      <w:r>
        <w:rPr>
          <w:rFonts w:ascii="Arial" w:cs="Arial" w:eastAsia="Arial" w:hAnsi="Arial"/>
          <w:sz w:val="18"/>
          <w:szCs w:val="18"/>
          <w:color w:val="auto"/>
        </w:rPr>
        <w:t>”), incorporating relevant standards contained in the OECD Guidance, which is available at http://www.slb.com/about/accountability/conflict_minerals.aspx. The Conflict Minerals Policy iterates our commitment to responsibly source materials from suppliers that share our values. It reflects our expectation that our immediate (“</w:t>
      </w:r>
      <w:r>
        <w:rPr>
          <w:rFonts w:ascii="Arial" w:cs="Arial" w:eastAsia="Arial" w:hAnsi="Arial"/>
          <w:sz w:val="18"/>
          <w:szCs w:val="18"/>
          <w:b w:val="1"/>
          <w:bCs w:val="1"/>
          <w:i w:val="1"/>
          <w:iCs w:val="1"/>
          <w:color w:val="auto"/>
        </w:rPr>
        <w:t>Tier 1</w:t>
      </w:r>
      <w:r>
        <w:rPr>
          <w:rFonts w:ascii="Arial" w:cs="Arial" w:eastAsia="Arial" w:hAnsi="Arial"/>
          <w:sz w:val="18"/>
          <w:szCs w:val="18"/>
          <w:color w:val="auto"/>
        </w:rPr>
        <w:t>”) suppliers will perform due diligence similar to ours on the sources of conflict minerals in their supply chains, and our expectation that they will require their own suppliers to do the same. It further provides generally that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a robust and validated conflict-free supply chain is established or a robust mineral tracing program is developed, we will expect our direct suppliers to procure only minerals using that validated supply chain, so as to avoid the use of minerals that have financed conflict in the covered countries.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Management Teams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Members of our business, legal, engineering, procurement and sourcing, and information technology functions comprised a core team that was involved in various phases of our compliance with the Rule. Members of this core team have put in place processes and controls reasonably designed to increase transparency in our conflict minerals supply chain. Members of the core team annually present to their respective business unit Presidents a final, formal review of: (a) their findings as to the source and status of the necessary conflict minerals contained in the covered products sold by their business unit; and (b) their unit’s due diligence efforts.</w:t>
      </w:r>
    </w:p>
    <w:p>
      <w:pPr>
        <w:spacing w:after="0" w:line="188" w:lineRule="exact"/>
        <w:rPr>
          <w:sz w:val="20"/>
          <w:szCs w:val="20"/>
          <w:color w:val="auto"/>
        </w:rPr>
      </w:pPr>
    </w:p>
    <w:p>
      <w:pPr>
        <w:ind w:right="660" w:firstLine="456"/>
        <w:spacing w:after="0" w:line="312" w:lineRule="auto"/>
        <w:rPr>
          <w:sz w:val="20"/>
          <w:szCs w:val="20"/>
          <w:color w:val="auto"/>
        </w:rPr>
      </w:pPr>
      <w:r>
        <w:rPr>
          <w:rFonts w:ascii="Arial" w:cs="Arial" w:eastAsia="Arial" w:hAnsi="Arial"/>
          <w:sz w:val="16"/>
          <w:szCs w:val="16"/>
          <w:color w:val="auto"/>
        </w:rPr>
        <w:t>We have a steering committee comprised of executive-level representatives of our procurement and sourcing, engineering, manufacturing and sustaining, and legal functions. The steering committee is responsible for implementing our conflict minerals compliance strategy; setting the general direction of our conflict minerals compliance efforts; and allocating sufficient resources in the cross-functional core team efforts.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Systems</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We have (a) adopted various processes related to our conflict minerals compliance efforts and determinations; (b) adopted standardized data templates for all business units to ensure consistency across various information technology systems; (c) adopted a procedure in our engineering design and manufacturing systems that requires the recording of necessary conflict mineral contents of newly-developed parts included in our products; (d) adopted an electronic repository to retain relevant documentation concerning our conflict minerals compliance efforts and determinations; and (e) adopted written summaries, reviewed by the President of each relevant business unit, describing how each such business unit complied with the Rule and which of its products were subject to the Rule. In addition, certain employees from our legal, engineering, manufacturing, sustaining, procurement and sourcing, sales, finance and compliance functions are targeted for annual training and certification.</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we do not, except in very rare instances, have direct relationships with conflict mineral smelters and refiners (“</w:t>
      </w:r>
      <w:r>
        <w:rPr>
          <w:rFonts w:ascii="Arial" w:cs="Arial" w:eastAsia="Arial" w:hAnsi="Arial"/>
          <w:sz w:val="18"/>
          <w:szCs w:val="18"/>
          <w:b w:val="1"/>
          <w:bCs w:val="1"/>
          <w:i w:val="1"/>
          <w:iCs w:val="1"/>
          <w:color w:val="auto"/>
        </w:rPr>
        <w:t>SORs</w:t>
      </w:r>
      <w:r>
        <w:rPr>
          <w:rFonts w:ascii="Arial" w:cs="Arial" w:eastAsia="Arial" w:hAnsi="Arial"/>
          <w:sz w:val="18"/>
          <w:szCs w:val="18"/>
          <w:color w:val="auto"/>
        </w:rPr>
        <w:t>”), we rely on information from industry sources to compare and assess due diligence responses, identify SORs in our supply chains and improve our ongoing due diligence efforts. We implemented a supply chain transparency system through the use of due diligence tools developed by the Responsible Minerals Initiative (“</w:t>
      </w:r>
      <w:r>
        <w:rPr>
          <w:rFonts w:ascii="Arial" w:cs="Arial" w:eastAsia="Arial" w:hAnsi="Arial"/>
          <w:sz w:val="18"/>
          <w:szCs w:val="18"/>
          <w:b w:val="1"/>
          <w:bCs w:val="1"/>
          <w:i w:val="1"/>
          <w:iCs w:val="1"/>
          <w:color w:val="auto"/>
        </w:rPr>
        <w:t>RMI</w:t>
      </w:r>
      <w:r>
        <w:rPr>
          <w:rFonts w:ascii="Arial" w:cs="Arial" w:eastAsia="Arial" w:hAnsi="Arial"/>
          <w:sz w:val="18"/>
          <w:szCs w:val="18"/>
          <w:color w:val="auto"/>
        </w:rPr>
        <w:t>”), formerly known as the Conflict-Free Sourcing Initiative (“</w:t>
      </w:r>
      <w:r>
        <w:rPr>
          <w:rFonts w:ascii="Arial" w:cs="Arial" w:eastAsia="Arial" w:hAnsi="Arial"/>
          <w:sz w:val="18"/>
          <w:szCs w:val="18"/>
          <w:b w:val="1"/>
          <w:bCs w:val="1"/>
          <w:i w:val="1"/>
          <w:iCs w:val="1"/>
          <w:color w:val="auto"/>
        </w:rPr>
        <w:t>CFSI</w:t>
      </w:r>
      <w:r>
        <w:rPr>
          <w:rFonts w:ascii="Arial" w:cs="Arial" w:eastAsia="Arial" w:hAnsi="Arial"/>
          <w:sz w:val="18"/>
          <w:szCs w:val="18"/>
          <w:color w:val="auto"/>
        </w:rPr>
        <w:t>”), including the RMI Conflict Minerals Reporting Template (the “</w:t>
      </w:r>
      <w:r>
        <w:rPr>
          <w:rFonts w:ascii="Arial" w:cs="Arial" w:eastAsia="Arial" w:hAnsi="Arial"/>
          <w:sz w:val="18"/>
          <w:szCs w:val="18"/>
          <w:b w:val="1"/>
          <w:bCs w:val="1"/>
          <w:i w:val="1"/>
          <w:iCs w:val="1"/>
          <w:color w:val="auto"/>
        </w:rPr>
        <w:t>Template</w:t>
      </w:r>
      <w:r>
        <w:rPr>
          <w:rFonts w:ascii="Arial" w:cs="Arial" w:eastAsia="Arial" w:hAnsi="Arial"/>
          <w:sz w:val="18"/>
          <w:szCs w:val="18"/>
          <w:color w:val="auto"/>
        </w:rPr>
        <w:t>”), which is designed to identify the SORs that process the conflict minerals in a company’s supply chain. We also support our suppliers’ use of validation, certification and audit programs on SORs upstream in our supply chain, such as the Responsible Minerals Assurance Process (“</w:t>
      </w:r>
      <w:r>
        <w:rPr>
          <w:rFonts w:ascii="Arial" w:cs="Arial" w:eastAsia="Arial" w:hAnsi="Arial"/>
          <w:sz w:val="18"/>
          <w:szCs w:val="18"/>
          <w:b w:val="1"/>
          <w:bCs w:val="1"/>
          <w:i w:val="1"/>
          <w:iCs w:val="1"/>
          <w:color w:val="auto"/>
        </w:rPr>
        <w:t>RMAP</w:t>
      </w:r>
      <w:r>
        <w:rPr>
          <w:rFonts w:ascii="Arial" w:cs="Arial" w:eastAsia="Arial" w:hAnsi="Arial"/>
          <w:sz w:val="18"/>
          <w:szCs w:val="18"/>
          <w:color w:val="auto"/>
        </w:rPr>
        <w:t>”) developed by RMI; the ITRI Tin Supply Chain Initiative; the Tungsten Industry – Conflict Mineral Council Framework; the London Bullion Market Association (“</w:t>
      </w:r>
      <w:r>
        <w:rPr>
          <w:rFonts w:ascii="Arial" w:cs="Arial" w:eastAsia="Arial" w:hAnsi="Arial"/>
          <w:sz w:val="18"/>
          <w:szCs w:val="18"/>
          <w:b w:val="1"/>
          <w:bCs w:val="1"/>
          <w:i w:val="1"/>
          <w:iCs w:val="1"/>
          <w:color w:val="auto"/>
        </w:rPr>
        <w:t>LBMA</w:t>
      </w:r>
      <w:r>
        <w:rPr>
          <w:rFonts w:ascii="Arial" w:cs="Arial" w:eastAsia="Arial" w:hAnsi="Arial"/>
          <w:sz w:val="18"/>
          <w:szCs w:val="18"/>
          <w:color w:val="auto"/>
        </w:rPr>
        <w:t>”); and the Responsible Jewellery Council (“</w:t>
      </w:r>
      <w:r>
        <w:rPr>
          <w:rFonts w:ascii="Arial" w:cs="Arial" w:eastAsia="Arial" w:hAnsi="Arial"/>
          <w:sz w:val="18"/>
          <w:szCs w:val="18"/>
          <w:b w:val="1"/>
          <w:bCs w:val="1"/>
          <w:i w:val="1"/>
          <w:iCs w:val="1"/>
          <w:color w:val="auto"/>
        </w:rPr>
        <w:t>RJC</w:t>
      </w:r>
      <w:r>
        <w:rPr>
          <w:rFonts w:ascii="Arial" w:cs="Arial" w:eastAsia="Arial" w:hAnsi="Arial"/>
          <w:sz w:val="18"/>
          <w:szCs w:val="18"/>
          <w:color w:val="auto"/>
        </w:rPr>
        <w:t>”).</w:t>
      </w:r>
    </w:p>
    <w:p>
      <w:pPr>
        <w:spacing w:after="0" w:line="192"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We also maintain a company-level grievance mechanism, as described in our Code of Conduct, that enables employees and others to anonymously report concerns, including any concerns regarding our conflict minerals supply chain. Throughout the year, we communicated this mechanism to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7"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In order to identify and assess the risks in our supply chain, we first identified products for sale that we manufactured or contracted to manufacture in 2017 that contained, or that may have contained, necessary conflict minerals. We also identified any products that were manufactured, or contracted to be manufactured, by companies that we acquired in 2017. As stated above, we have adopted a procedure in our engineering design and manufacturing system that is reasonably designed to identify each necessary conflict mineral included in our products. We also conducted extensive research on our existing parts, particularly those that we had not confirmed in the prior year.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2017,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 gathering efforts. We then identified our Tier 1 suppliers that supplied us with the parts and products considered to be in scope of the Rule.</w:t>
      </w:r>
    </w:p>
    <w:p>
      <w:pPr>
        <w:spacing w:after="0" w:line="17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a downstream company typically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was collected using the Template, which requested our Tier 1 suppliers to identify the SORs and countries of origin of the necessary conflict minerals they supplied to us and contained in our covered products, and to determine whether any such necessary conflict minerals came from recycled or scrap sources. In conducting due diligence, we prioritized obtaining responses from certain of our suppliers we deemed to be higher-risk, as determined based on their strategic importance to us; we communicated this priority to our third-party data collection and aggregation provider in an effort to increase the response rate of these higher-risk suppliers.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 effort to increase awareness of our conflict minerals program, we provided suppliers with background materials describing the conflict minerals rule, including frequently asked questions (FAQs) regarding, among other things, conflict minerals tracing. We requested product-level information from our Tier 1 suppliers on the parts and products we purchased from them. Suppliers were allowed to submit multiple responses as necessary to address all such parts and products. We analyzed all responses to determine their scope. As described further in the “Results of Supply Chain Due Diligence” section below, we continued to receive more product-level responses from our top suppliers than the other tiers in 2017.</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pursued subsequent engagement with non-responsive suppliers, which included the following:</w:t>
      </w:r>
    </w:p>
    <w:p>
      <w:pPr>
        <w:spacing w:after="0" w:line="13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sent multiple email reminders requesting survey completion;</w:t>
      </w:r>
    </w:p>
    <w:p>
      <w:pPr>
        <w:spacing w:after="0" w:line="130" w:lineRule="exact"/>
        <w:rPr>
          <w:rFonts w:ascii="Arial" w:cs="Arial" w:eastAsia="Arial" w:hAnsi="Arial"/>
          <w:sz w:val="18"/>
          <w:szCs w:val="18"/>
          <w:color w:val="auto"/>
        </w:rPr>
      </w:pPr>
    </w:p>
    <w:p>
      <w:pPr>
        <w:ind w:left="900" w:right="46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suppliers who remained non-responsive after these email reminders were contacted by phone and offered assistance, including further information about the Rule, our conflict minerals program and clarification regarding how they could provide the required information; and</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following the above efforts, a supplier still did not provide the information requested, we further escalated the matter internally on a supplier risk priority basis and followed up directly with certain of these suppliers.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 Specifically, if a supplier indicated that a product it sold to Schlumberger did not contain conflict minerals, but we believed otherwise based on our analysis, we sent a letter to that supplier requesting (a) evidence that the product does not contain conflict minerals or (b) an updated Template response indicating the results of such supplier’s due diligence on the source of any conflict minerals contained in such product.</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instances where a supplier identified a SOR and the source of its conflict minerals, we sought to verify this information with third-party databases, Internet searches, and reviews of government databases and industry/trade organization lists, including the list of known conflict minerals processing facilities worldwide published by the U.S. Department of Commerce. We also compared the SORs identified by suppliers in their responses to us against the list of compliant SORs published in the RMAP, the LBMA and the RJC. In some cases, a supplier identified a SOR and stated that its conflict minerals were not sourced from any of the covered countries. However, we were sometimes able to confirm, based on available information concerning the SOR identified, that the SOR was reported to source conflict minerals from one or more of the covered countries. In such cases, we communicated our findings to the supplier for further investigation. As a general matter, we requested that suppliers update their responses to us as more information became available to them.</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our review, we flagged certain responses when:</w:t>
      </w:r>
    </w:p>
    <w:p>
      <w:pPr>
        <w:spacing w:after="0" w:line="13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provided for a conflict mineral that was not used in the relevant part or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that was used in a relevant part or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provided could not be verified using the methods described above;</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sourced conflict minerals from the covered countries, but none of the SORs listed were known to source from the region;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received conflict minerals data from all relevant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identified all SORs from which it sourced conflict minerals for the relevant parts and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provided all applicable SOR information it received from its suppliers; or</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all of the conflict minerals for the relevant parts and products originated from scrap/recycled sources, but one or more of the SORs listed were not known to be exclusive recyclers.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6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Strategy to Respond to Identified Risks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any SORs that were known to source necessary conflict minerals from any of the covered countries, we attempted to confirm that such SORs were listed in the various lists of compliant SORs described above. In addition, we sent a communication to our suppliers who sourced from such SORs, asking that they acknowledge the source of the relevant conflict minerals. We also included a copy of our Conflict Minerals Policy. Additionally, we reached out to our Tier 1 suppliers that we determined to have sourced from any of the covered countries and recommended that such supplier join a group such as RMI in order to obtain more current and accurate information regarding SORs and further to support industry efforts to achieve supply chain transparency.</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described in our Conflict Minerals Policy, in the event that we have reason to believe a supplier is supplying us with conflict minerals from sources that may support conflict in any of the covered countries, we will encourage that supplier to establish an alternative source of conflict minerals that does not support such conflict, or we may consider reevaluating the supplier relationship. If a Tier 1 supplier (i) has been unresponsive or otherwise uncooperative in our due diligence efforts or (ii) is not compliant with our Conflict Minerals Policy and is unwilling to expect its own suppliers to use conflict-free sources, then we may likewise reassess the supplier relationship. As described above, we support the use of validation, certification and audit programs for SORs in our supply chain.</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supplier engagement efforts described above in “Step 2: Identification and Assessment of Supply Chain Risks” also support our risk mitigation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SORs’ Due Diligence Practices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stated above, we are typically several tiers removed from mining operations and SORs, rendering transparency of our supply chain very difficult. Furthermore, except in rare instances, we do not have direct relationships with SORs and do not perform direct audits of the entities within our supply chain. Accordingly, we rely on our suppliers to provide the information necessary to assess compliance with our conflict minerals program and support the development and implementation of independent third party audits of SORs’ sourcing, such as the RMAP. For any Tier 1 supplier that we determined to have sourced from any of the covered countries, we recommend such supplier join a group such as the RMI in order to obtain more current and accurate information regarding SORs and further to support industry efforts to achieve transparency.</w:t>
      </w:r>
    </w:p>
    <w:p>
      <w:pPr>
        <w:spacing w:after="0" w:line="17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use a third party to aid in verifying the information supplied by our suppliers with respect to the SORs that they source from, and to review and confirm the validity of the RMAP, RJC and LBMA certifications of those SORs. In some cases, our third party reaches out directly to SORs as necessary to confirm the information either publicly available or made available in reporting template responses that may be contradictory or incomplete.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2700" w:firstLine="456"/>
        <w:spacing w:after="0" w:line="264" w:lineRule="auto"/>
        <w:rPr>
          <w:sz w:val="20"/>
          <w:szCs w:val="20"/>
          <w:color w:val="auto"/>
        </w:rPr>
      </w:pPr>
      <w:r>
        <w:rPr>
          <w:rFonts w:ascii="Arial" w:cs="Arial" w:eastAsia="Arial" w:hAnsi="Arial"/>
          <w:sz w:val="18"/>
          <w:szCs w:val="18"/>
          <w:color w:val="auto"/>
        </w:rPr>
        <w:t>As indicated in the Specialized Disclosure Report on Form SD, this Report is publicly available on our website at http://www.slb.com/about/accountability/conflict_minerals.aspx. Our Conflict Minerals Policy also is available at http://www.slb.com/about/accountability/conflict_minerals.aspx.</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For 2017, we sent the Template to 4,463 suppliers and received completed responses from approximately 39% of these suppliers. As part of our risk identification and mitigation efforts, we focused on obtaining responses from our top suppliers, based on strategic importance. The following table lists the response rate and certain other information for our suppliers.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40" w:type="dxa"/>
            <w:vAlign w:val="bottom"/>
          </w:tcPr>
          <w:p>
            <w:pPr>
              <w:jc w:val="center"/>
              <w:ind w:left="696"/>
              <w:spacing w:after="0"/>
              <w:rPr>
                <w:sz w:val="20"/>
                <w:szCs w:val="20"/>
                <w:color w:val="auto"/>
              </w:rPr>
            </w:pPr>
            <w:r>
              <w:rPr>
                <w:rFonts w:ascii="Arial" w:cs="Arial" w:eastAsia="Arial" w:hAnsi="Arial"/>
                <w:sz w:val="14"/>
                <w:szCs w:val="14"/>
                <w:color w:val="auto"/>
                <w:w w:val="95"/>
              </w:rPr>
              <w:t>Supplier Rank</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1"/>
        </w:trPr>
        <w:tc>
          <w:tcPr>
            <w:tcW w:w="3540" w:type="dxa"/>
            <w:vAlign w:val="bottom"/>
          </w:tcPr>
          <w:p>
            <w:pPr>
              <w:jc w:val="center"/>
              <w:ind w:left="696"/>
              <w:spacing w:after="0"/>
              <w:rPr>
                <w:sz w:val="20"/>
                <w:szCs w:val="20"/>
                <w:color w:val="auto"/>
              </w:rPr>
            </w:pPr>
            <w:r>
              <w:rPr>
                <w:rFonts w:ascii="Arial" w:cs="Arial" w:eastAsia="Arial" w:hAnsi="Arial"/>
                <w:sz w:val="14"/>
                <w:szCs w:val="14"/>
                <w:color w:val="auto"/>
                <w:w w:val="92"/>
              </w:rPr>
              <w:t>(Strategic Importance)</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Response Rate</w:t>
            </w:r>
          </w:p>
        </w:tc>
        <w:tc>
          <w:tcPr>
            <w:tcW w:w="1620" w:type="dxa"/>
            <w:vAlign w:val="bottom"/>
          </w:tcPr>
          <w:p>
            <w:pPr>
              <w:jc w:val="right"/>
              <w:ind w:right="134"/>
              <w:spacing w:after="0"/>
              <w:rPr>
                <w:sz w:val="20"/>
                <w:szCs w:val="20"/>
                <w:color w:val="auto"/>
              </w:rPr>
            </w:pPr>
            <w:r>
              <w:rPr>
                <w:rFonts w:ascii="Arial" w:cs="Arial" w:eastAsia="Arial" w:hAnsi="Arial"/>
                <w:sz w:val="14"/>
                <w:szCs w:val="14"/>
                <w:color w:val="auto"/>
              </w:rPr>
              <w:t>Number of Suppliers</w:t>
            </w:r>
          </w:p>
        </w:tc>
      </w:tr>
      <w:tr>
        <w:trPr>
          <w:trHeight w:val="210"/>
        </w:trPr>
        <w:tc>
          <w:tcPr>
            <w:tcW w:w="3540" w:type="dxa"/>
            <w:vAlign w:val="bottom"/>
            <w:tcBorders>
              <w:top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90"/>
              </w:rPr>
              <w:t>Top</w:t>
            </w:r>
          </w:p>
        </w:tc>
        <w:tc>
          <w:tcPr>
            <w:tcW w:w="7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69%</w:t>
            </w:r>
          </w:p>
        </w:tc>
        <w:tc>
          <w:tcPr>
            <w:tcW w:w="8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rPr>
              <w:t>347</w:t>
            </w:r>
          </w:p>
        </w:tc>
      </w:tr>
      <w:tr>
        <w:trPr>
          <w:trHeight w:val="216"/>
        </w:trPr>
        <w:tc>
          <w:tcPr>
            <w:tcW w:w="3540" w:type="dxa"/>
            <w:vAlign w:val="bottom"/>
          </w:tcPr>
          <w:p>
            <w:pPr>
              <w:jc w:val="center"/>
              <w:ind w:left="696"/>
              <w:spacing w:after="0"/>
              <w:rPr>
                <w:sz w:val="20"/>
                <w:szCs w:val="20"/>
                <w:color w:val="auto"/>
              </w:rPr>
            </w:pPr>
            <w:r>
              <w:rPr>
                <w:rFonts w:ascii="Arial" w:cs="Arial" w:eastAsia="Arial" w:hAnsi="Arial"/>
                <w:sz w:val="18"/>
                <w:szCs w:val="18"/>
                <w:color w:val="auto"/>
                <w:w w:val="97"/>
              </w:rPr>
              <w:t>High</w:t>
            </w:r>
          </w:p>
        </w:tc>
        <w:tc>
          <w:tcPr>
            <w:tcW w:w="2700" w:type="dxa"/>
            <w:vAlign w:val="bottom"/>
            <w:gridSpan w:val="3"/>
          </w:tcPr>
          <w:p>
            <w:pPr>
              <w:jc w:val="right"/>
              <w:ind w:right="199"/>
              <w:spacing w:after="0"/>
              <w:rPr>
                <w:sz w:val="20"/>
                <w:szCs w:val="20"/>
                <w:color w:val="auto"/>
              </w:rPr>
            </w:pPr>
            <w:r>
              <w:rPr>
                <w:rFonts w:ascii="Arial" w:cs="Arial" w:eastAsia="Arial" w:hAnsi="Arial"/>
                <w:sz w:val="18"/>
                <w:szCs w:val="18"/>
                <w:color w:val="auto"/>
              </w:rPr>
              <w:t>51%</w:t>
            </w:r>
          </w:p>
        </w:tc>
        <w:tc>
          <w:tcPr>
            <w:tcW w:w="820" w:type="dxa"/>
            <w:vAlign w:val="bottom"/>
          </w:tcPr>
          <w:p>
            <w:pPr>
              <w:spacing w:after="0"/>
              <w:rPr>
                <w:sz w:val="18"/>
                <w:szCs w:val="18"/>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955</w:t>
            </w:r>
          </w:p>
        </w:tc>
      </w:tr>
      <w:tr>
        <w:trPr>
          <w:trHeight w:val="216"/>
        </w:trPr>
        <w:tc>
          <w:tcPr>
            <w:tcW w:w="354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93"/>
              </w:rPr>
              <w:t>Medium</w:t>
            </w:r>
          </w:p>
        </w:tc>
        <w:tc>
          <w:tcPr>
            <w:tcW w:w="2700" w:type="dxa"/>
            <w:vAlign w:val="bottom"/>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40%</w:t>
            </w: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408</w:t>
            </w:r>
          </w:p>
        </w:tc>
      </w:tr>
      <w:tr>
        <w:trPr>
          <w:trHeight w:val="230"/>
        </w:trPr>
        <w:tc>
          <w:tcPr>
            <w:tcW w:w="3540" w:type="dxa"/>
            <w:vAlign w:val="bottom"/>
          </w:tcPr>
          <w:p>
            <w:pPr>
              <w:jc w:val="center"/>
              <w:ind w:left="696"/>
              <w:spacing w:after="0"/>
              <w:rPr>
                <w:sz w:val="20"/>
                <w:szCs w:val="20"/>
                <w:color w:val="auto"/>
              </w:rPr>
            </w:pPr>
            <w:r>
              <w:rPr>
                <w:rFonts w:ascii="Arial" w:cs="Arial" w:eastAsia="Arial" w:hAnsi="Arial"/>
                <w:sz w:val="18"/>
                <w:szCs w:val="18"/>
                <w:color w:val="auto"/>
                <w:w w:val="96"/>
              </w:rPr>
              <w:t>Low</w:t>
            </w:r>
          </w:p>
        </w:tc>
        <w:tc>
          <w:tcPr>
            <w:tcW w:w="2700" w:type="dxa"/>
            <w:vAlign w:val="bottom"/>
            <w:gridSpan w:val="3"/>
          </w:tcPr>
          <w:p>
            <w:pPr>
              <w:jc w:val="right"/>
              <w:ind w:right="199"/>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2753</w:t>
            </w:r>
          </w:p>
        </w:tc>
      </w:tr>
      <w:tr>
        <w:trPr>
          <w:trHeight w:val="350"/>
        </w:trPr>
        <w:tc>
          <w:tcPr>
            <w:tcW w:w="3540" w:type="dxa"/>
            <w:vAlign w:val="bottom"/>
          </w:tcPr>
          <w:p>
            <w:pPr>
              <w:spacing w:after="0"/>
              <w:rPr>
                <w:sz w:val="24"/>
                <w:szCs w:val="2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6" w:name="page7"/>
    <w:bookmarkEnd w:id="6"/>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Many of the respondents indicated that they had not finished the due diligence on their supply chains and were still completing the Template. As indicated above, we requested information from our suppliers at the product level; 71% of the completed Templates provided information at the product level, as compared to 75% in the previous year.</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For the responses we received at the company, rather than product, level, we do not know whether the SORs listed actually supplied conflict minerals that we used in our covered products. Therefore, such SORs are not included in the tables below of the SORs that we know to have processed the necessary conflict minerals contained in our covered products.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For responses we received at the product level, 306 SORs, organized by type of metal, are listed in the tables below. Based on our due diligence, we identified 59 verified SORs that source conflict minerals from one or more of the covered countries. 58 of these SORs are certified with a recognized certification body. The one remaining gold SOR was a former member of CFSI (now RMI) but at the time of this filing its certification has not been renewed.</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Future Process Improvements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 xml:space="preserve">Supplier engagement — </w:t>
      </w:r>
      <w:r>
        <w:rPr>
          <w:rFonts w:ascii="Arial" w:cs="Arial" w:eastAsia="Arial" w:hAnsi="Arial"/>
          <w:sz w:val="16"/>
          <w:szCs w:val="16"/>
          <w:color w:val="auto"/>
        </w:rPr>
        <w:t>We received responses from 39% our Tier 1 suppliers for 2017. We will continue to engage with our Tier 1 suppliers to attempt</w:t>
      </w:r>
      <w:r>
        <w:rPr>
          <w:rFonts w:ascii="Arial" w:cs="Arial" w:eastAsia="Arial" w:hAnsi="Arial"/>
          <w:sz w:val="16"/>
          <w:szCs w:val="16"/>
          <w:i w:val="1"/>
          <w:iCs w:val="1"/>
          <w:color w:val="auto"/>
        </w:rPr>
        <w:t xml:space="preserve"> </w:t>
      </w:r>
      <w:r>
        <w:rPr>
          <w:rFonts w:ascii="Arial" w:cs="Arial" w:eastAsia="Arial" w:hAnsi="Arial"/>
          <w:sz w:val="16"/>
          <w:szCs w:val="16"/>
          <w:color w:val="auto"/>
        </w:rPr>
        <w:t>to increase supply chain transparency, including by following up with unresponsive suppliers. In addition, we will work with our Tier 1 suppliers to obtain even more product-level responses. As stated above, 71% of our supplier responses for 2017 were at the product level, as compared to 75% for 2016.</w:t>
      </w:r>
    </w:p>
    <w:p>
      <w:pPr>
        <w:spacing w:after="0" w:line="14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Educational certification </w:t>
      </w:r>
      <w:r>
        <w:rPr>
          <w:rFonts w:ascii="Arial" w:cs="Arial" w:eastAsia="Arial" w:hAnsi="Arial"/>
          <w:sz w:val="18"/>
          <w:szCs w:val="18"/>
          <w:color w:val="auto"/>
        </w:rPr>
        <w:t>— More than 89% of our employees targeted for training on the Rule completed their annual training in 2017, up from 80%</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These employees are members of the legal, engineering, manufacturing, sustaining, procurement and sourcing, sales, finance and compliance functions. We will continue targeted annual training and seek to improve the completion percentage, while also targeting new employees, including those from the various acquisitions in 2017. We will also develop additional training materials for enhanced understanding of various procedures for targeted employees who are integral to our reporting requirements under the Rule.</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 xml:space="preserve">Automation of additional product lines </w:t>
      </w:r>
      <w:r>
        <w:rPr>
          <w:rFonts w:ascii="Arial" w:cs="Arial" w:eastAsia="Arial" w:hAnsi="Arial"/>
          <w:sz w:val="17"/>
          <w:szCs w:val="17"/>
          <w:color w:val="auto"/>
        </w:rPr>
        <w:t>— As described above, we have adopted standardized data templates for all business units to ensure consistency</w:t>
      </w:r>
      <w:r>
        <w:rPr>
          <w:rFonts w:ascii="Arial" w:cs="Arial" w:eastAsia="Arial" w:hAnsi="Arial"/>
          <w:sz w:val="17"/>
          <w:szCs w:val="17"/>
          <w:i w:val="1"/>
          <w:iCs w:val="1"/>
          <w:color w:val="auto"/>
        </w:rPr>
        <w:t xml:space="preserve"> </w:t>
      </w:r>
      <w:r>
        <w:rPr>
          <w:rFonts w:ascii="Arial" w:cs="Arial" w:eastAsia="Arial" w:hAnsi="Arial"/>
          <w:sz w:val="17"/>
          <w:szCs w:val="17"/>
          <w:color w:val="auto"/>
        </w:rPr>
        <w:t>across various information technology systems and adopted a procedure in our engineering design and manufacturing systems that requires the recording of necessary conflict mineral contents of newly-developed parts included in our products. These templates and systems continue to be refined and automated in our current business units, and implemented in any new business units which are the result of acquisition throughout the calendar year. We will continue to improve our automatization of these processes and the number of business units which they cover.</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SORs and Countries of Origin</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lists the SORs known to us to have supplied necessary conflict minerals contained in our covered products and that sourced conflict minerals from one or more of the covered countries: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3"/>
              </w:rPr>
              <w:t>Certification Status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14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Mine Countries of Origin</w:t>
            </w:r>
          </w:p>
        </w:tc>
      </w:tr>
      <w:tr>
        <w:trPr>
          <w:trHeight w:val="29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Almalyk Mining and</w:t>
            </w:r>
          </w:p>
        </w:tc>
        <w:tc>
          <w:tcPr>
            <w:tcW w:w="1760" w:type="dxa"/>
            <w:vAlign w:val="bottom"/>
          </w:tcPr>
          <w:p>
            <w:pPr>
              <w:spacing w:after="0"/>
              <w:rPr>
                <w:sz w:val="20"/>
                <w:szCs w:val="20"/>
                <w:color w:val="auto"/>
              </w:rPr>
            </w:pPr>
            <w:r>
              <w:rPr>
                <w:rFonts w:ascii="Arial" w:cs="Arial" w:eastAsia="Arial" w:hAnsi="Arial"/>
                <w:sz w:val="18"/>
                <w:szCs w:val="18"/>
                <w:color w:val="auto"/>
              </w:rPr>
              <w:t>LBMA, 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1"/>
              </w:rPr>
              <w:t>DRC- Congo (Kinshasa), Argentina, United States, Japan, Uzbekistan,</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Metallurgical Complex (AMMC)</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2"/>
              </w:rPr>
              <w:t>Zambia, Switzerland, Canada, China, Brazil, Mexico, Chile,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Peru, Germany</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1760" w:type="dxa"/>
            <w:vAlign w:val="bottom"/>
          </w:tcPr>
          <w:p>
            <w:pPr>
              <w:spacing w:after="0"/>
              <w:rPr>
                <w:sz w:val="20"/>
                <w:szCs w:val="20"/>
                <w:color w:val="auto"/>
              </w:rPr>
            </w:pPr>
            <w:r>
              <w:rPr>
                <w:rFonts w:ascii="Arial" w:cs="Arial" w:eastAsia="Arial" w:hAnsi="Arial"/>
                <w:sz w:val="18"/>
                <w:szCs w:val="18"/>
                <w:color w:val="auto"/>
              </w:rPr>
              <w:t>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9"/>
              </w:rPr>
              <w:t>Armenia, Burundi, Mozambique, Niger, Japan, Rwanda, Mexico,</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Nigeria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CCR Refinery - Glencore Canada</w:t>
            </w:r>
          </w:p>
        </w:tc>
        <w:tc>
          <w:tcPr>
            <w:tcW w:w="1760" w:type="dxa"/>
            <w:vAlign w:val="bottom"/>
          </w:tcPr>
          <w:p>
            <w:pPr>
              <w:spacing w:after="0"/>
              <w:rPr>
                <w:sz w:val="20"/>
                <w:szCs w:val="20"/>
                <w:color w:val="auto"/>
              </w:rPr>
            </w:pPr>
            <w:r>
              <w:rPr>
                <w:rFonts w:ascii="Arial" w:cs="Arial" w:eastAsia="Arial" w:hAnsi="Arial"/>
                <w:sz w:val="18"/>
                <w:szCs w:val="18"/>
                <w:color w:val="auto"/>
              </w:rPr>
              <w:t>LBMA, 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6"/>
              </w:rPr>
              <w:t>DRC- Congo (Kinshasa), Argentina, United States, Japan, Zambia,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Switzerland, Canada, China, Chile, Australia, Peru, Germany,</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Elemetal Refining, LLC</w:t>
            </w: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8"/>
              </w:rPr>
              <w:t>Myanmar, Cambodia, Malaysia, Kazakhstan, Portugal, Mongolia,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Austria, Luxembourg, Guyana, Brazil, South Korea, Chile, Laos,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Ecuador, Colombia, Argentina, Hungary, Japan, India, Canada,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Belgium, Namibia, Taiwan, Peru, Germany, Ethiopia, Russian</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Federation, Singapore, Vietnam, Hong Kong, United States, Egypt,</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6"/>
              </w:rPr>
              <w:t>Netherlands, China, Ireland, Slovakia, Nigeria, France, Philippines,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Republic, Zimbabwe, Suriname, Israel, Australia, Indonesia, Estonia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Jiangxi Copper Co., Ltd.</w:t>
            </w:r>
          </w:p>
        </w:tc>
        <w:tc>
          <w:tcPr>
            <w:tcW w:w="1760" w:type="dxa"/>
            <w:vAlign w:val="bottom"/>
          </w:tcPr>
          <w:p>
            <w:pPr>
              <w:spacing w:after="0"/>
              <w:rPr>
                <w:sz w:val="20"/>
                <w:szCs w:val="20"/>
                <w:color w:val="auto"/>
              </w:rPr>
            </w:pPr>
            <w:r>
              <w:rPr>
                <w:rFonts w:ascii="Arial" w:cs="Arial" w:eastAsia="Arial" w:hAnsi="Arial"/>
                <w:sz w:val="18"/>
                <w:szCs w:val="18"/>
                <w:color w:val="auto"/>
              </w:rPr>
              <w:t>LBMA, 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United States, China, Japan, Rwanda, Chile</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Mitsubishi Materials Corporation</w:t>
            </w:r>
          </w:p>
        </w:tc>
        <w:tc>
          <w:tcPr>
            <w:tcW w:w="1760" w:type="dxa"/>
            <w:vAlign w:val="bottom"/>
          </w:tcPr>
          <w:p>
            <w:pPr>
              <w:spacing w:after="0"/>
              <w:rPr>
                <w:sz w:val="20"/>
                <w:szCs w:val="20"/>
                <w:color w:val="auto"/>
              </w:rPr>
            </w:pPr>
            <w:r>
              <w:rPr>
                <w:rFonts w:ascii="Arial" w:cs="Arial" w:eastAsia="Arial" w:hAnsi="Arial"/>
                <w:sz w:val="18"/>
                <w:szCs w:val="18"/>
                <w:color w:val="auto"/>
              </w:rPr>
              <w:t>LBMA, 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Canada, Austria, Papua New Guinea, Mongolia, Mozambique, Hong</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Kong, Japan, United Kingdom, Congo (Brazzaville), Chile</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Nihon Material Co., Ltd.</w:t>
            </w:r>
          </w:p>
        </w:tc>
        <w:tc>
          <w:tcPr>
            <w:tcW w:w="1760" w:type="dxa"/>
            <w:vAlign w:val="bottom"/>
          </w:tcPr>
          <w:p>
            <w:pPr>
              <w:spacing w:after="0"/>
              <w:rPr>
                <w:sz w:val="20"/>
                <w:szCs w:val="20"/>
                <w:color w:val="auto"/>
              </w:rPr>
            </w:pPr>
            <w:r>
              <w:rPr>
                <w:rFonts w:ascii="Arial" w:cs="Arial" w:eastAsia="Arial" w:hAnsi="Arial"/>
                <w:sz w:val="18"/>
                <w:szCs w:val="18"/>
                <w:color w:val="auto"/>
              </w:rPr>
              <w:t>LBMA, 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3"/>
              </w:rPr>
              <w:t>DRC- Congo (Kinshasa), Niger, Japan, Rwanda, Malaysia,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Bolivia, Portugal, Switzerland, Spain, Canada, Mozambique, 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Brazil, Chile, Nigeria, Australia, Peru,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Prioksky Plant of Non-Ferrous Metals</w:t>
            </w:r>
          </w:p>
        </w:tc>
        <w:tc>
          <w:tcPr>
            <w:tcW w:w="1760" w:type="dxa"/>
            <w:vAlign w:val="bottom"/>
          </w:tcPr>
          <w:p>
            <w:pPr>
              <w:spacing w:after="0"/>
              <w:rPr>
                <w:sz w:val="20"/>
                <w:szCs w:val="20"/>
                <w:color w:val="auto"/>
              </w:rPr>
            </w:pPr>
            <w:r>
              <w:rPr>
                <w:rFonts w:ascii="Arial" w:cs="Arial" w:eastAsia="Arial" w:hAnsi="Arial"/>
                <w:sz w:val="18"/>
                <w:szCs w:val="18"/>
                <w:color w:val="auto"/>
              </w:rPr>
              <w:t>LBMA, 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8"/>
              </w:rPr>
              <w:t>Russian Federation, Japan, Rwanda, Sierra Leone, Bolivia, India,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Canada, Mozambique, Namibia, China, Brazil, Zimbabwe,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Germany, Ethiopia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Rand Refinery (Pty) Ltd.</w:t>
            </w:r>
          </w:p>
        </w:tc>
        <w:tc>
          <w:tcPr>
            <w:tcW w:w="1760" w:type="dxa"/>
            <w:vAlign w:val="bottom"/>
          </w:tcPr>
          <w:p>
            <w:pPr>
              <w:spacing w:after="0"/>
              <w:rPr>
                <w:sz w:val="20"/>
                <w:szCs w:val="20"/>
                <w:color w:val="auto"/>
              </w:rPr>
            </w:pPr>
            <w:r>
              <w:rPr>
                <w:rFonts w:ascii="Arial" w:cs="Arial" w:eastAsia="Arial" w:hAnsi="Arial"/>
                <w:sz w:val="18"/>
                <w:szCs w:val="18"/>
                <w:color w:val="auto"/>
              </w:rPr>
              <w:t>LBMA, 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6"/>
              </w:rPr>
              <w:t>DRC- Congo (Kinshasa), Papua New Guinea, Hong Kong, Guinea,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0"/>
              </w:rPr>
              <w:t>Philippines, Tanzania, Malaysia, Ghana, Switzerland, Canada,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Mozambique, Mali, China, Namibia, South Africa, Jersey,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Germany</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Samduck Precious Metals</w:t>
            </w:r>
          </w:p>
        </w:tc>
        <w:tc>
          <w:tcPr>
            <w:tcW w:w="1760" w:type="dxa"/>
            <w:vAlign w:val="bottom"/>
          </w:tcPr>
          <w:p>
            <w:pPr>
              <w:spacing w:after="0"/>
              <w:rPr>
                <w:sz w:val="20"/>
                <w:szCs w:val="20"/>
                <w:color w:val="auto"/>
              </w:rPr>
            </w:pPr>
            <w:r>
              <w:rPr>
                <w:rFonts w:ascii="Arial" w:cs="Arial" w:eastAsia="Arial" w:hAnsi="Arial"/>
                <w:sz w:val="18"/>
                <w:szCs w:val="18"/>
                <w:color w:val="auto"/>
              </w:rPr>
              <w:t>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2"/>
              </w:rPr>
              <w:t>United States, Japan, Rwanda, Sierra Leone, Bolivia, Thailand, India,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Canada, Mozambique, China, Namibia, South Korea, Brazil,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Zimbabwe, Australia, Ethiopia, Germany</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Changsha South Tantalum Niobium</w:t>
            </w:r>
          </w:p>
        </w:tc>
        <w:tc>
          <w:tcPr>
            <w:tcW w:w="1760" w:type="dxa"/>
            <w:vAlign w:val="bottom"/>
          </w:tcPr>
          <w:p>
            <w:pPr>
              <w:spacing w:after="0"/>
              <w:rPr>
                <w:sz w:val="20"/>
                <w:szCs w:val="20"/>
                <w:color w:val="auto"/>
              </w:rPr>
            </w:pPr>
            <w:r>
              <w:rPr>
                <w:rFonts w:ascii="Arial" w:cs="Arial" w:eastAsia="Arial" w:hAnsi="Arial"/>
                <w:sz w:val="18"/>
                <w:szCs w:val="18"/>
                <w:color w:val="auto"/>
              </w:rPr>
              <w:t>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2"/>
              </w:rPr>
              <w:t>DRC- Congo (Kinshasa), Canada, Russian Federation, Mozambique,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China, Brazil, Australia, Thailand</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F&amp;X Electro-Materials Ltd.</w:t>
            </w:r>
          </w:p>
        </w:tc>
        <w:tc>
          <w:tcPr>
            <w:tcW w:w="1760" w:type="dxa"/>
            <w:vAlign w:val="bottom"/>
          </w:tcPr>
          <w:p>
            <w:pPr>
              <w:spacing w:after="0"/>
              <w:rPr>
                <w:sz w:val="20"/>
                <w:szCs w:val="20"/>
                <w:color w:val="auto"/>
              </w:rPr>
            </w:pPr>
            <w:r>
              <w:rPr>
                <w:rFonts w:ascii="Arial" w:cs="Arial" w:eastAsia="Arial" w:hAnsi="Arial"/>
                <w:sz w:val="18"/>
                <w:szCs w:val="18"/>
                <w:color w:val="auto"/>
              </w:rPr>
              <w:t>RMAP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Kazakhstan, Portugal, Mongolia, Austria, Luxembourg, Brazil, South</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2"/>
              </w:rPr>
              <w:t>Korea, Guyana, Chile, Laos, Ecuador, Colombia, Argentina, Hungary,</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South Sudan, Japan, Tanzania, Zambia, Congo (Brazzaville), India,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Canada, Belgium, Namibia, Taiwan, Central African Republic,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1"/>
              </w:rPr>
              <w:t>Germany, Ethiopia, Russian Federation, Burundi, Singapore, Vietnam,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2"/>
              </w:rPr>
              <w:t>United States, Egypt, Sierra Leone, Madagascar, Ivory Coast, Bolivia,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9"/>
              </w:rPr>
              <w:t>Thailand, Netherlands, Ireland, China, Slovakia, France, Nigeria,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6"/>
              </w:rPr>
              <w:t>Republic, Zimbabwe, Uganda, Suriname, Israel, Australia, Estonia,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Indonesia</w:t>
            </w:r>
          </w:p>
        </w:tc>
      </w:tr>
      <w:tr>
        <w:trPr>
          <w:trHeight w:val="365"/>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920" w:type="dxa"/>
            <w:vAlign w:val="bottom"/>
          </w:tcPr>
          <w:p>
            <w:pPr>
              <w:ind w:left="120"/>
              <w:spacing w:after="0"/>
              <w:rPr>
                <w:sz w:val="20"/>
                <w:szCs w:val="20"/>
                <w:color w:val="auto"/>
              </w:rPr>
            </w:pPr>
            <w:r>
              <w:rPr>
                <w:rFonts w:ascii="Arial" w:cs="Arial" w:eastAsia="Arial" w:hAnsi="Arial"/>
                <w:sz w:val="18"/>
                <w:szCs w:val="18"/>
                <w:color w:val="auto"/>
              </w:rPr>
              <w:t>Global Advanced Metals Aizu</w:t>
            </w:r>
          </w:p>
        </w:tc>
        <w:tc>
          <w:tcPr>
            <w:tcW w:w="1300" w:type="dxa"/>
            <w:vAlign w:val="bottom"/>
          </w:tcPr>
          <w:p>
            <w:pPr>
              <w:ind w:left="16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Kazakhstan, Portugal, Mongolia, Austria, Luxembourg, South Korea,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Brazil, Guyana, Chile, Laos, Colombia, Ecuador, Argentina, South</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0"/>
              </w:rPr>
              <w:t>Sudan, Hungary, Japan, Tanzania, Zambia, Congo (Brazzaville), India,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4"/>
              </w:rPr>
              <w:t>Canada, Belgium, Namibia, Taiwan, Central African Republic, Peru,</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Ethiopia, Germany, Burundi, Russian Federation, Vietnam, Singapore,</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2"/>
              </w:rPr>
              <w:t>United States, Egypt, Sierra Leone, Madagascar, Ivory Coast, Bolivia,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9"/>
              </w:rPr>
              <w:t>Thailand, Netherlands, China, Ireland, Slovakia, France, Nigeria,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6"/>
              </w:rPr>
              <w:t>Republic, Uganda, Zimbabwe, Suriname, Israel, Australia, Estonia,</w:t>
            </w:r>
          </w:p>
        </w:tc>
      </w:tr>
      <w:tr>
        <w:trPr>
          <w:trHeight w:val="230"/>
        </w:trPr>
        <w:tc>
          <w:tcPr>
            <w:tcW w:w="8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920" w:type="dxa"/>
            <w:vAlign w:val="bottom"/>
          </w:tcPr>
          <w:p>
            <w:pPr>
              <w:ind w:left="120"/>
              <w:spacing w:after="0"/>
              <w:rPr>
                <w:sz w:val="20"/>
                <w:szCs w:val="20"/>
                <w:color w:val="auto"/>
              </w:rPr>
            </w:pPr>
            <w:r>
              <w:rPr>
                <w:rFonts w:ascii="Arial" w:cs="Arial" w:eastAsia="Arial" w:hAnsi="Arial"/>
                <w:sz w:val="18"/>
                <w:szCs w:val="18"/>
                <w:color w:val="auto"/>
                <w:w w:val="97"/>
              </w:rPr>
              <w:t>Global Advanced Metals Boyertown</w:t>
            </w:r>
          </w:p>
        </w:tc>
        <w:tc>
          <w:tcPr>
            <w:tcW w:w="1300" w:type="dxa"/>
            <w:vAlign w:val="bottom"/>
          </w:tcPr>
          <w:p>
            <w:pPr>
              <w:ind w:left="16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Kazakhstan, Portugal, Mongolia, Austria, Mozambique, Luxembourg,</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Guyana, South Korea, Brazil, Chile, Laos, Ecuador, Colombia,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Argentina, Hungary, South Sudan, Japan, Tanzania, Zambia, Congo</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(Brazzaville), India, Canada, Belgium, Namibia, Taiwan, Central</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African Republic, Peru, Germany, Ethiopia, Russian Federation,</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8"/>
              </w:rPr>
              <w:t>Burundi, Singapore, Vietnam, United States, Egypt, Sierra Leone,</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8"/>
              </w:rPr>
              <w:t>Madagascar, Ivory Coast, Bolivia, Thailand, Netherlands, Ireland,</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China, Slovakia, France, Nigeria, Rwanda, United Kingdom,</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Switzerland, Spain, Djibouti, Czech Republic, Zimbabwe, Uganda,</w:t>
            </w:r>
          </w:p>
        </w:tc>
      </w:tr>
      <w:tr>
        <w:trPr>
          <w:trHeight w:val="230"/>
        </w:trPr>
        <w:tc>
          <w:tcPr>
            <w:tcW w:w="8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920" w:type="dxa"/>
            <w:vAlign w:val="bottom"/>
          </w:tcPr>
          <w:p>
            <w:pPr>
              <w:ind w:left="120"/>
              <w:spacing w:after="0"/>
              <w:rPr>
                <w:sz w:val="20"/>
                <w:szCs w:val="20"/>
                <w:color w:val="auto"/>
              </w:rPr>
            </w:pPr>
            <w:r>
              <w:rPr>
                <w:rFonts w:ascii="Arial" w:cs="Arial" w:eastAsia="Arial" w:hAnsi="Arial"/>
                <w:sz w:val="18"/>
                <w:szCs w:val="18"/>
                <w:color w:val="auto"/>
                <w:w w:val="98"/>
              </w:rPr>
              <w:t>Guangdong Rising Rare Metals-EO</w:t>
            </w:r>
          </w:p>
        </w:tc>
        <w:tc>
          <w:tcPr>
            <w:tcW w:w="1300" w:type="dxa"/>
            <w:vAlign w:val="bottom"/>
          </w:tcPr>
          <w:p>
            <w:pPr>
              <w:ind w:left="16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Materials Ltd.</w:t>
            </w: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Kazakhstan, Portugal, Austria, Mongolia, Mozambique, Luxembourg,</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South Korea, Guyana, Brazil, Chile, Laos, Colombia, Ecuador,</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Argentina, Hungary, South Sudan, Japan, Tanzania, Zambia, Congo</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2"/>
              </w:rPr>
              <w:t>(Brazzaville), India, Canada, Belgium, Namibia, Taiwan, South Africa,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Central African Republic, Peru, Germany, Ethiopia, Russian</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Federation, Burundi, Singapore, Vietnam, United States, Egypt, Sierra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9"/>
              </w:rPr>
              <w:t>Leone, Madagascar, Ivory Coast, Thailand, Bolivia, Netherlands,</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9"/>
              </w:rPr>
              <w:t>China, Ireland, Slovakia, France, Nigeria, Niger, Rwanda, United</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Kingdom, Kenya, Switzerland, Spain, Djibouti, Czech Republic,</w:t>
            </w:r>
          </w:p>
        </w:tc>
      </w:tr>
      <w:tr>
        <w:trPr>
          <w:trHeight w:val="230"/>
        </w:trPr>
        <w:tc>
          <w:tcPr>
            <w:tcW w:w="8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5"/>
              </w:rPr>
              <w:t>Zimbabwe, Uganda, Suriname, Israel, Australia, 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920" w:type="dxa"/>
            <w:vAlign w:val="bottom"/>
          </w:tcPr>
          <w:p>
            <w:pPr>
              <w:ind w:left="120"/>
              <w:spacing w:after="0"/>
              <w:rPr>
                <w:sz w:val="20"/>
                <w:szCs w:val="20"/>
                <w:color w:val="auto"/>
              </w:rPr>
            </w:pPr>
            <w:r>
              <w:rPr>
                <w:rFonts w:ascii="Arial" w:cs="Arial" w:eastAsia="Arial" w:hAnsi="Arial"/>
                <w:sz w:val="18"/>
                <w:szCs w:val="18"/>
                <w:color w:val="auto"/>
              </w:rPr>
              <w:t>Guangdong Zhiyuan New Material</w:t>
            </w:r>
          </w:p>
        </w:tc>
        <w:tc>
          <w:tcPr>
            <w:tcW w:w="1300" w:type="dxa"/>
            <w:vAlign w:val="bottom"/>
          </w:tcPr>
          <w:p>
            <w:pPr>
              <w:ind w:left="16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DRC- Congo (Kinshasa), Myanmar, Cambodia, Malaysia, Kazakhstan,</w:t>
            </w:r>
          </w:p>
        </w:tc>
      </w:tr>
      <w:tr>
        <w:trPr>
          <w:trHeight w:val="216"/>
        </w:trPr>
        <w:tc>
          <w:tcPr>
            <w:tcW w:w="82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Co., Ltd.</w:t>
            </w: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9"/>
              </w:rPr>
              <w:t>Portugal, Austria, Mongolia, Luxembourg, Guyana, South Korea,</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5"/>
              </w:rPr>
              <w:t>Brazil, Chile, Laos, Ecuador, Colombia, Argentina, Hungary, Japan,</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4"/>
              </w:rPr>
              <w:t>India, Canada, Belgium, Namibia, Taiwan, Peru, Ethiopia, Germany,</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Russian Federation, Singapore, Vietnam, United States, Egypt,</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6"/>
              </w:rPr>
              <w:t>Netherlands, China, Ireland, Slovakia, France, Nigeria, Philippines,</w:t>
            </w:r>
          </w:p>
        </w:tc>
      </w:tr>
      <w:tr>
        <w:trPr>
          <w:trHeight w:val="216"/>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30"/>
        </w:trPr>
        <w:tc>
          <w:tcPr>
            <w:tcW w:w="8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4"/>
              </w:rPr>
              <w:t>Republic, Zimbabwe, Suriname, Israel, Australia, Indonesia, Estonia</w:t>
            </w:r>
          </w:p>
        </w:tc>
      </w:tr>
      <w:tr>
        <w:trPr>
          <w:trHeight w:val="365"/>
        </w:trPr>
        <w:tc>
          <w:tcPr>
            <w:tcW w:w="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380" w:type="dxa"/>
            <w:vAlign w:val="bottom"/>
          </w:tcPr>
          <w:p>
            <w:pPr>
              <w:ind w:left="620"/>
              <w:spacing w:after="0"/>
              <w:rPr>
                <w:sz w:val="20"/>
                <w:szCs w:val="20"/>
                <w:color w:val="auto"/>
              </w:rPr>
            </w:pPr>
            <w:r>
              <w:rPr>
                <w:rFonts w:ascii="Arial" w:cs="Arial" w:eastAsia="Arial" w:hAnsi="Arial"/>
                <w:sz w:val="18"/>
                <w:szCs w:val="18"/>
                <w:color w:val="auto"/>
              </w:rPr>
              <w:t>7</w:t>
            </w:r>
          </w:p>
        </w:tc>
      </w:tr>
    </w:tbl>
    <w:p>
      <w:pPr>
        <w:ind w:left="620"/>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880" w:type="dxa"/>
            <w:vAlign w:val="bottom"/>
          </w:tcPr>
          <w:p>
            <w:pPr>
              <w:ind w:left="120"/>
              <w:spacing w:after="0"/>
              <w:rPr>
                <w:sz w:val="20"/>
                <w:szCs w:val="20"/>
                <w:color w:val="auto"/>
              </w:rPr>
            </w:pPr>
            <w:r>
              <w:rPr>
                <w:rFonts w:ascii="Arial" w:cs="Arial" w:eastAsia="Arial" w:hAnsi="Arial"/>
                <w:sz w:val="18"/>
                <w:szCs w:val="18"/>
                <w:color w:val="auto"/>
              </w:rPr>
              <w:t>H.C. Starck Co., Ltd.</w:t>
            </w:r>
          </w:p>
        </w:tc>
        <w:tc>
          <w:tcPr>
            <w:tcW w:w="1340" w:type="dxa"/>
            <w:vAlign w:val="bottom"/>
          </w:tcPr>
          <w:p>
            <w:pPr>
              <w:ind w:left="20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Kazakhstan, Portugal, Austria, Mongolia, Mozambique, Luxembourg,</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Brazil, South Korea, Guyana, Chile, Laos, Colombia, Ecuador,</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Argentina, Hungary, South Sudan, Japan, Tanzania, Zambia, Congo</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2"/>
              </w:rPr>
              <w:t>(Brazzaville), India, Canada, Belgium, Namibia, Taiwan, South Africa,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Central African Republic, Peru, Germany, Ethiopia, Burundi, Russian</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Federation, Singapore, Vietnam, United States, Egypt, Sierra Leone,</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8"/>
              </w:rPr>
              <w:t>Madagascar, Ivory Coast, Bolivia, Thailand, Netherlands, Ireland,</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5"/>
              </w:rPr>
              <w:t>China, Slovakia, France, Nigeria, Rwanda, United Kingdom, Kenya,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Switzerland, Spain, Djibouti, Czech Republic, Zimbabwe, Uganda,</w:t>
            </w:r>
          </w:p>
        </w:tc>
      </w:tr>
      <w:tr>
        <w:trPr>
          <w:trHeight w:val="230"/>
        </w:trPr>
        <w:tc>
          <w:tcPr>
            <w:tcW w:w="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Mexico, Suriname, Israel, Australia, 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880" w:type="dxa"/>
            <w:vAlign w:val="bottom"/>
          </w:tcPr>
          <w:p>
            <w:pPr>
              <w:ind w:left="120"/>
              <w:spacing w:after="0"/>
              <w:rPr>
                <w:sz w:val="20"/>
                <w:szCs w:val="20"/>
                <w:color w:val="auto"/>
              </w:rPr>
            </w:pPr>
            <w:r>
              <w:rPr>
                <w:rFonts w:ascii="Arial" w:cs="Arial" w:eastAsia="Arial" w:hAnsi="Arial"/>
                <w:sz w:val="18"/>
                <w:szCs w:val="18"/>
                <w:color w:val="auto"/>
              </w:rPr>
              <w:t>H.C. Starck Hermsdorf GmbH</w:t>
            </w:r>
          </w:p>
        </w:tc>
        <w:tc>
          <w:tcPr>
            <w:tcW w:w="1340" w:type="dxa"/>
            <w:vAlign w:val="bottom"/>
          </w:tcPr>
          <w:p>
            <w:pPr>
              <w:ind w:left="20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DRC- Congo (Kinshasa), Myanmar, Cambodia, Malaysia, Kazakhstan,</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2"/>
              </w:rPr>
              <w:t>Portugal, Austria, Mongolia, Mozambique, Luxembourg, South Korea,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2"/>
              </w:rPr>
              <w:t>Guyana, Brazil, Chile, Laos, Colombia, Ecuador, Argentina, Hungary,</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8"/>
              </w:rPr>
              <w:t>Japan, India, Canada, Belgium, Namibia, Taiwan, Peru, Ethiopia,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4"/>
              </w:rPr>
              <w:t>Germany, Burundi, Russian Federation, Vietnam, Singapore, United</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States, Egypt, Madagascar, Sierra Leone, Ivory Coast, Bolivia,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9"/>
              </w:rPr>
              <w:t>Thailand, Netherlands, China, Ireland, Slovakia, France, Nigeria,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30"/>
        </w:trPr>
        <w:tc>
          <w:tcPr>
            <w:tcW w:w="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4"/>
              </w:rPr>
              <w:t>Republic, Zimbabwe, Suriname, Israel, Australia, 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880" w:type="dxa"/>
            <w:vAlign w:val="bottom"/>
          </w:tcPr>
          <w:p>
            <w:pPr>
              <w:ind w:left="120"/>
              <w:spacing w:after="0"/>
              <w:rPr>
                <w:sz w:val="20"/>
                <w:szCs w:val="20"/>
                <w:color w:val="auto"/>
              </w:rPr>
            </w:pPr>
            <w:r>
              <w:rPr>
                <w:rFonts w:ascii="Arial" w:cs="Arial" w:eastAsia="Arial" w:hAnsi="Arial"/>
                <w:sz w:val="18"/>
                <w:szCs w:val="18"/>
                <w:color w:val="auto"/>
              </w:rPr>
              <w:t>H.C. Starck Inc.</w:t>
            </w:r>
          </w:p>
        </w:tc>
        <w:tc>
          <w:tcPr>
            <w:tcW w:w="1340" w:type="dxa"/>
            <w:vAlign w:val="bottom"/>
          </w:tcPr>
          <w:p>
            <w:pPr>
              <w:ind w:left="20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rPr>
              <w:t>Burundi, United States, Japan, Rwanda, Sierra Leone, Congo</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5"/>
              </w:rPr>
              <w:t>(Brazzaville), Bolivia, India, Canada, Mozambique, Namibia, China,</w:t>
            </w:r>
          </w:p>
        </w:tc>
      </w:tr>
      <w:tr>
        <w:trPr>
          <w:trHeight w:val="230"/>
        </w:trPr>
        <w:tc>
          <w:tcPr>
            <w:tcW w:w="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Brazil, Zimbabwe, Australia, Nigeria, Ethiopia, Germany</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880" w:type="dxa"/>
            <w:vAlign w:val="bottom"/>
          </w:tcPr>
          <w:p>
            <w:pPr>
              <w:ind w:left="120"/>
              <w:spacing w:after="0"/>
              <w:rPr>
                <w:sz w:val="20"/>
                <w:szCs w:val="20"/>
                <w:color w:val="auto"/>
              </w:rPr>
            </w:pPr>
            <w:r>
              <w:rPr>
                <w:rFonts w:ascii="Arial" w:cs="Arial" w:eastAsia="Arial" w:hAnsi="Arial"/>
                <w:sz w:val="18"/>
                <w:szCs w:val="18"/>
                <w:color w:val="auto"/>
              </w:rPr>
              <w:t>H.C. Starck Ltd.</w:t>
            </w:r>
          </w:p>
        </w:tc>
        <w:tc>
          <w:tcPr>
            <w:tcW w:w="1340" w:type="dxa"/>
            <w:vAlign w:val="bottom"/>
          </w:tcPr>
          <w:p>
            <w:pPr>
              <w:ind w:left="20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4"/>
              </w:rPr>
              <w:t>Japan, Rwanda, Sierra Leone, Bolivia, India, Canada, Mozambique,</w:t>
            </w:r>
          </w:p>
        </w:tc>
      </w:tr>
      <w:tr>
        <w:trPr>
          <w:trHeight w:val="230"/>
        </w:trPr>
        <w:tc>
          <w:tcPr>
            <w:tcW w:w="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Namibia, China, Brazil, Zimbabwe, Australia, Ethiopia, Germany</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880" w:type="dxa"/>
            <w:vAlign w:val="bottom"/>
          </w:tcPr>
          <w:p>
            <w:pPr>
              <w:ind w:left="120"/>
              <w:spacing w:after="0"/>
              <w:rPr>
                <w:sz w:val="20"/>
                <w:szCs w:val="20"/>
                <w:color w:val="auto"/>
              </w:rPr>
            </w:pPr>
            <w:r>
              <w:rPr>
                <w:rFonts w:ascii="Arial" w:cs="Arial" w:eastAsia="Arial" w:hAnsi="Arial"/>
                <w:sz w:val="18"/>
                <w:szCs w:val="18"/>
                <w:color w:val="auto"/>
                <w:w w:val="99"/>
              </w:rPr>
              <w:t>H.C. Starck Smelting GmbH &amp; Co.</w:t>
            </w:r>
          </w:p>
        </w:tc>
        <w:tc>
          <w:tcPr>
            <w:tcW w:w="1340" w:type="dxa"/>
            <w:vAlign w:val="bottom"/>
          </w:tcPr>
          <w:p>
            <w:pPr>
              <w:ind w:left="20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DRC- Congo (Kinshasa), Myanmar, Cambodia, Malaysia, Kazakhstan,</w:t>
            </w:r>
          </w:p>
        </w:tc>
      </w:tr>
      <w:tr>
        <w:trPr>
          <w:trHeight w:val="216"/>
        </w:trPr>
        <w:tc>
          <w:tcPr>
            <w:tcW w:w="82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KG</w:t>
            </w: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8"/>
              </w:rPr>
              <w:t>Portugal, Mongolia, Austria, Mozambique, Luxembourg, Guyana,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South Korea, Brazil, Chile, Laos, Colombia, Ecuador, Argentina,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Hungary, Japan, Congo (Brazzaville), India, Canada, Belgium,</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5"/>
              </w:rPr>
              <w:t>Namibia, Taiwan, Ethiopia, Germany, Russian Federation, Burundi,</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Vietnam, Singapore, United States, Egypt, Sierra Leone, Madagascar,</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Ivory Coast, Bolivia, Thailand, Netherlands, Ireland, China, Slovakia,</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France, Nigeria, Rwanda, United Kingdom, Switzerland, Spain,</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9"/>
              </w:rPr>
              <w:t>Djibouti, Czech Republic, Zimbabwe, Suriname, Israel, Australia,</w:t>
            </w:r>
          </w:p>
        </w:tc>
      </w:tr>
      <w:tr>
        <w:trPr>
          <w:trHeight w:val="230"/>
        </w:trPr>
        <w:tc>
          <w:tcPr>
            <w:tcW w:w="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Indonesia, Estonia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880" w:type="dxa"/>
            <w:vAlign w:val="bottom"/>
          </w:tcPr>
          <w:p>
            <w:pPr>
              <w:ind w:left="120"/>
              <w:spacing w:after="0"/>
              <w:rPr>
                <w:sz w:val="20"/>
                <w:szCs w:val="20"/>
                <w:color w:val="auto"/>
              </w:rPr>
            </w:pPr>
            <w:r>
              <w:rPr>
                <w:rFonts w:ascii="Arial" w:cs="Arial" w:eastAsia="Arial" w:hAnsi="Arial"/>
                <w:sz w:val="18"/>
                <w:szCs w:val="18"/>
                <w:color w:val="auto"/>
                <w:w w:val="98"/>
              </w:rPr>
              <w:t>H.C. Starck Tantalum and Niobium</w:t>
            </w:r>
          </w:p>
        </w:tc>
        <w:tc>
          <w:tcPr>
            <w:tcW w:w="1340" w:type="dxa"/>
            <w:vAlign w:val="bottom"/>
          </w:tcPr>
          <w:p>
            <w:pPr>
              <w:ind w:left="20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GmbH</w:t>
            </w: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Kazakhstan, Portugal, Mongolia, Austria, Mozambique, Luxembourg,</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South Korea, Guyana, Brazil, Chile, Laos, Colombia, Ecuador,</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Argentina, Hungary, South Sudan, Japan, Tanzania, Zambia, Congo</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(Brazzaville), India, Canada, Belgium, Namibia, Taiwan, Central</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African Republic, Peru, Germany, Ethiopia, Burundi, Russian</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4"/>
              </w:rPr>
              <w:t>Federation, Singapore, Vietnam, United States, Egypt, Madagascar,</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Sierra Leone, Ivory Coast, Bolivia, Thailand, Netherlands, Ireland,</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China, Slovakia, Nigeria, France, Rwanda, United Kingdom,</w:t>
            </w:r>
          </w:p>
        </w:tc>
      </w:tr>
      <w:tr>
        <w:trPr>
          <w:trHeight w:val="216"/>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Switzerland, Spain, Djibouti, Czech Republic, Uganda, Zimbabwe,</w:t>
            </w:r>
          </w:p>
        </w:tc>
      </w:tr>
      <w:tr>
        <w:trPr>
          <w:trHeight w:val="230"/>
        </w:trPr>
        <w:tc>
          <w:tcPr>
            <w:tcW w:w="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Suriname, Israel, Australia, Estonia, Indonesia</w:t>
            </w:r>
          </w:p>
        </w:tc>
      </w:tr>
      <w:tr>
        <w:trPr>
          <w:trHeight w:val="365"/>
        </w:trPr>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380" w:type="dxa"/>
            <w:vAlign w:val="bottom"/>
          </w:tcPr>
          <w:p>
            <w:pPr>
              <w:ind w:left="620"/>
              <w:spacing w:after="0"/>
              <w:rPr>
                <w:sz w:val="20"/>
                <w:szCs w:val="20"/>
                <w:color w:val="auto"/>
              </w:rPr>
            </w:pPr>
            <w:r>
              <w:rPr>
                <w:rFonts w:ascii="Arial" w:cs="Arial" w:eastAsia="Arial" w:hAnsi="Arial"/>
                <w:sz w:val="18"/>
                <w:szCs w:val="18"/>
                <w:color w:val="auto"/>
              </w:rPr>
              <w:t>8</w:t>
            </w:r>
          </w:p>
        </w:tc>
      </w:tr>
    </w:tbl>
    <w:p>
      <w:pPr>
        <w:ind w:left="620"/>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3020" w:type="dxa"/>
            <w:vAlign w:val="bottom"/>
          </w:tcPr>
          <w:p>
            <w:pPr>
              <w:ind w:left="120"/>
              <w:spacing w:after="0"/>
              <w:rPr>
                <w:sz w:val="20"/>
                <w:szCs w:val="20"/>
                <w:color w:val="auto"/>
              </w:rPr>
            </w:pPr>
            <w:r>
              <w:rPr>
                <w:rFonts w:ascii="Arial" w:cs="Arial" w:eastAsia="Arial" w:hAnsi="Arial"/>
                <w:sz w:val="18"/>
                <w:szCs w:val="18"/>
                <w:color w:val="auto"/>
              </w:rPr>
              <w:t>JiuJiang JinXin Nonferrous Metals</w:t>
            </w:r>
          </w:p>
        </w:tc>
        <w:tc>
          <w:tcPr>
            <w:tcW w:w="1200" w:type="dxa"/>
            <w:vAlign w:val="bottom"/>
          </w:tcPr>
          <w:p>
            <w:pPr>
              <w:ind w:left="6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Co., Ltd.</w:t>
            </w: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Kazakhstan, Portugal, Mongolia, Austria, Luxembourg, Guyana,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Brazil, South Korea, Chile, Laos, Ecuador, Colombia, Argentina,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0"/>
              </w:rPr>
              <w:t>South Sudan, Hungary, Japan, Tanzania, Zambia, Congo (Brazzaville),</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India, Canada, Belgium, Namibia, Taiwan, Italy, Central African</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8"/>
              </w:rPr>
              <w:t>Republic, Peru, Ethiopia, Germany, Burundi, Russian Federation,</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Vietnam, Singapore, United States, Egypt, Madagascar, Sierra Leone,</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Ivory Coast, Bolivia, Thailand, Netherlands, China, Ireland, Slovakia,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France, Nigeria, Rwanda, United Kingdom, Switzerland, Spain,</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Djibouti, Czech Republic, Uganda, Zimbabwe, Suriname, Israel,</w:t>
            </w:r>
          </w:p>
        </w:tc>
      </w:tr>
      <w:tr>
        <w:trPr>
          <w:trHeight w:val="230"/>
        </w:trPr>
        <w:tc>
          <w:tcPr>
            <w:tcW w:w="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Australia, Indonesia, Estonia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3020" w:type="dxa"/>
            <w:vAlign w:val="bottom"/>
          </w:tcPr>
          <w:p>
            <w:pPr>
              <w:ind w:left="120"/>
              <w:spacing w:after="0"/>
              <w:rPr>
                <w:sz w:val="20"/>
                <w:szCs w:val="20"/>
                <w:color w:val="auto"/>
              </w:rPr>
            </w:pPr>
            <w:r>
              <w:rPr>
                <w:rFonts w:ascii="Arial" w:cs="Arial" w:eastAsia="Arial" w:hAnsi="Arial"/>
                <w:sz w:val="18"/>
                <w:szCs w:val="18"/>
                <w:color w:val="auto"/>
                <w:w w:val="99"/>
              </w:rPr>
              <w:t>Jiujiang Nonferrous Metals Smelting</w:t>
            </w:r>
          </w:p>
        </w:tc>
        <w:tc>
          <w:tcPr>
            <w:tcW w:w="1200" w:type="dxa"/>
            <w:vAlign w:val="bottom"/>
          </w:tcPr>
          <w:p>
            <w:pPr>
              <w:ind w:left="6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Company Limited</w:t>
            </w: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Kazakhstan, Portugal, Mongolia, Austria, Mozambique, Luxembourg,</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Brazil, South Korea, Guyana, Chile, Laos, Colombia, Ecuador,</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Argentina, Hungary, South Sudan, Japan, Tanzania, Zambia, Congo</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2"/>
              </w:rPr>
              <w:t>(Brazzaville), India, Canada, Belgium, Namibia, Taiwan, South Africa,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Central African Republic, Peru, Germany, Ethiopia, Burundi, Russian</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Federation, Singapore, Vietnam, United States, Egypt, Sierra Leone,</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Madagascar, Ivory Coast, Thailand, Bolivia, Netherlands, China,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Ireland, Slovakia, France, Nigeria, Philippines, Rwanda, United</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Kingdom, Kenya, Switzerland, Spain, Djibouti, Czech Republic,</w:t>
            </w:r>
          </w:p>
        </w:tc>
      </w:tr>
      <w:tr>
        <w:trPr>
          <w:trHeight w:val="230"/>
        </w:trPr>
        <w:tc>
          <w:tcPr>
            <w:tcW w:w="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5"/>
              </w:rPr>
              <w:t>Uganda, Zimbabwe, Suriname, Israel, Australia, Indonesia, Estonia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3020" w:type="dxa"/>
            <w:vAlign w:val="bottom"/>
          </w:tcPr>
          <w:p>
            <w:pPr>
              <w:ind w:left="120"/>
              <w:spacing w:after="0"/>
              <w:rPr>
                <w:sz w:val="20"/>
                <w:szCs w:val="20"/>
                <w:color w:val="auto"/>
              </w:rPr>
            </w:pPr>
            <w:r>
              <w:rPr>
                <w:rFonts w:ascii="Arial" w:cs="Arial" w:eastAsia="Arial" w:hAnsi="Arial"/>
                <w:sz w:val="18"/>
                <w:szCs w:val="18"/>
                <w:color w:val="auto"/>
                <w:w w:val="94"/>
              </w:rPr>
              <w:t>Jiujiang Zhongao Tantalum &amp; Niobium</w:t>
            </w:r>
          </w:p>
        </w:tc>
        <w:tc>
          <w:tcPr>
            <w:tcW w:w="1200" w:type="dxa"/>
            <w:vAlign w:val="bottom"/>
          </w:tcPr>
          <w:p>
            <w:pPr>
              <w:ind w:left="6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DRC- Congo (Kinshasa), Myanmar, Cambodia, Malaysia, Kazakhstan,</w:t>
            </w:r>
          </w:p>
        </w:tc>
      </w:tr>
      <w:tr>
        <w:trPr>
          <w:trHeight w:val="216"/>
        </w:trPr>
        <w:tc>
          <w:tcPr>
            <w:tcW w:w="82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Co., Ltd.</w:t>
            </w: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9"/>
              </w:rPr>
              <w:t>Portugal, Austria, Mongolia, Luxembourg, Guyana, South Korea,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5"/>
              </w:rPr>
              <w:t>Brazil, Chile, Laos, Colombia, Ecuador, Argentina, Hungary, Japan,</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4"/>
              </w:rPr>
              <w:t>India, Canada, Belgium, Namibia, Taiwan, Peru, Germany, Ethiopia,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Russian Federation, Vietnam, Singapore, United States, Egypt,</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5"/>
              </w:rPr>
              <w:t>Kingdom, Switzerland, Spain, Djibouti, Czech Republic, Zimbabwe,</w:t>
            </w:r>
          </w:p>
        </w:tc>
      </w:tr>
      <w:tr>
        <w:trPr>
          <w:trHeight w:val="230"/>
        </w:trPr>
        <w:tc>
          <w:tcPr>
            <w:tcW w:w="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3020" w:type="dxa"/>
            <w:vAlign w:val="bottom"/>
          </w:tcPr>
          <w:p>
            <w:pPr>
              <w:ind w:left="120"/>
              <w:spacing w:after="0"/>
              <w:rPr>
                <w:sz w:val="20"/>
                <w:szCs w:val="20"/>
                <w:color w:val="auto"/>
              </w:rPr>
            </w:pPr>
            <w:r>
              <w:rPr>
                <w:rFonts w:ascii="Arial" w:cs="Arial" w:eastAsia="Arial" w:hAnsi="Arial"/>
                <w:sz w:val="18"/>
                <w:szCs w:val="18"/>
                <w:color w:val="auto"/>
              </w:rPr>
              <w:t>KEMET Blue Metals</w:t>
            </w:r>
          </w:p>
        </w:tc>
        <w:tc>
          <w:tcPr>
            <w:tcW w:w="1200" w:type="dxa"/>
            <w:vAlign w:val="bottom"/>
          </w:tcPr>
          <w:p>
            <w:pPr>
              <w:ind w:left="60"/>
              <w:spacing w:after="0"/>
              <w:rPr>
                <w:sz w:val="20"/>
                <w:szCs w:val="20"/>
                <w:color w:val="auto"/>
              </w:rPr>
            </w:pPr>
            <w:r>
              <w:rPr>
                <w:rFonts w:ascii="Arial" w:cs="Arial" w:eastAsia="Arial" w:hAnsi="Arial"/>
                <w:sz w:val="18"/>
                <w:szCs w:val="18"/>
                <w:color w:val="auto"/>
              </w:rPr>
              <w:t>RMAP</w:t>
            </w:r>
          </w:p>
        </w:tc>
        <w:tc>
          <w:tcPr>
            <w:tcW w:w="6380" w:type="dxa"/>
            <w:vAlign w:val="bottom"/>
          </w:tcPr>
          <w:p>
            <w:pPr>
              <w:ind w:left="12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Kazakhstan, Portugal, Austria, Mongolia, Mozambique, Mali,</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6"/>
              </w:rPr>
              <w:t>Luxembourg, Brazil, South Korea, Guyana, Chile, Laos, Colombia,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1"/>
              </w:rPr>
              <w:t>Ecuador, Argentina, South Sudan, Hungary, Japan, Tanzania, Ghana,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Zambia, Congo (Brazzaville), India, Canada, Belgium, Namibia,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Taiwan, South Africa, Central African Republic, Peru, Germany,</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6"/>
              </w:rPr>
              <w:t>Ethiopia, Burundi, Russian Federation, Vietnam, Singapore, United</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0"/>
              </w:rPr>
              <w:t>States, Guinea, Egypt, Sierra Leone, Madagascar, Ivory Coast, Bolivia,</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9"/>
              </w:rPr>
              <w:t>Thailand, Netherlands, China, Ireland, Slovakia, Nigeria, France,</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3"/>
              </w:rPr>
              <w:t>Niger, Rwanda, United Kingdom, Switzerland, Spain, Djibouti, Czech</w:t>
            </w:r>
          </w:p>
        </w:tc>
      </w:tr>
      <w:tr>
        <w:trPr>
          <w:trHeight w:val="216"/>
        </w:trPr>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w w:val="96"/>
              </w:rPr>
              <w:t>Republic, Mexico, Uganda, Zimbabwe, Suriname, Israel, Australia,</w:t>
            </w:r>
          </w:p>
        </w:tc>
      </w:tr>
      <w:tr>
        <w:trPr>
          <w:trHeight w:val="230"/>
        </w:trPr>
        <w:tc>
          <w:tcPr>
            <w:tcW w:w="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40"/>
              <w:spacing w:after="0"/>
              <w:rPr>
                <w:sz w:val="20"/>
                <w:szCs w:val="20"/>
                <w:color w:val="auto"/>
              </w:rPr>
            </w:pPr>
            <w:r>
              <w:rPr>
                <w:rFonts w:ascii="Arial" w:cs="Arial" w:eastAsia="Arial" w:hAnsi="Arial"/>
                <w:sz w:val="18"/>
                <w:szCs w:val="18"/>
                <w:color w:val="auto"/>
              </w:rPr>
              <w:t>Estonia, Indonesia</w:t>
            </w:r>
          </w:p>
        </w:tc>
      </w:tr>
      <w:tr>
        <w:trPr>
          <w:trHeight w:val="365"/>
        </w:trPr>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80" w:type="dxa"/>
            <w:vAlign w:val="bottom"/>
          </w:tcPr>
          <w:p>
            <w:pPr>
              <w:ind w:left="620"/>
              <w:spacing w:after="0"/>
              <w:rPr>
                <w:sz w:val="20"/>
                <w:szCs w:val="20"/>
                <w:color w:val="auto"/>
              </w:rPr>
            </w:pPr>
            <w:r>
              <w:rPr>
                <w:rFonts w:ascii="Arial" w:cs="Arial" w:eastAsia="Arial" w:hAnsi="Arial"/>
                <w:sz w:val="18"/>
                <w:szCs w:val="18"/>
                <w:color w:val="auto"/>
              </w:rPr>
              <w:t>9</w:t>
            </w:r>
          </w:p>
        </w:tc>
      </w:tr>
    </w:tbl>
    <w:p>
      <w:pPr>
        <w:ind w:left="620"/>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3000" w:type="dxa"/>
            <w:vAlign w:val="bottom"/>
          </w:tcPr>
          <w:p>
            <w:pPr>
              <w:ind w:left="120"/>
              <w:spacing w:after="0"/>
              <w:rPr>
                <w:sz w:val="20"/>
                <w:szCs w:val="20"/>
                <w:color w:val="auto"/>
              </w:rPr>
            </w:pPr>
            <w:r>
              <w:rPr>
                <w:rFonts w:ascii="Arial" w:cs="Arial" w:eastAsia="Arial" w:hAnsi="Arial"/>
                <w:sz w:val="18"/>
                <w:szCs w:val="18"/>
                <w:color w:val="auto"/>
              </w:rPr>
              <w:t>Kemet Blue Powder</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Kazakhstan, Portugal, Mongolia, Austria, Mozambique, Luxembourg,</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Guyana, Brazil, South Korea, Chile, Laos, Colombia, Ecuador,</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Argentina, Hungary, South Sudan, Japan, Tanzania, Zambia, Congo</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(Brazzaville), India, Canada, Belgium, Namibia, Taiwan, Central</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African Republic, Peru, Ethiopia, Germany, Burundi, Russian</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Federation, Vietnam, Singapore, United States, Egypt, Madagascar,</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Sierra Leone, Ivory Coast, Thailand, Bolivia, Netherlands, Ireland,</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6"/>
              </w:rPr>
              <w:t>China, Slovakia, Nigeria, France, Niger, Rwanda, United Kingdom,</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Switzerland, Spain, Djibouti, Czech Republic, Mexico, Uganda,</w:t>
            </w:r>
          </w:p>
        </w:tc>
      </w:tr>
      <w:tr>
        <w:trPr>
          <w:trHeight w:val="230"/>
        </w:trPr>
        <w:tc>
          <w:tcPr>
            <w:tcW w:w="8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3000" w:type="dxa"/>
            <w:vAlign w:val="bottom"/>
          </w:tcPr>
          <w:p>
            <w:pPr>
              <w:ind w:left="120"/>
              <w:spacing w:after="0"/>
              <w:rPr>
                <w:sz w:val="20"/>
                <w:szCs w:val="20"/>
                <w:color w:val="auto"/>
              </w:rPr>
            </w:pPr>
            <w:r>
              <w:rPr>
                <w:rFonts w:ascii="Arial" w:cs="Arial" w:eastAsia="Arial" w:hAnsi="Arial"/>
                <w:sz w:val="18"/>
                <w:szCs w:val="18"/>
                <w:color w:val="auto"/>
              </w:rPr>
              <w:t>LSM Brasil S.A.</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Mongolia, Austria, Luxembourg, Guyana, Brazil, South</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Korea, Chile, Laos, Ecuador, Colombia, Argentina, Hungary, Japan,</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Germany, Ethiopia,</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1"/>
              </w:rPr>
              <w:t>Russian Federation, Vietnam, Singapore, United States, Egypt, Sierra</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Leone, Madagascar, Ivory Coast, Bolivia, Thailand, Netherlands,</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China, Ireland, Slovakia, Nigeria, France, United Kingdom,</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Switzerland, Spain, Djibouti, Czech Republic, Zimbabwe, Suriname,</w:t>
            </w:r>
          </w:p>
        </w:tc>
      </w:tr>
      <w:tr>
        <w:trPr>
          <w:trHeight w:val="230"/>
        </w:trPr>
        <w:tc>
          <w:tcPr>
            <w:tcW w:w="8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Israel, Australia, Indonesia, Estonia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3000" w:type="dxa"/>
            <w:vAlign w:val="bottom"/>
          </w:tcPr>
          <w:p>
            <w:pPr>
              <w:ind w:left="120"/>
              <w:spacing w:after="0"/>
              <w:rPr>
                <w:sz w:val="20"/>
                <w:szCs w:val="20"/>
                <w:color w:val="auto"/>
              </w:rPr>
            </w:pPr>
            <w:r>
              <w:rPr>
                <w:rFonts w:ascii="Arial" w:cs="Arial" w:eastAsia="Arial" w:hAnsi="Arial"/>
                <w:sz w:val="18"/>
                <w:szCs w:val="18"/>
                <w:color w:val="auto"/>
                <w:w w:val="94"/>
              </w:rPr>
              <w:t>Ningxia Orient Tantalum Industry Co.,</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auto"/>
              </w:rPr>
              <w:t>Ltd.</w:t>
            </w: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Kazakhstan, Portugal, Austria, Mongolia, Mozambique, Luxembourg,</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South Korea, Guyana, Brazil, Chile, Laos, Ecuador, Colombia,</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Argentina, Hungary, South Sudan, Japan, Tanzania, Zambia, Congo</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(Brazzaville), India, Canada, Belgium, Namibia, Taiwan, Central</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African Republic, Peru, Ethiopia, Germany, Russian Federation,</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Burundi, Vietnam, Singapore, United States, Egypt, Sierra Leone,</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Madagascar, Ivory Coast, Thailand, Bolivia, Netherlands, Ireland,</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6"/>
              </w:rPr>
              <w:t>China, Slovakia, France, Nigeria, Niger, Rwanda, United Kingdom,</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Switzerland, Spain, Djibouti, Czech Republic, Zimbabwe, Mexico,</w:t>
            </w:r>
          </w:p>
        </w:tc>
      </w:tr>
      <w:tr>
        <w:trPr>
          <w:trHeight w:val="230"/>
        </w:trPr>
        <w:tc>
          <w:tcPr>
            <w:tcW w:w="8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Uganda, Suriname, Israel, Australia, 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3000" w:type="dxa"/>
            <w:vAlign w:val="bottom"/>
          </w:tcPr>
          <w:p>
            <w:pPr>
              <w:ind w:left="120"/>
              <w:spacing w:after="0"/>
              <w:rPr>
                <w:sz w:val="20"/>
                <w:szCs w:val="20"/>
                <w:color w:val="auto"/>
              </w:rPr>
            </w:pPr>
            <w:r>
              <w:rPr>
                <w:rFonts w:ascii="Arial" w:cs="Arial" w:eastAsia="Arial" w:hAnsi="Arial"/>
                <w:sz w:val="18"/>
                <w:szCs w:val="18"/>
                <w:color w:val="auto"/>
              </w:rPr>
              <w:t>Taki Chemical Co., Ltd.</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rPr>
              <w:t>Myanmar, Angola, Cambodia, Malaysia, Kazakhstan, Portugal,</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Mongolia, Austria, Luxembourg, South Korea, Brazil, Guyana, Chile,</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Laos, Ecuador, Colombia, Argentina, Hungary, South Sudan, Japan,</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Tanzania, Zambia, Congo (Brazzaville), India, Canada, Belgium,</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2"/>
              </w:rPr>
              <w:t>Namibia, Taiwan, Central African Republic, Peru, Germany, Ethiopia,</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Burundi, Russian Federation, Singapore, Vietnam, United States,</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Egypt, Sierra Leone, Madagascar, Ivory Coast, Bolivia, Thailand,</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Netherlands, Ireland, China, Slovakia, Nigeria, France, Rwanda,</w:t>
            </w:r>
          </w:p>
        </w:tc>
      </w:tr>
      <w:tr>
        <w:trPr>
          <w:trHeight w:val="216"/>
        </w:trPr>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8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Zimbabwe, Uganda, Suriname, Israel, Australia, Estonia, Indonesia</w:t>
            </w:r>
          </w:p>
        </w:tc>
      </w:tr>
      <w:tr>
        <w:trPr>
          <w:trHeight w:val="365"/>
        </w:trPr>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80" w:type="dxa"/>
            <w:vAlign w:val="bottom"/>
          </w:tcPr>
          <w:p>
            <w:pPr>
              <w:ind w:left="600"/>
              <w:spacing w:after="0"/>
              <w:rPr>
                <w:sz w:val="20"/>
                <w:szCs w:val="20"/>
                <w:color w:val="auto"/>
              </w:rPr>
            </w:pPr>
            <w:r>
              <w:rPr>
                <w:rFonts w:ascii="Arial" w:cs="Arial" w:eastAsia="Arial" w:hAnsi="Arial"/>
                <w:sz w:val="18"/>
                <w:szCs w:val="18"/>
                <w:color w:val="auto"/>
              </w:rPr>
              <w:t>10</w:t>
            </w:r>
          </w:p>
        </w:tc>
      </w:tr>
    </w:tbl>
    <w:p>
      <w:pPr>
        <w:ind w:left="600"/>
        <w:spacing w:after="0"/>
        <w:rPr>
          <w:sz w:val="20"/>
          <w:szCs w:val="20"/>
          <w:color w:val="auto"/>
        </w:rPr>
        <w:sectPr>
          <w:pgSz w:w="11900" w:h="16838" w:orient="portrait"/>
          <w:cols w:equalWidth="0" w:num="1">
            <w:col w:w="11400"/>
          </w:cols>
          <w:pgMar w:left="240" w:top="382"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960" w:type="dxa"/>
            <w:vAlign w:val="bottom"/>
          </w:tcPr>
          <w:p>
            <w:pPr>
              <w:ind w:left="120"/>
              <w:spacing w:after="0"/>
              <w:rPr>
                <w:sz w:val="20"/>
                <w:szCs w:val="20"/>
                <w:color w:val="auto"/>
              </w:rPr>
            </w:pPr>
            <w:r>
              <w:rPr>
                <w:rFonts w:ascii="Arial" w:cs="Arial" w:eastAsia="Arial" w:hAnsi="Arial"/>
                <w:sz w:val="18"/>
                <w:szCs w:val="18"/>
                <w:color w:val="auto"/>
              </w:rPr>
              <w:t>Ulba Metallurgical Plant JSC</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6060" w:type="dxa"/>
            <w:vAlign w:val="bottom"/>
          </w:tcPr>
          <w:p>
            <w:pPr>
              <w:ind w:left="94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3"/>
              </w:rPr>
              <w:t>Kazakhstan, Portugal, Mongolia, Austria, Mozambique, Luxembourg,</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Guyana, Brazil, South Korea, Chile, Laos, Ecuador, Colombia,</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3"/>
              </w:rPr>
              <w:t>Argentina, South Sudan, Hungary, Japan, Tanzania, Zambia, Congo</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8"/>
              </w:rPr>
              <w:t>(Brazzaville), Belarus, India, Canada, Belgium, Namibia, Taiwan,</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3"/>
              </w:rPr>
              <w:t>Central African Republic, Peru, Ethiopia, Germany, Burundi, Russian</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4"/>
              </w:rPr>
              <w:t>Federation, Singapore, Vietnam, United States, Egypt, Madagascar,</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8"/>
              </w:rPr>
              <w:t>Sierra Leone, Ivory Coast, Bolivia, Thailand, Netherlands, China,</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Ireland, Slovakia, France, Nigeria, Rwanda, United Kingdom,</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6"/>
              </w:rPr>
              <w:t>Switzerland, Spain, Djibouti, Czech Republic, Uganda, Zimbabwe,</w:t>
            </w:r>
          </w:p>
        </w:tc>
      </w:tr>
      <w:tr>
        <w:trPr>
          <w:trHeight w:val="230"/>
        </w:trPr>
        <w:tc>
          <w:tcPr>
            <w:tcW w:w="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2960" w:type="dxa"/>
            <w:vAlign w:val="bottom"/>
          </w:tcPr>
          <w:p>
            <w:pPr>
              <w:ind w:left="120"/>
              <w:spacing w:after="0"/>
              <w:rPr>
                <w:sz w:val="20"/>
                <w:szCs w:val="20"/>
                <w:color w:val="auto"/>
              </w:rPr>
            </w:pPr>
            <w:r>
              <w:rPr>
                <w:rFonts w:ascii="Arial" w:cs="Arial" w:eastAsia="Arial" w:hAnsi="Arial"/>
                <w:sz w:val="18"/>
                <w:szCs w:val="18"/>
                <w:color w:val="auto"/>
              </w:rPr>
              <w:t>CV United Smelting</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6060" w:type="dxa"/>
            <w:vAlign w:val="bottom"/>
          </w:tcPr>
          <w:p>
            <w:pPr>
              <w:ind w:left="94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9"/>
              </w:rPr>
              <w:t>Portugal, Mongolia, Austria, Luxembourg, Brazil, Guyana, South</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4"/>
              </w:rPr>
              <w:t>Korea, Chile, Laos, Colombia, Ecuador, Argentina, Hungary, Japan,</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2"/>
              </w:rPr>
              <w:t>Congo (Brazzaville), India, Canada, Belgium, Namibia, Taiwan, Peru,</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3"/>
              </w:rPr>
              <w:t>Germany, Ethiopia, Russian Federation, Vietnam, Singapore, United</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9"/>
              </w:rPr>
              <w:t>States, Egypt, Madagascar, Sierra Leone, Ivory Coast, Thailand,</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Bolivia, Netherlands, China, Ireland, Slovakia, France, Nigeria,</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30"/>
        </w:trPr>
        <w:tc>
          <w:tcPr>
            <w:tcW w:w="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4"/>
              </w:rPr>
              <w:t>Republic, Zimbabwe, Suriname, Israel, Australia, 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2960" w:type="dxa"/>
            <w:vAlign w:val="bottom"/>
          </w:tcPr>
          <w:p>
            <w:pPr>
              <w:ind w:left="120"/>
              <w:spacing w:after="0"/>
              <w:rPr>
                <w:sz w:val="20"/>
                <w:szCs w:val="20"/>
                <w:color w:val="auto"/>
              </w:rPr>
            </w:pPr>
            <w:r>
              <w:rPr>
                <w:rFonts w:ascii="Arial" w:cs="Arial" w:eastAsia="Arial" w:hAnsi="Arial"/>
                <w:sz w:val="18"/>
                <w:szCs w:val="18"/>
                <w:color w:val="auto"/>
              </w:rPr>
              <w:t>CV Venus Inti Perkasa</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6060" w:type="dxa"/>
            <w:vAlign w:val="bottom"/>
          </w:tcPr>
          <w:p>
            <w:pPr>
              <w:ind w:left="940"/>
              <w:spacing w:after="0"/>
              <w:rPr>
                <w:sz w:val="20"/>
                <w:szCs w:val="20"/>
                <w:color w:val="auto"/>
              </w:rPr>
            </w:pPr>
            <w:r>
              <w:rPr>
                <w:rFonts w:ascii="Arial" w:cs="Arial" w:eastAsia="Arial" w:hAnsi="Arial"/>
                <w:sz w:val="18"/>
                <w:szCs w:val="18"/>
                <w:color w:val="auto"/>
                <w:w w:val="97"/>
              </w:rPr>
              <w:t>Canada, Japan, Guyana, Mexico, Suriname, Congo (Brazzaville),</w:t>
            </w:r>
          </w:p>
        </w:tc>
      </w:tr>
      <w:tr>
        <w:trPr>
          <w:trHeight w:val="230"/>
        </w:trPr>
        <w:tc>
          <w:tcPr>
            <w:tcW w:w="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Chile, Switzerland, Peru, Germany,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2960" w:type="dxa"/>
            <w:vAlign w:val="bottom"/>
          </w:tcPr>
          <w:p>
            <w:pPr>
              <w:ind w:left="120"/>
              <w:spacing w:after="0"/>
              <w:rPr>
                <w:sz w:val="20"/>
                <w:szCs w:val="20"/>
                <w:color w:val="auto"/>
              </w:rPr>
            </w:pPr>
            <w:r>
              <w:rPr>
                <w:rFonts w:ascii="Arial" w:cs="Arial" w:eastAsia="Arial" w:hAnsi="Arial"/>
                <w:sz w:val="18"/>
                <w:szCs w:val="18"/>
                <w:color w:val="auto"/>
              </w:rPr>
              <w:t>EM Vinto</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6060" w:type="dxa"/>
            <w:vAlign w:val="bottom"/>
          </w:tcPr>
          <w:p>
            <w:pPr>
              <w:ind w:left="94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9"/>
              </w:rPr>
              <w:t>Portugal, Austria, Mongolia, Luxembourg, Guyana, South Korea,</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4"/>
              </w:rPr>
              <w:t>Brazil, Chile, Laos, Colombia, Ecuador, Argentina, Hungary, Japan,</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2"/>
              </w:rPr>
              <w:t>Congo (Brazzaville), India, Canada, Belgium, Namibia, Taiwan, Peru,</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3"/>
              </w:rPr>
              <w:t>Ethiopia, Germany, Russian Federation, Vietnam, Singapore, United</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States, Egypt, Madagascar, Sierra Leone, Ivory Coast, Bolivia,</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9"/>
              </w:rPr>
              <w:t>Thailand, Netherlands, China, Ireland, Slovakia, France, Nigeria,</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2960" w:type="dxa"/>
            <w:vAlign w:val="bottom"/>
          </w:tcPr>
          <w:p>
            <w:pPr>
              <w:ind w:left="120"/>
              <w:spacing w:after="0"/>
              <w:rPr>
                <w:sz w:val="20"/>
                <w:szCs w:val="20"/>
                <w:color w:val="auto"/>
              </w:rPr>
            </w:pPr>
            <w:r>
              <w:rPr>
                <w:rFonts w:ascii="Arial" w:cs="Arial" w:eastAsia="Arial" w:hAnsi="Arial"/>
                <w:sz w:val="18"/>
                <w:szCs w:val="18"/>
                <w:color w:val="auto"/>
                <w:w w:val="95"/>
              </w:rPr>
              <w:t>Jiangxi Ketai Advanced Material Co.,</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6060" w:type="dxa"/>
            <w:vAlign w:val="bottom"/>
          </w:tcPr>
          <w:p>
            <w:pPr>
              <w:ind w:left="940"/>
              <w:spacing w:after="0"/>
              <w:rPr>
                <w:sz w:val="20"/>
                <w:szCs w:val="20"/>
                <w:color w:val="auto"/>
              </w:rPr>
            </w:pPr>
            <w:r>
              <w:rPr>
                <w:rFonts w:ascii="Arial" w:cs="Arial" w:eastAsia="Arial" w:hAnsi="Arial"/>
                <w:sz w:val="18"/>
                <w:szCs w:val="18"/>
                <w:color w:val="auto"/>
              </w:rPr>
              <w:t>Myanmar, Cambodia, Malaysia, Kazakhstan, Portugal, Austria,</w:t>
            </w:r>
          </w:p>
        </w:tc>
      </w:tr>
      <w:tr>
        <w:trPr>
          <w:trHeight w:val="216"/>
        </w:trPr>
        <w:tc>
          <w:tcPr>
            <w:tcW w:w="820" w:type="dxa"/>
            <w:vAlign w:val="bottom"/>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Ltd.</w:t>
            </w: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6"/>
              </w:rPr>
              <w:t>Mongolia, Luxembourg, Guyana, Brazil, South Korea, Chile, Laos,</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Ecuador, Argentina, Hungary, Japan, India, Canada, Belgium,</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Namibia, Taiwan, Peru, Germany, Ethiopia, Burundi, Russian</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0"/>
              </w:rPr>
              <w:t>Federation, Vietnam, United States, Egypt, Madagascar, Sierra Leone,</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3"/>
              </w:rPr>
              <w:t>Ivory Coast, Bolivia, Thailand, Netherlands, Ireland, China, Slovakia,</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3"/>
              </w:rPr>
              <w:t>France, Nigeria, Niger, United Kingdom, Switzerland, Spain, Djibouti,</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9"/>
              </w:rPr>
              <w:t>Czech Republic, Zimbabwe, Mexico, Suriname, Israel, Australia,</w:t>
            </w:r>
          </w:p>
        </w:tc>
      </w:tr>
      <w:tr>
        <w:trPr>
          <w:trHeight w:val="230"/>
        </w:trPr>
        <w:tc>
          <w:tcPr>
            <w:tcW w:w="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Estonia, Indonesia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Magnu’s Minerais Metais e Ligas Ltda.  RMAP</w:t>
            </w:r>
          </w:p>
        </w:tc>
        <w:tc>
          <w:tcPr>
            <w:tcW w:w="6060" w:type="dxa"/>
            <w:vAlign w:val="bottom"/>
          </w:tcPr>
          <w:p>
            <w:pPr>
              <w:ind w:left="94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9"/>
              </w:rPr>
              <w:t>Portugal, Mongolia, Austria, Luxembourg, Guyana, Brazil, South</w:t>
            </w:r>
          </w:p>
        </w:tc>
      </w:tr>
      <w:tr>
        <w:trPr>
          <w:trHeight w:val="230"/>
        </w:trPr>
        <w:tc>
          <w:tcPr>
            <w:tcW w:w="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w w:val="94"/>
              </w:rPr>
              <w:t>Korea, Chile, Laos, Ecuador, Colombia, Argentina, Hungary, Japan,</w:t>
            </w:r>
          </w:p>
        </w:tc>
      </w:tr>
    </w:tbl>
    <w:p>
      <w:pPr>
        <w:ind w:left="6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India, Canada, Belgium, Namibia, Taiwan, Peru, Germany, Ethiopia,</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Russian Federation, Singapore, Vietnam, United States, Egypt,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Madagascar, Sierra Leone, Ivory Coast, Thailand, Bolivia,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Netherlands, China, Ireland, Slovakia, France, Nigeria, United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Kingdom, Switzerland, Spain, Djibouti, Czech Republic, Zimbabwe,</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Suriname, Israel, Australia, Estonia, Indonesia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82"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220" w:type="dxa"/>
            <w:vAlign w:val="bottom"/>
          </w:tcPr>
          <w:p>
            <w:pPr>
              <w:ind w:left="340"/>
              <w:spacing w:after="0"/>
              <w:rPr>
                <w:sz w:val="20"/>
                <w:szCs w:val="20"/>
                <w:color w:val="auto"/>
              </w:rPr>
            </w:pPr>
            <w:r>
              <w:rPr>
                <w:rFonts w:ascii="Arial" w:cs="Arial" w:eastAsia="Arial" w:hAnsi="Arial"/>
                <w:sz w:val="18"/>
                <w:szCs w:val="18"/>
                <w:color w:val="auto"/>
                <w:w w:val="94"/>
              </w:rPr>
              <w:t>Malaysia Smelting Corporation (MSC)</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Kazakhstan, Austria, Mongolia, Mozambique, Luxembourg, South</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Korea, Guyana, Laos, Colombia, Ecuador, Argentina, South Sudan,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Hungary, Tanzania, Zambia, Congo (Brazzaville), India, Belgium,</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Namibia, Taiwan, South Africa, Central African Republic, Germany,</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Ethiopia, Russian Federation, Burundi, Singapore, Vietnam, United</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States, Egypt, Madagascar, Sierra Leone, Ivory Coast, Netherlands,</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6"/>
              </w:rPr>
              <w:t>Ireland, China, Slovakia, France, United Kingdom, Kenya, Djibouti,</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Czech Republic, Zimbabwe, Uganda, Suriname, Israel, Australia,</w:t>
            </w:r>
          </w:p>
        </w:tc>
      </w:tr>
      <w:tr>
        <w:trPr>
          <w:trHeight w:val="230"/>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Estonia, Indonesia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220" w:type="dxa"/>
            <w:vAlign w:val="bottom"/>
          </w:tcPr>
          <w:p>
            <w:pPr>
              <w:ind w:left="340"/>
              <w:spacing w:after="0"/>
              <w:rPr>
                <w:sz w:val="20"/>
                <w:szCs w:val="20"/>
                <w:color w:val="auto"/>
              </w:rPr>
            </w:pPr>
            <w:r>
              <w:rPr>
                <w:rFonts w:ascii="Arial" w:cs="Arial" w:eastAsia="Arial" w:hAnsi="Arial"/>
                <w:sz w:val="18"/>
                <w:szCs w:val="18"/>
                <w:color w:val="auto"/>
              </w:rPr>
              <w:t>Metallo Belgium N.V.</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Austria, Mongolia, Luxembourg, South Korea, Guyana,</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Brazil, Chile, Laos, Colombia, Ecuador, Argentina, Hungary, Japan,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Ethiopia, Germany,</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Russian Federation, Singapore, Vietnam, United States, Egypt,</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Kingdom, Switzerland, Spain, Djibouti, Czech Republic, Zimbabwe,</w:t>
            </w:r>
          </w:p>
        </w:tc>
      </w:tr>
      <w:tr>
        <w:trPr>
          <w:trHeight w:val="230"/>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220" w:type="dxa"/>
            <w:vAlign w:val="bottom"/>
          </w:tcPr>
          <w:p>
            <w:pPr>
              <w:ind w:left="340"/>
              <w:spacing w:after="0"/>
              <w:rPr>
                <w:sz w:val="20"/>
                <w:szCs w:val="20"/>
                <w:color w:val="auto"/>
              </w:rPr>
            </w:pPr>
            <w:r>
              <w:rPr>
                <w:rFonts w:ascii="Arial" w:cs="Arial" w:eastAsia="Arial" w:hAnsi="Arial"/>
                <w:sz w:val="18"/>
                <w:szCs w:val="18"/>
                <w:color w:val="auto"/>
              </w:rPr>
              <w:t>Operaciones Metalurgical S.A.</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Mongolia, Austria, Luxembourg, Brazil, Guyana, South</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Korea, Chile, Laos, Colombia, Ecuador, Argentina, Hungary, Japan,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Ethiopia, Germany,</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Russian Federation, Singapore, Vietnam, United States, Egypt,</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Netherlands, Ireland, China, Slovakia, Nigeria, France, Philippines,</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220" w:type="dxa"/>
            <w:vAlign w:val="bottom"/>
          </w:tcPr>
          <w:p>
            <w:pPr>
              <w:ind w:left="340"/>
              <w:spacing w:after="0"/>
              <w:rPr>
                <w:sz w:val="20"/>
                <w:szCs w:val="20"/>
                <w:color w:val="auto"/>
              </w:rPr>
            </w:pPr>
            <w:r>
              <w:rPr>
                <w:rFonts w:ascii="Arial" w:cs="Arial" w:eastAsia="Arial" w:hAnsi="Arial"/>
                <w:sz w:val="18"/>
                <w:szCs w:val="18"/>
                <w:color w:val="auto"/>
              </w:rPr>
              <w:t>PT Bangka Tin Industry</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Austria, Mongolia, Luxembourg, Brazil, Guyana, South</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Korea, Chile, Laos, Colombia, Ecuador, Argentina, Hungary, Japan,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Germany, Ethiopia,</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Russian Federation, Vietnam, Singapore, United States, Egypt,</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Kingdom, Switzerland, Spain, Djibouti, Czech Republic, Zimbabwe,</w:t>
            </w:r>
          </w:p>
        </w:tc>
      </w:tr>
      <w:tr>
        <w:trPr>
          <w:trHeight w:val="230"/>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220" w:type="dxa"/>
            <w:vAlign w:val="bottom"/>
          </w:tcPr>
          <w:p>
            <w:pPr>
              <w:ind w:left="340"/>
              <w:spacing w:after="0"/>
              <w:rPr>
                <w:sz w:val="20"/>
                <w:szCs w:val="20"/>
                <w:color w:val="auto"/>
              </w:rPr>
            </w:pPr>
            <w:r>
              <w:rPr>
                <w:rFonts w:ascii="Arial" w:cs="Arial" w:eastAsia="Arial" w:hAnsi="Arial"/>
                <w:sz w:val="18"/>
                <w:szCs w:val="18"/>
                <w:color w:val="auto"/>
              </w:rPr>
              <w:t>PT Bukit Timah</w:t>
            </w:r>
          </w:p>
        </w:tc>
        <w:tc>
          <w:tcPr>
            <w:tcW w:w="1200" w:type="dxa"/>
            <w:vAlign w:val="bottom"/>
          </w:tcPr>
          <w:p>
            <w:pPr>
              <w:ind w:left="8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Portugal, Austria, Mongolia, Luxembourg, South Korea, Brazil,</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1"/>
              </w:rPr>
              <w:t>Guyana, Chile, Laos, Colombia, Ecuador, Argentina, Hungary, Japan,</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Ethiopia, Germany,</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Russian Federation, Singapore, Vietnam, United States, Egypt,</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1"/>
              </w:rPr>
              <w:t>Netherlands, Ireland, China, Poland, Slovakia, Nigeria, France, United</w:t>
            </w:r>
          </w:p>
        </w:tc>
      </w:tr>
      <w:tr>
        <w:trPr>
          <w:trHeight w:val="216"/>
        </w:trPr>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Kingdom, Switzerland, Spain, Djibouti, Czech Republic, Zimbabwe,</w:t>
            </w:r>
          </w:p>
        </w:tc>
      </w:tr>
      <w:tr>
        <w:trPr>
          <w:trHeight w:val="230"/>
        </w:trPr>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Suriname, Israel, Australia, Indonesia, Estonia</w:t>
            </w:r>
          </w:p>
        </w:tc>
      </w:tr>
      <w:tr>
        <w:trPr>
          <w:trHeight w:val="365"/>
        </w:trPr>
        <w:tc>
          <w:tcPr>
            <w:tcW w:w="6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80" w:type="dxa"/>
            <w:vAlign w:val="bottom"/>
          </w:tcPr>
          <w:p>
            <w:pPr>
              <w:ind w:left="600"/>
              <w:spacing w:after="0"/>
              <w:rPr>
                <w:sz w:val="20"/>
                <w:szCs w:val="20"/>
                <w:color w:val="auto"/>
              </w:rPr>
            </w:pPr>
            <w:r>
              <w:rPr>
                <w:rFonts w:ascii="Arial" w:cs="Arial" w:eastAsia="Arial" w:hAnsi="Arial"/>
                <w:sz w:val="18"/>
                <w:szCs w:val="18"/>
                <w:color w:val="auto"/>
              </w:rPr>
              <w:t>12</w:t>
            </w:r>
          </w:p>
        </w:tc>
      </w:tr>
    </w:tbl>
    <w:p>
      <w:pPr>
        <w:ind w:left="600"/>
        <w:spacing w:after="0"/>
        <w:rPr>
          <w:sz w:val="20"/>
          <w:szCs w:val="20"/>
          <w:color w:val="auto"/>
        </w:rPr>
        <w:sectPr>
          <w:pgSz w:w="11900" w:h="16838" w:orient="portrait"/>
          <w:cols w:equalWidth="0" w:num="1">
            <w:col w:w="11400"/>
          </w:cols>
          <w:pgMar w:left="240" w:top="382"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000" w:type="dxa"/>
            <w:vAlign w:val="bottom"/>
          </w:tcPr>
          <w:p>
            <w:pPr>
              <w:ind w:left="340"/>
              <w:spacing w:after="0"/>
              <w:rPr>
                <w:sz w:val="20"/>
                <w:szCs w:val="20"/>
                <w:color w:val="auto"/>
              </w:rPr>
            </w:pPr>
            <w:r>
              <w:rPr>
                <w:rFonts w:ascii="Arial" w:cs="Arial" w:eastAsia="Arial" w:hAnsi="Arial"/>
                <w:sz w:val="18"/>
                <w:szCs w:val="18"/>
                <w:color w:val="auto"/>
              </w:rPr>
              <w:t>PT Eunindo Usaha Mandiri</w:t>
            </w:r>
          </w:p>
        </w:tc>
        <w:tc>
          <w:tcPr>
            <w:tcW w:w="1420" w:type="dxa"/>
            <w:vAlign w:val="bottom"/>
          </w:tcPr>
          <w:p>
            <w:pPr>
              <w:ind w:left="30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Mongolia, Austria, Luxembourg, Guyana, South Korea,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Brazil, Chile, Laos, Colombia, Ecuador, Argentina, Hungary, Japan,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Ethiopia, Germany,</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Russian Federation, Singapore, Vietnam, United States, Egypt,</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Netherlands, China, Ireland, Slovakia, Nigeria, France, Rwanda,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000" w:type="dxa"/>
            <w:vAlign w:val="bottom"/>
          </w:tcPr>
          <w:p>
            <w:pPr>
              <w:ind w:left="340"/>
              <w:spacing w:after="0"/>
              <w:rPr>
                <w:sz w:val="20"/>
                <w:szCs w:val="20"/>
                <w:color w:val="auto"/>
              </w:rPr>
            </w:pPr>
            <w:r>
              <w:rPr>
                <w:rFonts w:ascii="Arial" w:cs="Arial" w:eastAsia="Arial" w:hAnsi="Arial"/>
                <w:sz w:val="18"/>
                <w:szCs w:val="18"/>
                <w:color w:val="auto"/>
              </w:rPr>
              <w:t>PT Stanindo Inti Perkasa</w:t>
            </w:r>
          </w:p>
        </w:tc>
        <w:tc>
          <w:tcPr>
            <w:tcW w:w="1420" w:type="dxa"/>
            <w:vAlign w:val="bottom"/>
          </w:tcPr>
          <w:p>
            <w:pPr>
              <w:ind w:left="30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Portugal, Armenia, Mongolia, Austria, Mozambique, Luxembourg,</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Brazil, Guyana, South Korea, Chile, Laos, Ecuador, Colombia,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1"/>
              </w:rPr>
              <w:t>Argentina, Hungary, Japan, India, Canada, Belgium, Namibia, Taiwan,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Peru, Germany, Ethiopia, Russian Federation, Singapore, Vietnam,</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1"/>
              </w:rPr>
              <w:t>United States, Egypt, Madagascar, Sierra Leone, Ivory Coast, Bolivia,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Thailand, Netherlands, China, Ireland, Slovakia, France, Nigeria,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6"/>
              </w:rPr>
              <w:t>Mexico, Zimbabwe, Suriname, Israel, Australia, Estonia, Indonesia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000" w:type="dxa"/>
            <w:vAlign w:val="bottom"/>
          </w:tcPr>
          <w:p>
            <w:pPr>
              <w:ind w:left="340"/>
              <w:spacing w:after="0"/>
              <w:rPr>
                <w:sz w:val="20"/>
                <w:szCs w:val="20"/>
                <w:color w:val="auto"/>
              </w:rPr>
            </w:pPr>
            <w:r>
              <w:rPr>
                <w:rFonts w:ascii="Arial" w:cs="Arial" w:eastAsia="Arial" w:hAnsi="Arial"/>
                <w:sz w:val="18"/>
                <w:szCs w:val="18"/>
                <w:color w:val="auto"/>
              </w:rPr>
              <w:t>PT Sumber Jaya Indah</w:t>
            </w:r>
          </w:p>
        </w:tc>
        <w:tc>
          <w:tcPr>
            <w:tcW w:w="1420" w:type="dxa"/>
            <w:vAlign w:val="bottom"/>
          </w:tcPr>
          <w:p>
            <w:pPr>
              <w:ind w:left="30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rPr>
              <w:t>Niger, Japan, China, Rwanda, Brazil, Malaysia, Bolivia, Nigeria,</w:t>
            </w:r>
          </w:p>
        </w:tc>
      </w:tr>
      <w:tr>
        <w:trPr>
          <w:trHeight w:val="230"/>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Thailand, Ethiopia, India, Indonesia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000" w:type="dxa"/>
            <w:vAlign w:val="bottom"/>
          </w:tcPr>
          <w:p>
            <w:pPr>
              <w:ind w:left="340"/>
              <w:spacing w:after="0"/>
              <w:rPr>
                <w:sz w:val="20"/>
                <w:szCs w:val="20"/>
                <w:color w:val="auto"/>
              </w:rPr>
            </w:pPr>
            <w:r>
              <w:rPr>
                <w:rFonts w:ascii="Arial" w:cs="Arial" w:eastAsia="Arial" w:hAnsi="Arial"/>
                <w:sz w:val="18"/>
                <w:szCs w:val="18"/>
                <w:color w:val="auto"/>
              </w:rPr>
              <w:t>PT Timah (Persero) Tbk Kundur</w:t>
            </w:r>
          </w:p>
        </w:tc>
        <w:tc>
          <w:tcPr>
            <w:tcW w:w="1420" w:type="dxa"/>
            <w:vAlign w:val="bottom"/>
          </w:tcPr>
          <w:p>
            <w:pPr>
              <w:ind w:left="30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Austria, Mongolia, Luxembourg, South Korea, Guyana,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Brazil, Chile, Laos, Colombia, Ecuador, Argentina, Hungary, Japan,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Germany, Ethiopia,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Russian Federation, Singapore, Vietnam, United States, Egypt,</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Netherlands, China, Ireland, Slovakia, France, Nigeria, Rwanda,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000" w:type="dxa"/>
            <w:vAlign w:val="bottom"/>
          </w:tcPr>
          <w:p>
            <w:pPr>
              <w:ind w:left="340"/>
              <w:spacing w:after="0"/>
              <w:rPr>
                <w:sz w:val="20"/>
                <w:szCs w:val="20"/>
                <w:color w:val="auto"/>
              </w:rPr>
            </w:pPr>
            <w:r>
              <w:rPr>
                <w:rFonts w:ascii="Arial" w:cs="Arial" w:eastAsia="Arial" w:hAnsi="Arial"/>
                <w:sz w:val="18"/>
                <w:szCs w:val="18"/>
                <w:color w:val="auto"/>
              </w:rPr>
              <w:t>PT Timah (Persero) Tbk Mentok</w:t>
            </w:r>
          </w:p>
        </w:tc>
        <w:tc>
          <w:tcPr>
            <w:tcW w:w="1420" w:type="dxa"/>
            <w:vAlign w:val="bottom"/>
          </w:tcPr>
          <w:p>
            <w:pPr>
              <w:ind w:left="30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Mongolia, Austria, Luxembourg, South Korea, Guyana,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Brazil, Chile, Laos, Colombia, Ecuador, Argentina, Hungary, Japan,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Germany, Ethiopia,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Russian Federation, Singapore, Vietnam, United States, Egypt,</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Kingdom, Switzerland, Spain, Djibouti, Czech Republic, Zimbabwe,</w:t>
            </w:r>
          </w:p>
        </w:tc>
      </w:tr>
      <w:tr>
        <w:trPr>
          <w:trHeight w:val="230"/>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Tin</w:t>
            </w:r>
          </w:p>
        </w:tc>
        <w:tc>
          <w:tcPr>
            <w:tcW w:w="3000" w:type="dxa"/>
            <w:vAlign w:val="bottom"/>
          </w:tcPr>
          <w:p>
            <w:pPr>
              <w:ind w:left="340"/>
              <w:spacing w:after="0"/>
              <w:rPr>
                <w:sz w:val="20"/>
                <w:szCs w:val="20"/>
                <w:color w:val="auto"/>
              </w:rPr>
            </w:pPr>
            <w:r>
              <w:rPr>
                <w:rFonts w:ascii="Arial" w:cs="Arial" w:eastAsia="Arial" w:hAnsi="Arial"/>
                <w:sz w:val="18"/>
                <w:szCs w:val="18"/>
                <w:color w:val="auto"/>
              </w:rPr>
              <w:t>PT Tinindo Inter Nusa</w:t>
            </w:r>
          </w:p>
        </w:tc>
        <w:tc>
          <w:tcPr>
            <w:tcW w:w="1420" w:type="dxa"/>
            <w:vAlign w:val="bottom"/>
          </w:tcPr>
          <w:p>
            <w:pPr>
              <w:ind w:left="30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Mongolia, Austria, Luxembourg, Brazil, Guyana, South</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Korea, Chile, Laos, Ecuador, Colombia, Argentina, Hungary, Japan,</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Ethiopia, Germany,</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1"/>
              </w:rPr>
              <w:t>Russian Federation, Singapore, Vietnam, United States, Egypt, Sierra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Leone, Madagascar, Ivory Coast, Bolivia, Thailand, Netherlands,</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Ireland, China, Slovakia, Nigeria, France, Rwanda, United Kingdom,</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Switzerland, Spain, Djibouti, Czech Republic, Zimbabwe, Suriname,</w:t>
            </w:r>
          </w:p>
        </w:tc>
      </w:tr>
      <w:tr>
        <w:trPr>
          <w:trHeight w:val="230"/>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Israel, Australia, Estonia, Indonesia</w:t>
            </w:r>
          </w:p>
        </w:tc>
      </w:tr>
      <w:tr>
        <w:trPr>
          <w:trHeight w:val="365"/>
        </w:trPr>
        <w:tc>
          <w:tcPr>
            <w:tcW w:w="6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380" w:type="dxa"/>
            <w:vAlign w:val="bottom"/>
          </w:tcPr>
          <w:p>
            <w:pPr>
              <w:ind w:left="600"/>
              <w:spacing w:after="0"/>
              <w:rPr>
                <w:sz w:val="20"/>
                <w:szCs w:val="20"/>
                <w:color w:val="auto"/>
              </w:rPr>
            </w:pPr>
            <w:r>
              <w:rPr>
                <w:rFonts w:ascii="Arial" w:cs="Arial" w:eastAsia="Arial" w:hAnsi="Arial"/>
                <w:sz w:val="18"/>
                <w:szCs w:val="18"/>
                <w:color w:val="auto"/>
              </w:rPr>
              <w:t>13</w:t>
            </w:r>
          </w:p>
        </w:tc>
      </w:tr>
    </w:tbl>
    <w:p>
      <w:pPr>
        <w:ind w:left="600"/>
        <w:spacing w:after="0"/>
        <w:rPr>
          <w:sz w:val="20"/>
          <w:szCs w:val="20"/>
          <w:color w:val="auto"/>
        </w:rPr>
        <w:sectPr>
          <w:pgSz w:w="11900" w:h="16838" w:orient="portrait"/>
          <w:cols w:equalWidth="0" w:num="1">
            <w:col w:w="11400"/>
          </w:cols>
          <w:pgMar w:left="240" w:top="382"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Tin</w:t>
            </w:r>
          </w:p>
        </w:tc>
        <w:tc>
          <w:tcPr>
            <w:tcW w:w="2980" w:type="dxa"/>
            <w:vAlign w:val="bottom"/>
          </w:tcPr>
          <w:p>
            <w:pPr>
              <w:ind w:left="140"/>
              <w:spacing w:after="0"/>
              <w:rPr>
                <w:sz w:val="20"/>
                <w:szCs w:val="20"/>
                <w:color w:val="auto"/>
              </w:rPr>
            </w:pPr>
            <w:r>
              <w:rPr>
                <w:rFonts w:ascii="Arial" w:cs="Arial" w:eastAsia="Arial" w:hAnsi="Arial"/>
                <w:sz w:val="18"/>
                <w:szCs w:val="18"/>
                <w:color w:val="auto"/>
              </w:rPr>
              <w:t>Thaisarco</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Kazakhstan, Portugal, Austria, Mongolia, Morocco, Luxembourg,</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South Korea, Guyana, Brazil, Chile, Laos, Ecuador, Colombia,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Argentina, Hungary, South Sudan, Japan, Tanzania, Zambia, Congo</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(Brazzaville), India, Canada, Belgium, Namibia, Taiwan, Central</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African Republic, Peru, Ethiopia, Germany, Russian Federation,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Burundi, Singapore, Vietnam, United States, Egypt, Madagascar,</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Sierra Leone, Ivory Coast, Thailand, Bolivia, Netherlands, Ireland,</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China, Poland, Slovakia, Nigeria, France, Rwanda, United Kingdom,</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6"/>
              </w:rPr>
              <w:t>Switzerland, Spain, Djibouti, Czech Republic, Zimbabwe, Uganda,</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rPr>
              <w:t>A.L.M.T. TUNGSTEN Corp.</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Mongolia, Austria, Luxembourg, Brazil, Guyana, South</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Korea, Chile, Laos, Ecuador, Colombia, Argentina, Hungary, Japan,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Ethiopia, Germany,</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Russian Federation, Burundi, Vietnam, Singapore, United States,</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Egypt, Madagascar, Sierra Leone, Ivory Coast, Bolivia, Thailand,</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Netherlands, China, Ireland, Slovakia, Nigeria, France, Niger,</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Republic, Zimbabwe, Suriname, Israel, Australia, Estonia, Indonesia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w w:val="94"/>
              </w:rPr>
              <w:t>Asia Tungsten Products Vietnam Ltd.</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rPr>
              <w:t>Myanmar, Angola, Cambodia, Malaysia, Kazakhstan, Portugal,</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Mongolia, Austria, Luxembourg, Brazil, South Korea, Guyana, Chile,</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Laos, Ecuador, Colombia, Argentina, South Sudan, Hungary, Japan,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Tanzania, Zambia, Congo (Brazzaville), India, Canada, Belgium,</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2"/>
              </w:rPr>
              <w:t>Namibia, Taiwan, Central African Republic, Peru, Ethiopia, Germany,</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Burundi, Russian Federation, Singapore, Vietnam, United States,</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Egypt, Sierra Leone, Madagascar, Ivory Coast, Bolivia, Thailand,</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Netherlands, China, Ireland, Slovakia, Nigeria, France, Rwanda,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Zimbabwe, Uganda, Suriname, Israel, Australia, Indonesia, Estonia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rPr>
              <w:t>Chongyi Zhangyuan Tungsten Co.,</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80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Ltd.</w:t>
            </w: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Mongolia, Austria, Luxembourg, South Korea, Guyana,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6"/>
              </w:rPr>
              <w:t>Brazil, Chile, Laos, Colombia, Ecuador, Argentina, Hungary, India,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Canada, Belgium, Namibia, Taiwan, Peru, Ethiopia, Germany, Russian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Federation, Singapore, Vietnam, United States, Egypt, Sierra Leone,</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Madagascar, Ivory Coast, Bolivia, Thailand, Netherlands, Ireland,</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China, Slovakia, France, Nigeria, Philippines, United Kingdom,</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Switzerland, Spain, Djibouti, Czech Republic, Zimbabwe, Suriname,</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Israel, Australia, Indonesia, Estonia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w w:val="93"/>
              </w:rPr>
              <w:t>Ganzhou Huaxing Tungsten Products</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rPr>
              <w:t>Myanmar, Cambodia, Malaysia, Kazakhstan, Portugal, Austria,</w:t>
            </w:r>
          </w:p>
        </w:tc>
      </w:tr>
      <w:tr>
        <w:trPr>
          <w:trHeight w:val="216"/>
        </w:trPr>
        <w:tc>
          <w:tcPr>
            <w:tcW w:w="80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Co., Ltd.</w:t>
            </w: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Mongolia, Mozambique, Luxembourg, Brazil, Guyana, South Korea,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Chile, Laos, Colombia, Ecuador, Argentina, Hungary, Japan, India,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Canada, Belgium, Namibia, Taiwan, Peru, Germany, Ethiopia, Russian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Federation, Vietnam, Singapore, United States, Egypt, Sierra Leone,</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Madagascar, Ivory Coast, Bolivia, Thailand, Netherlands, China,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Ireland, Slovakia, France, Nigeria, Niger, Rwanda, United Kingdom,</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Switzerland, Spain, Djibouti, Czech Republic, Zimbabwe, Suriname,</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Israel, Australia, Estonia, Indonesia</w:t>
            </w:r>
          </w:p>
        </w:tc>
      </w:tr>
      <w:tr>
        <w:trPr>
          <w:trHeight w:val="365"/>
        </w:trPr>
        <w:tc>
          <w:tcPr>
            <w:tcW w:w="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80" w:type="dxa"/>
            <w:vAlign w:val="bottom"/>
          </w:tcPr>
          <w:p>
            <w:pPr>
              <w:ind w:left="600"/>
              <w:spacing w:after="0"/>
              <w:rPr>
                <w:sz w:val="20"/>
                <w:szCs w:val="20"/>
                <w:color w:val="auto"/>
              </w:rPr>
            </w:pPr>
            <w:r>
              <w:rPr>
                <w:rFonts w:ascii="Arial" w:cs="Arial" w:eastAsia="Arial" w:hAnsi="Arial"/>
                <w:sz w:val="18"/>
                <w:szCs w:val="18"/>
                <w:color w:val="auto"/>
              </w:rPr>
              <w:t>14</w:t>
            </w:r>
          </w:p>
        </w:tc>
      </w:tr>
    </w:tbl>
    <w:p>
      <w:pPr>
        <w:ind w:left="600"/>
        <w:spacing w:after="0"/>
        <w:rPr>
          <w:sz w:val="20"/>
          <w:szCs w:val="20"/>
          <w:color w:val="auto"/>
        </w:rPr>
        <w:sectPr>
          <w:pgSz w:w="11900" w:h="16838" w:orient="portrait"/>
          <w:cols w:equalWidth="0" w:num="1">
            <w:col w:w="11400"/>
          </w:cols>
          <w:pgMar w:left="240" w:top="382"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w w:val="94"/>
              </w:rPr>
              <w:t>Ganzhou Jiangwu Ferrotungsten Co.,</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80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Ltd.</w:t>
            </w: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Mongolia, Austria, Luxembourg, Guyana, Brazil, South</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Korea, Chile, Laos, Ecuador, Colombia, Argentina, Hungary, Japan,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India, Canada, Belgium, Namibia, Taiwan, Peru, Ethiopia, Germany,</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Russian Federation, Singapore, Vietnam, United States, Egypt,</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Netherlands, China, Ireland, Slovakia, France, Nigeria, United</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Kingdom, Switzerland, Spain, Djibouti, Czech Republic, Zimbabwe,</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rPr>
              <w:t>H.C. Starck Tungsten GmbH</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Myanmar, Cambodia, Malaysia, Kazakhstan, Portugal, Mongolia,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Austria, Mozambique, Luxembourg, Brazil, Guyana, South Korea,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5"/>
              </w:rPr>
              <w:t>Chile, Laos, Ecuador, Colombia, Argentina, Hungary, Japan, India,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Canada, Belgium, Namibia, Taiwan, Peru, Germany, Ethiopia, Russian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Federation, Vietnam, Singapore, United States, Egypt, Madagascar,</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Sierra Leone, Ivory Coast, Bolivia, Thailand, Netherlands, Ireland,</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China, Slovakia, France, Nigeria, Rwanda, United Kingdom,</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Switzerland, Spain, Djibouti, Czech Republic, Zimbabwe, Suriname,</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Israel, Australia, Estonia, Indonesia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rPr>
              <w:t>Hydrometallurg, JSC</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DRC- Congo (Kinshasa), Myanmar, Cambodia, Malaysia, Kazakhstan,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Portugal, Austria, Mongolia, Luxembourg, Guyana, Brazil, South</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Korea, Chile, Laos, Ecuador, Argentina, Hungary, Japan, India,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Canada, Belgium, Namibia, Taiwan, Peru, Germany, Ethiopia, Russian</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0"/>
              </w:rPr>
              <w:t>Federation, Vietnam, United States, Egypt, Madagascar, Sierra Leone,</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3"/>
              </w:rPr>
              <w:t>Ivory Coast, Bolivia, Thailand, Netherlands, Ireland, China, Slovakia,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2"/>
              </w:rPr>
              <w:t>Nigeria, France, United Kingdom, Switzerland, Spain, Djibouti, Czech</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Republic, Zimbabwe, Suriname, Israel, Australia, Indonesia, Estonia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w w:val="98"/>
              </w:rPr>
              <w:t>Jiangxi Xinsheng Tungsten Industry</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2"/>
              </w:rPr>
              <w:t>DRC- Congo (Kinshasa), Canada, Russian Federation, China, Brazil,</w:t>
            </w:r>
          </w:p>
        </w:tc>
      </w:tr>
      <w:tr>
        <w:trPr>
          <w:trHeight w:val="230"/>
        </w:trPr>
        <w:tc>
          <w:tcPr>
            <w:tcW w:w="800" w:type="dxa"/>
            <w:vAlign w:val="bottom"/>
          </w:tcPr>
          <w:p>
            <w:pPr>
              <w:spacing w:after="0"/>
              <w:rPr>
                <w:sz w:val="20"/>
                <w:szCs w:val="20"/>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Co., Ltd.</w:t>
            </w: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Malaysia, Australia, Bolivia, Peru, Indonesia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w w:val="93"/>
              </w:rPr>
              <w:t>Vietnam Youngsun Tungsten Industry</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DRC- Congo (Kinshasa), Myanmar, Angola, Cambodia, Malaysia,</w:t>
            </w:r>
          </w:p>
        </w:tc>
      </w:tr>
      <w:tr>
        <w:trPr>
          <w:trHeight w:val="216"/>
        </w:trPr>
        <w:tc>
          <w:tcPr>
            <w:tcW w:w="80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Co., Ltd.</w:t>
            </w: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Kazakhstan, Portugal, Mongolia, Austria, Luxembourg, Guyana,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Brazil, South Korea, Chile, Laos, Ecuador, Colombia, Argentina,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89"/>
              </w:rPr>
              <w:t>Hungary, South Sudan, Japan, Tanzania, Zambia, Congo (Brazzaville),</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4"/>
              </w:rPr>
              <w:t>India, Canada, Belgium, Namibia, Taiwan, Central African Republic,</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Peru, Ethiopia, Germany, Burundi, Russian Federation, Vietnam,</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6"/>
              </w:rPr>
              <w:t>Singapore, United States, Egypt, Madagascar, Sierra Leone, Ivory</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9"/>
              </w:rPr>
              <w:t>Coast, Thailand, Bolivia, Netherlands, Ireland, Slovakia, Nigeria,</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France, Rwanda, United Kingdom, Switzerland, Spain, Djibouti,</w:t>
            </w:r>
          </w:p>
        </w:tc>
      </w:tr>
      <w:tr>
        <w:trPr>
          <w:trHeight w:val="216"/>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w w:val="98"/>
              </w:rPr>
              <w:t>Czech Republic, Uganda, Zimbabwe, Suriname, Israel, Australia,</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Estonia, Indonesia</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Tungsten</w:t>
            </w:r>
          </w:p>
        </w:tc>
        <w:tc>
          <w:tcPr>
            <w:tcW w:w="2980" w:type="dxa"/>
            <w:vAlign w:val="bottom"/>
          </w:tcPr>
          <w:p>
            <w:pPr>
              <w:ind w:left="140"/>
              <w:spacing w:after="0"/>
              <w:rPr>
                <w:sz w:val="20"/>
                <w:szCs w:val="20"/>
                <w:color w:val="auto"/>
              </w:rPr>
            </w:pPr>
            <w:r>
              <w:rPr>
                <w:rFonts w:ascii="Arial" w:cs="Arial" w:eastAsia="Arial" w:hAnsi="Arial"/>
                <w:sz w:val="18"/>
                <w:szCs w:val="18"/>
                <w:color w:val="auto"/>
              </w:rPr>
              <w:t>Xiamen Tungsten (H.C.) Co., Ltd.</w:t>
            </w:r>
          </w:p>
        </w:tc>
        <w:tc>
          <w:tcPr>
            <w:tcW w:w="1240" w:type="dxa"/>
            <w:vAlign w:val="bottom"/>
          </w:tcPr>
          <w:p>
            <w:pPr>
              <w:ind w:left="120"/>
              <w:spacing w:after="0"/>
              <w:rPr>
                <w:sz w:val="20"/>
                <w:szCs w:val="20"/>
                <w:color w:val="auto"/>
              </w:rPr>
            </w:pPr>
            <w:r>
              <w:rPr>
                <w:rFonts w:ascii="Arial" w:cs="Arial" w:eastAsia="Arial" w:hAnsi="Arial"/>
                <w:sz w:val="18"/>
                <w:szCs w:val="18"/>
                <w:color w:val="auto"/>
              </w:rPr>
              <w:t>RMAP</w:t>
            </w:r>
          </w:p>
        </w:tc>
        <w:tc>
          <w:tcPr>
            <w:tcW w:w="6380" w:type="dxa"/>
            <w:vAlign w:val="bottom"/>
          </w:tcPr>
          <w:p>
            <w:pPr>
              <w:ind w:left="1260"/>
              <w:spacing w:after="0"/>
              <w:rPr>
                <w:sz w:val="20"/>
                <w:szCs w:val="20"/>
                <w:color w:val="auto"/>
              </w:rPr>
            </w:pPr>
            <w:r>
              <w:rPr>
                <w:rFonts w:ascii="Arial" w:cs="Arial" w:eastAsia="Arial" w:hAnsi="Arial"/>
                <w:sz w:val="18"/>
                <w:szCs w:val="18"/>
                <w:color w:val="auto"/>
                <w:w w:val="97"/>
              </w:rPr>
              <w:t>Burundi, Russian Federation, Niger, Rwanda, Malaysia, Thailand,</w:t>
            </w:r>
          </w:p>
        </w:tc>
      </w:t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80" w:type="dxa"/>
            <w:vAlign w:val="bottom"/>
          </w:tcPr>
          <w:p>
            <w:pPr>
              <w:ind w:left="1260"/>
              <w:spacing w:after="0"/>
              <w:rPr>
                <w:sz w:val="20"/>
                <w:szCs w:val="20"/>
                <w:color w:val="auto"/>
              </w:rPr>
            </w:pPr>
            <w:r>
              <w:rPr>
                <w:rFonts w:ascii="Arial" w:cs="Arial" w:eastAsia="Arial" w:hAnsi="Arial"/>
                <w:sz w:val="18"/>
                <w:szCs w:val="18"/>
                <w:color w:val="auto"/>
              </w:rPr>
              <w:t>Bolivia, Spain, Canada, China, Brazil, Mexico, Nigeria, Australia</w:t>
            </w:r>
          </w:p>
        </w:tc>
      </w:tr>
      <w:tr>
        <w:trPr>
          <w:trHeight w:val="365"/>
        </w:trPr>
        <w:tc>
          <w:tcPr>
            <w:tcW w:w="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80" w:type="dxa"/>
            <w:vAlign w:val="bottom"/>
          </w:tcPr>
          <w:p>
            <w:pPr>
              <w:ind w:left="600"/>
              <w:spacing w:after="0"/>
              <w:rPr>
                <w:sz w:val="20"/>
                <w:szCs w:val="20"/>
                <w:color w:val="auto"/>
              </w:rPr>
            </w:pPr>
            <w:r>
              <w:rPr>
                <w:rFonts w:ascii="Arial" w:cs="Arial" w:eastAsia="Arial" w:hAnsi="Arial"/>
                <w:sz w:val="18"/>
                <w:szCs w:val="18"/>
                <w:color w:val="auto"/>
              </w:rPr>
              <w:t>15</w:t>
            </w:r>
          </w:p>
        </w:tc>
      </w:tr>
    </w:tbl>
    <w:p>
      <w:pPr>
        <w:ind w:left="600"/>
        <w:spacing w:after="0"/>
        <w:rPr>
          <w:sz w:val="20"/>
          <w:szCs w:val="20"/>
          <w:color w:val="auto"/>
        </w:rPr>
        <w:sectPr>
          <w:pgSz w:w="11900" w:h="16838" w:orient="portrait"/>
          <w:cols w:equalWidth="0" w:num="1">
            <w:col w:w="11400"/>
          </w:cols>
          <w:pgMar w:left="240" w:top="382"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 w:name="page18"/>
    <w:bookmarkEnd w:id="17"/>
    <w:p>
      <w:pPr>
        <w:spacing w:after="0"/>
        <w:tabs>
          <w:tab w:leader="none" w:pos="920" w:val="left"/>
          <w:tab w:leader="none" w:pos="3880" w:val="left"/>
          <w:tab w:leader="none" w:pos="6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Tungsten</w:t>
        <w:tab/>
        <w:t>Xiamen Tungsten Co., Ltd.</w:t>
      </w:r>
      <w:r>
        <w:rPr>
          <w:sz w:val="20"/>
          <w:szCs w:val="20"/>
          <w:color w:val="auto"/>
        </w:rPr>
        <w:tab/>
      </w:r>
      <w:r>
        <w:rPr>
          <w:rFonts w:ascii="Arial" w:cs="Arial" w:eastAsia="Arial" w:hAnsi="Arial"/>
          <w:sz w:val="18"/>
          <w:szCs w:val="18"/>
          <w:color w:val="auto"/>
        </w:rPr>
        <w:t>RMAP</w:t>
      </w:r>
      <w:r>
        <w:rPr>
          <w:sz w:val="20"/>
          <w:szCs w:val="20"/>
          <w:color w:val="auto"/>
        </w:rPr>
        <w:tab/>
      </w:r>
      <w:r>
        <w:rPr>
          <w:rFonts w:ascii="Arial" w:cs="Arial" w:eastAsia="Arial" w:hAnsi="Arial"/>
          <w:sz w:val="16"/>
          <w:szCs w:val="16"/>
          <w:color w:val="auto"/>
        </w:rPr>
        <w:t>DRC- Congo (Kinshasa), Myanmar, Cambodia, Malaysia, Kazakhstan,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Portugal, Mongolia, Austria, Luxembourg, Brazil, Guyana, South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Korea, Chile, Laos, Colombia, Ecuador, Argentina, Hungary, Japan,</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India, Canada, Belgium, Namibia, Taiwan, Peru, Ethiopia, Germany,</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Russian Federation, Singapore, Vietnam, United States, Egypt, Sierra</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Leone, Madagascar, Ivory Coast, Bolivia, Thailand, Netherlands,</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Ireland, China, Slovakia, Nigeria, France, Niger, Rwanda, United</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Kingdom, Switzerland, Spain, Djibouti, Czech Republic, Mexico,</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Zimbabwe, Suriname, Israel, Australia, Estonia, Indonesia</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which is as of May 1, 2018, lists the SORs known to us to have supplied necessary conflict minerals contained in our covered products but that did not source conflict minerals from any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Mine Countries of Origin</w:t>
            </w: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Advanced Chemical Company</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rPr>
              <w:t>United States, Peru,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Aida Chemical Industries Co., Ltd.</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rPr>
              <w:t>Canada, Japan, Bolivia, Peru, Portugal, Spain</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Allgemeine Gold-und</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5600" w:type="dxa"/>
            <w:vAlign w:val="bottom"/>
          </w:tcPr>
          <w:p>
            <w:pPr>
              <w:spacing w:after="0"/>
              <w:rPr>
                <w:sz w:val="20"/>
                <w:szCs w:val="20"/>
                <w:color w:val="auto"/>
              </w:rPr>
            </w:pPr>
            <w:r>
              <w:rPr>
                <w:rFonts w:ascii="Arial" w:cs="Arial" w:eastAsia="Arial" w:hAnsi="Arial"/>
                <w:sz w:val="18"/>
                <w:szCs w:val="18"/>
                <w:color w:val="auto"/>
                <w:w w:val="97"/>
              </w:rPr>
              <w:t>Philippines, Japan, China, Brazil, Sierra Leone, Thailand, Nigeria, Laos,</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Silberscheideanstalt A.G.</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AngloGold Ashanti Corrego do Sitio</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Brazil, South Africa,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Mineracao</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Argor-Heraeus S.A.</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w w:val="95"/>
              </w:rPr>
              <w:t>Argentina, Singapore, Hong Kong, Philippines, China, South Africa, Chile,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Switzerland,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Asahi Pretec Corp.</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w w:val="92"/>
              </w:rPr>
              <w:t>Myanmar, Papua New Guinea, Cambodia, Malaysia, Kazakhstan, Portugal,</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Mongolia, Austria, Luxembourg, South Korea, Brazil, Guyana, Chile, Laos,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Ecuador, Colombia, Argentina, Hungary, Japan, India, Canada, Belgium,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Namibia, Taiwan, Peru, Ethiopia, Germany, Russian Federation, Singapore,</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Vietnam, Hong Kong, United States, Guinea, Egypt, Madagascar, Sierra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Leone, Ivory Coast, Bolivia, Thailand, Netherlands, China, Ireland, Slovakia,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Nigeria, France, Uzbekistan, United Kingdom, Spain, Djibouti, Czech</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Republic, Zimbabwe, Mexico, Suriname, Israel, Australia, Estonia,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Asahi Refining Canada Ltd.</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Canada, Japan, Australia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Asahi Refining USA Inc.</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w w:val="92"/>
              </w:rPr>
              <w:t>Canada, Hong Kong, United States, China, Uzbekistan, Bermuda, Malaysia,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Chile, Peru,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6"/>
              </w:rPr>
              <w:t>Atasay Kuyumculuk Sanayi Ve Ticaret</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Turkey, Brazil, Australia, Indonesia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Aurubis AG</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Canada, Hong Kong, United States, Japan, China, Brazil, Germany,</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Bangko Sentral ng Pilipinas</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Canada, Philippines, China, Brazil, Italy, Indonesia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(Central Bank of the Philippines)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Boliden AB</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Canada, Sweden, China, Ireland, Finland,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C. Hafner GmbH + Co. KG</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RJC, RMAP</w:t>
            </w:r>
          </w:p>
        </w:tc>
        <w:tc>
          <w:tcPr>
            <w:tcW w:w="5600" w:type="dxa"/>
            <w:vAlign w:val="bottom"/>
          </w:tcPr>
          <w:p>
            <w:pPr>
              <w:spacing w:after="0"/>
              <w:rPr>
                <w:sz w:val="20"/>
                <w:szCs w:val="20"/>
                <w:color w:val="auto"/>
              </w:rPr>
            </w:pPr>
            <w:r>
              <w:rPr>
                <w:rFonts w:ascii="Arial" w:cs="Arial" w:eastAsia="Arial" w:hAnsi="Arial"/>
                <w:sz w:val="18"/>
                <w:szCs w:val="18"/>
                <w:color w:val="auto"/>
              </w:rPr>
              <w:t>China, Japan, Brazil, Chile, Australia, Peru, Germany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Caridad</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 Japan, South Korea, Mexico, Chile, Bolivia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Cendres + Metaux S.A.</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rPr>
              <w:t>Australia, Switzerland, Germany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Chimet S.p.A.</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Turkey, Mexico, Italy, Australia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Chugai Mining</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United States, Japan, Australia, Chile, Peru,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Daejin Indus Co., Ltd.</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rPr>
              <w:t>Japan, South Korea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Daye Non-Ferrous Metals Mining Ltd.</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Singapore, Hong Kong, United States, Japan, Uzbekistan,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Malaysia, Switzerland, Canada, Belgium, China, South Africa, Mexico,</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Chile, Australia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DODUCO Contacts and Refining</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w w:val="95"/>
              </w:rPr>
              <w:t>Canada, Hong Kong, United States, Japan, China, Chile, Australia, Peru,</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GmbH</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bl>
    <w:p>
      <w:pPr>
        <w:spacing w:after="0" w:line="134" w:lineRule="exact"/>
        <w:rPr>
          <w:sz w:val="20"/>
          <w:szCs w:val="20"/>
          <w:color w:val="auto"/>
        </w:rPr>
      </w:pPr>
    </w:p>
    <w:p>
      <w:pPr>
        <w:sectPr>
          <w:pgSz w:w="11900" w:h="16838" w:orient="portrait"/>
          <w:cols w:equalWidth="0" w:num="1">
            <w:col w:w="11420"/>
          </w:cols>
          <w:pgMar w:left="240" w:top="382" w:right="239"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82"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6"/>
                <w:szCs w:val="16"/>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Mine Countries of Origin</w:t>
            </w:r>
          </w:p>
        </w:tc>
      </w:tr>
      <w:tr>
        <w:trPr>
          <w:trHeight w:val="29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Dowa</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Austria, Mongolia,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South Korea, Brazil, Guyana,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Ethiopia, Germany, Russian Federation, Singapore, Vietnam, Hong Kong,</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United States, Egypt, Sierra Leone, Madagascar, Ivory Coast,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Bolivia, Netherlands, China, Ireland, Slovakia, France, Nigeria, Philippines,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United Kingdom, Switzerland, Spain, Djibouti, Czech Republic, Zimbabwe,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Mexico, Suriname, Israel, Australia, Estonia,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DSC (Do Sung Corporation)</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South Korea, Brazil, South Africa, Australia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Eco-System Recycling Co., Ltd.</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Mozambique, Japan, Bolivia, Australia,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Elemetal Refining, LLC</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Guyana, Brazil, South Korea,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Germany, Ethiopia, Russian Federation, Singapore, Vietnam, Hong Kong,</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United States, Egypt, Sierra Leone, Madagascar, Ivory Coast,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Bolivia, Netherlands, China, Ireland, Slovakia, Nigeria, France, Philippines,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Rwanda, United Kingdom, Switzerland, Spain, Djibouti, Czech Republic,</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Emirates Gold DMCC</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Fidelity Printers and Refiners Ltd.</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Zimbabwe</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Geib Refining Corporation</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China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Gold Refinery of Zijin Mining Group</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Papua New Guinea, Russian Federation, Japan, Malaysia, Bolivia, Canada,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Mongolia, Mozambique, China, Poland, Brazil, Australia, Peru, Tajikistan,</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Kyrgyzstan,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Great Wall Precious Metals Co., Ltd.</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Russian Federation, 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of CBPM</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Guangdong Jinding Gold Limited</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 Taiwan, Brazil, Australia, Peru</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Guoda Safina High-Tech</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Environmental Refinery 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Hangzhou Fuchunjiang Smelting Co.,</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 South Korea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Heimerle + Meule GmbH</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Hong Kong, Philippines, Malaysia, Canada, Mongolia, Austria,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Mozambique, China, Mexico, South Africa, Jersey, Australia, Germany</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Heraeus Metals Hong Kong Ltd.</w:t>
            </w:r>
          </w:p>
        </w:tc>
        <w:tc>
          <w:tcPr>
            <w:tcW w:w="1620" w:type="dxa"/>
            <w:vAlign w:val="bottom"/>
          </w:tcPr>
          <w:p>
            <w:pPr>
              <w:spacing w:after="0"/>
              <w:rPr>
                <w:sz w:val="20"/>
                <w:szCs w:val="20"/>
                <w:color w:val="auto"/>
              </w:rPr>
            </w:pPr>
            <w:r>
              <w:rPr>
                <w:rFonts w:ascii="Arial" w:cs="Arial" w:eastAsia="Arial" w:hAnsi="Arial"/>
                <w:sz w:val="18"/>
                <w:szCs w:val="18"/>
                <w:color w:val="auto"/>
              </w:rPr>
              <w:t>LBMA, RJC,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Vietnam, Singapore, Hong Kong, Philippines, Japan, Malaysia,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Switzerland, Canada, Mozambique, China, Taiwan, South Africa,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France, Laos, Peru, Germany</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5"/>
              </w:rPr>
              <w:t>Heraeus Precious Metals GmbH &amp; Co.</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Hong Kong, United States, Malaysia, United Arab Emirates, Bolivia,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KG</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Switzerland, Saudi Arabia, Turkey, China, Jersey, Chile, Australia, Peru,</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Hunan Chenzhou Mining Co., Ltd.</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Mozambique, China, Australia, Switzerland</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HwaSeong CJ CO., LTD.</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Canada, Hong Kong, United States, Japan, China, South Korea, Mexico,</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Inner Mongolia Qiankun Gold and</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Mongolia, China, Mexico</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Silver Refinery Share 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Ishifuku Metal Industry Co., Ltd.</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United States, China, Japan, Australia</w:t>
            </w:r>
          </w:p>
        </w:tc>
      </w:tr>
      <w:tr>
        <w:trPr>
          <w:trHeight w:val="365"/>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5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 w:name="page20"/>
    <w:bookmarkEnd w:id="19"/>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6"/>
                <w:szCs w:val="16"/>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Mine Countries of Origin</w:t>
            </w: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Istanbul Gold Refinery</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Turkey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Japan Mint</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Japan, Italy, Mexico, Australia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JSC Ekaterinburg Non-Ferrous Metal</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Russian Federation, Japan,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Processing Plant</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JSC Uralelectromed</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Russian Federation, Taiwan, Brazil, Australia, Switzerland</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JX Nippon Mining &amp; Metals Co., Ltd.</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Saudi Arabia, Taiwan, United Kingdom, Chile,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Kaloti Precious Metals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Kazakhmys Smelting LLC</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Kazakhstan, Kyrgyzstan</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Kazzinc</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 Japan, Taiwan, Kazakhstan, Australia, Peru, Switzerland</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Kennecott Utah Copper LLC</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China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KGHM Polska Miedz Spolka Akcyjna</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Chile</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Kojima Chemicals Co., Ltd.</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Guyana, Brazil, South Korea,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Ethiopia, Germany, Russian Federation, Singapore, Vietnam, United States,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Egypt, Madagascar, Sierra Leone, Ivory Coast, Bolivia,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Netherlands, China, Ireland, Slovakia, France, Nigeria,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Switzerland, Spain, Djibouti, Czech Republic, Zimbabwe, Suriname, Israel,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Kyrgyzaltyn JSC</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Brazil, Australia, Kyrgyzstan</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L’azurde Company For Jewelry</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Saudi Arabia, Canada, Japan, Taiwan, Australia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Lingbao Gold Co., Ltd.</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Lingbao Jinyuan Tonghui Refinery</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LS-NIKKO Copper Inc.</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Singapore, Hong Kong, United States, Japan, Kazakhstan, India, 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Brazil, South Korea, Mexico, South Africa, Australia, Chile, Peru,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Luoyang Zijin Yinhui Gold Refinery</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Materion</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Guyana, Brazil, South Korea,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Ethiopia, Germany, Russian Federation, Singapore, Vietnam, United States,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Egypt, Sierra Leone, Madagascar, Ivory Coast, Thailand, Bolivia,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Netherlands, Ireland, China, Slovakia, Nigeria, France,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Switzerland, Spain, Djibouti, Czech Republic, Zimbabwe, Suriname, Israel,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Matsuda Sangyo Co., Ltd.</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Hong Kong, United States, China, Japan, United Kingdom,</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Metalor Technologies (Hong Kong)</w:t>
            </w:r>
          </w:p>
        </w:tc>
        <w:tc>
          <w:tcPr>
            <w:tcW w:w="1620" w:type="dxa"/>
            <w:vAlign w:val="bottom"/>
          </w:tcPr>
          <w:p>
            <w:pPr>
              <w:spacing w:after="0"/>
              <w:rPr>
                <w:sz w:val="20"/>
                <w:szCs w:val="20"/>
                <w:color w:val="auto"/>
              </w:rPr>
            </w:pPr>
            <w:r>
              <w:rPr>
                <w:rFonts w:ascii="Arial" w:cs="Arial" w:eastAsia="Arial" w:hAnsi="Arial"/>
                <w:sz w:val="18"/>
                <w:szCs w:val="18"/>
                <w:color w:val="auto"/>
              </w:rPr>
              <w:t>LBMA, RJC,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Hong Kong, United States, Japan, China, Australia, Switzerland, Peru</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3"/>
              </w:rPr>
              <w:t>Metalor Technologies (Singapore) Pte.,</w:t>
            </w:r>
          </w:p>
        </w:tc>
        <w:tc>
          <w:tcPr>
            <w:tcW w:w="1620" w:type="dxa"/>
            <w:vAlign w:val="bottom"/>
          </w:tcPr>
          <w:p>
            <w:pPr>
              <w:spacing w:after="0"/>
              <w:rPr>
                <w:sz w:val="20"/>
                <w:szCs w:val="20"/>
                <w:color w:val="auto"/>
              </w:rPr>
            </w:pPr>
            <w:r>
              <w:rPr>
                <w:rFonts w:ascii="Arial" w:cs="Arial" w:eastAsia="Arial" w:hAnsi="Arial"/>
                <w:sz w:val="18"/>
                <w:szCs w:val="18"/>
                <w:color w:val="auto"/>
              </w:rPr>
              <w:t>LBMA, RJC,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Singapore, China, Switzerland</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Metalor Technologies (Suzhou) Ltd.</w:t>
            </w:r>
          </w:p>
        </w:tc>
        <w:tc>
          <w:tcPr>
            <w:tcW w:w="1620" w:type="dxa"/>
            <w:vAlign w:val="bottom"/>
          </w:tcPr>
          <w:p>
            <w:pPr>
              <w:spacing w:after="0"/>
              <w:rPr>
                <w:sz w:val="20"/>
                <w:szCs w:val="20"/>
                <w:color w:val="auto"/>
              </w:rPr>
            </w:pPr>
            <w:r>
              <w:rPr>
                <w:rFonts w:ascii="Arial" w:cs="Arial" w:eastAsia="Arial" w:hAnsi="Arial"/>
                <w:sz w:val="18"/>
                <w:szCs w:val="18"/>
                <w:color w:val="auto"/>
              </w:rPr>
              <w:t>RJC,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 South Africa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Metalor Technologies S.A.</w:t>
            </w:r>
          </w:p>
        </w:tc>
        <w:tc>
          <w:tcPr>
            <w:tcW w:w="1620" w:type="dxa"/>
            <w:vAlign w:val="bottom"/>
          </w:tcPr>
          <w:p>
            <w:pPr>
              <w:spacing w:after="0"/>
              <w:rPr>
                <w:sz w:val="20"/>
                <w:szCs w:val="20"/>
                <w:color w:val="auto"/>
              </w:rPr>
            </w:pPr>
            <w:r>
              <w:rPr>
                <w:rFonts w:ascii="Arial" w:cs="Arial" w:eastAsia="Arial" w:hAnsi="Arial"/>
                <w:sz w:val="18"/>
                <w:szCs w:val="18"/>
                <w:color w:val="auto"/>
              </w:rPr>
              <w:t>LBMA, RJC,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Sweden, Hong Kong, Belgium, United States, China, United</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Kingdom, Ivory Coast, Switzerland,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Metalor USA Refining Corporation</w:t>
            </w:r>
          </w:p>
        </w:tc>
        <w:tc>
          <w:tcPr>
            <w:tcW w:w="1620" w:type="dxa"/>
            <w:vAlign w:val="bottom"/>
          </w:tcPr>
          <w:p>
            <w:pPr>
              <w:spacing w:after="0"/>
              <w:rPr>
                <w:sz w:val="20"/>
                <w:szCs w:val="20"/>
                <w:color w:val="auto"/>
              </w:rPr>
            </w:pPr>
            <w:r>
              <w:rPr>
                <w:rFonts w:ascii="Arial" w:cs="Arial" w:eastAsia="Arial" w:hAnsi="Arial"/>
                <w:sz w:val="18"/>
                <w:szCs w:val="18"/>
                <w:color w:val="auto"/>
              </w:rPr>
              <w:t>LBMA, RJC,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United States, China, Mexico, Switzerland</w:t>
            </w:r>
          </w:p>
        </w:tc>
      </w:tr>
      <w:tr>
        <w:trPr>
          <w:trHeight w:val="365"/>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5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 w:name="page21"/>
    <w:bookmarkEnd w:id="20"/>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Mine Countries of Origin</w:t>
            </w:r>
          </w:p>
        </w:tc>
      </w:tr>
      <w:tr>
        <w:trPr>
          <w:trHeight w:val="29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6"/>
              </w:rPr>
              <w:t>Metalurgica Met-Mex Penoles S.A. De</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China, Mexico</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C.V.</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Mitsui Mining and Smelting Co., Ltd.</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Canada, Japan, China, Australia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MMTC-PAMP India Pvt., Ltd.</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United States, India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Morris and Watson</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New Zealand, United States</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Moscow Special Alloys Processing</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Russian Federation, China, Bolivia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Plant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7"/>
              </w:rPr>
              <w:t>Nadir Metal Rafineri San. Ve Tic. A.S.</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Saudi Arabia, Turkey, United Arab Emirates</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Navoi Mining and Metallurgical</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China, Uzbekistan, Indonesia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Combinat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Ogussa Osterreichische Gold- und</w:t>
            </w:r>
          </w:p>
        </w:tc>
        <w:tc>
          <w:tcPr>
            <w:tcW w:w="1920" w:type="dxa"/>
            <w:vAlign w:val="bottom"/>
            <w:gridSpan w:val="2"/>
          </w:tcPr>
          <w:p>
            <w:pPr>
              <w:spacing w:after="0"/>
              <w:rPr>
                <w:sz w:val="20"/>
                <w:szCs w:val="20"/>
                <w:color w:val="auto"/>
              </w:rPr>
            </w:pPr>
            <w:r>
              <w:rPr>
                <w:rFonts w:ascii="Arial" w:cs="Arial" w:eastAsia="Arial" w:hAnsi="Arial"/>
                <w:sz w:val="18"/>
                <w:szCs w:val="18"/>
                <w:color w:val="auto"/>
              </w:rPr>
              <w:t>RJC, RMAP</w:t>
            </w:r>
          </w:p>
        </w:tc>
        <w:tc>
          <w:tcPr>
            <w:tcW w:w="5600" w:type="dxa"/>
            <w:vAlign w:val="bottom"/>
          </w:tcPr>
          <w:p>
            <w:pPr>
              <w:spacing w:after="0"/>
              <w:rPr>
                <w:sz w:val="20"/>
                <w:szCs w:val="20"/>
                <w:color w:val="auto"/>
              </w:rPr>
            </w:pPr>
            <w:r>
              <w:rPr>
                <w:rFonts w:ascii="Arial" w:cs="Arial" w:eastAsia="Arial" w:hAnsi="Arial"/>
                <w:sz w:val="18"/>
                <w:szCs w:val="18"/>
                <w:color w:val="auto"/>
              </w:rPr>
              <w:t>Austria, Indonesia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Silber-Scheideanstalt GmbH</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Ohura Precious Metal Industry Co.,</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Ltd.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Brazil, Guyana, South Korea,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South</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Africa, Peru, Ethiopia, Germany, Russian Federation, Vietnam, Singapore,</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Egypt, Sierra Leone, Madagascar, Ivory Coast, Bolivia,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Thailand, Netherlands, Ireland, China, Slovakia, Nigeria, France, United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Kingdom, Switzerland, Spain, Djibouti, Czech Republic, Zimbabwe,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OJSC “The Gulidov Krasnoyarsk</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Non-Ferrous Metals Plant” (OJSC</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Krastsvetmet)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OJSC Novosibirsk Refinery</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w w:val="98"/>
              </w:rPr>
              <w:t>Canada, Russian Federation, China, Philippines, Brazil, Italy, Malaysia,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Bolivia, Peru, Switzerland</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PAMP S.A.</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w w:val="91"/>
              </w:rPr>
              <w:t>Canada, Hong Kong, United States, Japan, China, United Kingdom, Mexico,</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South Africa, Australia, Switzerland,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Penglai Penggang Gold Industry Co.,</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Ltd.</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Prioksky Plant of Non-Ferrous Metals</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w w:val="93"/>
              </w:rPr>
              <w:t>Russian Federation, Japan, Rwanda, Sierra Leone, Bolivia, India, Canada,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Mozambique, Namibia, China, Brazil, Zimbabwe, Australia, Germany,</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Ethiopia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PT Aneka Tambang (Persero) Tbk</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Canada, Brazil, Malaysia, Australia, Bolivia, Chile, Switzerland, Peru,</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Ethiopia, Germany,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PX Precinox S.A.</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Canada, Mozambique, Australia, Switzerland</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Refinery of Seemine Gold Co., Ltd.</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Republic Metals Corporation</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Royal Canadian Mint</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Canada, United States, Japan, Guyana, Mexico, Suriname, Chile,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Switzerland, Peru, Germany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Sabin Metal Corp.</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Canada, Russian Federation, United States, China, Brazil, Mexico, Portugal</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Safimet S.p.A</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rPr>
              <w:t>Italy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SAFINA A.S.</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Samduck Precious Metals</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rPr>
              <w:t>United States, Japan, Rwanda, Sierra Leone, Bolivia, Thailand, India,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Canada, Mozambique, China, Namibia, South Korea, Brazil, Zimbabwe,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Ethiopia, Germany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SAMWON METALS Corp.</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Sweden, Hong Kong, China, South Korea, Australia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SAXONIA Edelmetalle GmbH</w:t>
            </w:r>
          </w:p>
        </w:tc>
        <w:tc>
          <w:tcPr>
            <w:tcW w:w="1920" w:type="dxa"/>
            <w:vAlign w:val="bottom"/>
            <w:gridSpan w:val="2"/>
          </w:tcPr>
          <w:p>
            <w:pPr>
              <w:spacing w:after="0"/>
              <w:rPr>
                <w:sz w:val="20"/>
                <w:szCs w:val="20"/>
                <w:color w:val="auto"/>
              </w:rPr>
            </w:pPr>
            <w:r>
              <w:rPr>
                <w:rFonts w:ascii="Arial" w:cs="Arial" w:eastAsia="Arial" w:hAnsi="Arial"/>
                <w:sz w:val="18"/>
                <w:szCs w:val="18"/>
                <w:color w:val="auto"/>
              </w:rPr>
              <w:t>RMAP</w:t>
            </w: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SEMPSA Joyeria Plateria S.A.</w:t>
            </w:r>
          </w:p>
        </w:tc>
        <w:tc>
          <w:tcPr>
            <w:tcW w:w="1920" w:type="dxa"/>
            <w:vAlign w:val="bottom"/>
            <w:gridSpan w:val="2"/>
          </w:tcPr>
          <w:p>
            <w:pPr>
              <w:spacing w:after="0"/>
              <w:rPr>
                <w:sz w:val="20"/>
                <w:szCs w:val="20"/>
                <w:color w:val="auto"/>
              </w:rPr>
            </w:pPr>
            <w:r>
              <w:rPr>
                <w:rFonts w:ascii="Arial" w:cs="Arial" w:eastAsia="Arial" w:hAnsi="Arial"/>
                <w:sz w:val="18"/>
                <w:szCs w:val="18"/>
                <w:color w:val="auto"/>
              </w:rPr>
              <w:t>LBMA, RMAP</w:t>
            </w:r>
          </w:p>
        </w:tc>
        <w:tc>
          <w:tcPr>
            <w:tcW w:w="5600" w:type="dxa"/>
            <w:vAlign w:val="bottom"/>
          </w:tcPr>
          <w:p>
            <w:pPr>
              <w:spacing w:after="0"/>
              <w:rPr>
                <w:sz w:val="20"/>
                <w:szCs w:val="20"/>
                <w:color w:val="auto"/>
              </w:rPr>
            </w:pPr>
            <w:r>
              <w:rPr>
                <w:rFonts w:ascii="Arial" w:cs="Arial" w:eastAsia="Arial" w:hAnsi="Arial"/>
                <w:sz w:val="18"/>
                <w:szCs w:val="18"/>
                <w:color w:val="auto"/>
              </w:rPr>
              <w:t>Spain</w:t>
            </w: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65"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6"/>
                <w:szCs w:val="16"/>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Mine Countries of Origin</w:t>
            </w:r>
          </w:p>
        </w:tc>
      </w:tr>
      <w:tr>
        <w:trPr>
          <w:trHeight w:val="29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Shandong Tiancheng Biological Gold</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Industrial 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Shandong Zhaojin Gold &amp; Silver</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Japan, 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Refinery 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Singway Technology Co., Ltd.</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Guyana, South Korea, Brazil,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Ethiopia, Germany, Russian Federation, Singapore, Vietnam, United States,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Egypt, Sierra Leone, Madagascar, Ivory Coast, Bolivia,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Netherlands, China, Slovakia, Nigeria, France,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Switzerland, Spain, Djibouti, Czech Republic, Zimbabwe, Suriname, Israel,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SOE Shyolkovsky Factory of</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Russian Federation, Taiwan, Germany</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Secondary Precious Metals</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Solar Applied Materials Technology</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Austria, Mongolia,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Corp.</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Brazil, Guyana, South Korea,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Germany, Ethiopia, Russian Federation, Vietnam, Singapore, Hong Kong,</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Egypt, Sierra Leone, Madagascar, Ivory Coast, Bolivia,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Thailand, Netherlands, Ireland, China, Slovakia, France, Nigeria, United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Kingdom, Switzerland, Djibouti, Czech Republic, Zimbabwe, Suriname,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Israel, Australia, Indonesia, Estonia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Sumitomo Metal Mining Co., Ltd.</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Philippines, Japan, Australia, Chile,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T.C.A S.p.A</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Italy</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Tanaka Kikinzoku Kogyo K.K.</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Singapore, Hong Kong, United States, Japan, Uzbekistan,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Malaysia, Bolivia, Switzerland, Canada, Belgium, China, Mexico, South</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Africa, Chile, Australia,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The Refinery of Shandong Gold</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 Peru</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Mining 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Tokuriki Honten Co., Ltd.</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Canada, Hong Kong, United States, China, Japan, Chile, Australia, Peru</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Tongling Nonferrous Metals Group</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Torecom</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Russian Federation, China, Brazil, South Korea, Mexico, Chile, Bolivia,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Umicore Brasil Ltda.</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Austria, Japan, Brazil</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Umicore Precious Metals Thailand</w:t>
            </w:r>
          </w:p>
        </w:tc>
        <w:tc>
          <w:tcPr>
            <w:tcW w:w="1620" w:type="dxa"/>
            <w:vAlign w:val="bottom"/>
          </w:tcPr>
          <w:p>
            <w:pPr>
              <w:spacing w:after="0"/>
              <w:rPr>
                <w:sz w:val="20"/>
                <w:szCs w:val="20"/>
                <w:color w:val="auto"/>
              </w:rPr>
            </w:pPr>
            <w:r>
              <w:rPr>
                <w:rFonts w:ascii="Arial" w:cs="Arial" w:eastAsia="Arial" w:hAnsi="Arial"/>
                <w:sz w:val="18"/>
                <w:szCs w:val="18"/>
                <w:color w:val="auto"/>
              </w:rPr>
              <w:t>RJC,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China, Thailand, Peru</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Umicore S.A. Business Unit Precious</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China, Japan, Bolivia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Metals Refining</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United Precious Metal Refining, Inc.</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Russian Federation, Belgium, United States, China, Japan,</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Bolivia, Thailand, Switzerland, Peru,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Valcambi S.A.</w:t>
            </w:r>
          </w:p>
        </w:tc>
        <w:tc>
          <w:tcPr>
            <w:tcW w:w="1620" w:type="dxa"/>
            <w:vAlign w:val="bottom"/>
          </w:tcPr>
          <w:p>
            <w:pPr>
              <w:spacing w:after="0"/>
              <w:rPr>
                <w:sz w:val="20"/>
                <w:szCs w:val="20"/>
                <w:color w:val="auto"/>
              </w:rPr>
            </w:pPr>
            <w:r>
              <w:rPr>
                <w:rFonts w:ascii="Arial" w:cs="Arial" w:eastAsia="Arial" w:hAnsi="Arial"/>
                <w:sz w:val="18"/>
                <w:szCs w:val="18"/>
                <w:color w:val="auto"/>
              </w:rPr>
              <w:t>LBMA, RJC,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Hong Kong, China, Japan, Taiwan, Australia, Switzerland, Germany</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Western Australian Mint (T/a The</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Papua New Guinea, Hong Kong, Guinea, China, South Korea,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Perth Mint)</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Chile, Bolivia, Peru</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WIELAND Edelmetalle GmbH</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Yamakin Co., Ltd.</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Mozambique, United States, China, Japan, Brazil, Australia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Yokohama Metal Co., Ltd.</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 Japan, Brazil, Malaysia, Spain</w:t>
            </w:r>
          </w:p>
        </w:tc>
      </w:tr>
      <w:tr>
        <w:trPr>
          <w:trHeight w:val="365"/>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5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 w:name="page23"/>
    <w:bookmarkEnd w:id="22"/>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6"/>
                <w:szCs w:val="16"/>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Mine Countries of Origin</w:t>
            </w: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rPr>
              <w:t>Yunnan Copper Industry Co., Ltd.</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 China, Chile</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Gold</w:t>
            </w: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Zhongyuan Gold Smelter of Zhongjin</w:t>
            </w:r>
          </w:p>
        </w:tc>
        <w:tc>
          <w:tcPr>
            <w:tcW w:w="1620" w:type="dxa"/>
            <w:vAlign w:val="bottom"/>
          </w:tcPr>
          <w:p>
            <w:pPr>
              <w:spacing w:after="0"/>
              <w:rPr>
                <w:sz w:val="20"/>
                <w:szCs w:val="20"/>
                <w:color w:val="auto"/>
              </w:rPr>
            </w:pPr>
            <w:r>
              <w:rPr>
                <w:rFonts w:ascii="Arial" w:cs="Arial" w:eastAsia="Arial" w:hAnsi="Arial"/>
                <w:sz w:val="18"/>
                <w:szCs w:val="18"/>
                <w:color w:val="auto"/>
              </w:rPr>
              <w:t>LBMA, 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Canada, Mongolia, Mozambique, Philippines, China, Thailand,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Gold Corporation</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Switzerland, Laos, Germany, Ethiopia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D Block Metals, LLC</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Exotech Inc.</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Mozambique, Luxembourg, Guyana, South Korea, Brazil, Chile, Laos,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Ecuador, Colombia, Argentina, Hungary, Japan, India, Canada, Belgium,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Namibia, Taiwan, Peru, Ethiopia, Germany, Russian Federation, Vietnam,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Singapore, United States, Egypt, Madagascar, Sierra Leone, Ivory Coast,</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Bolivia, Thailand, Netherlands, China, Ireland, Slovakia, Nigeria, France,</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United Kingdom, Switzerland, Spain, Djibouti, Czech Republic, Zimbabwe,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FIR Metals &amp; Resource Ltd.</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Brazil, Guyana, South Korea, Chile, Laos, Colombia, Ecuador,</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Germany, Ethiopia, Russian Federation, Singapore, Vietnam, United States,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Egypt, Madagascar, Sierra Leone, Ivory Coast, Bolivia,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Netherlands, China, Ireland, Slovakia, Nigeria, France,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Switzerland, Spain, Djibouti, Czech Republic, Zimbabwe, Israel, Australia,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Indonesia, Estonia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Hengyang King Xing Lifeng New</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Austria, Mongolia,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Materials Co., Ltd.</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Brazil, South Korea, Guyana, Chile, Laos, Colombia, Ecuador,</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Germany, Ethiopia, Russian Federation, Vietnam, Singapore, United States,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Egypt, Sierra Leone, Madagascar, Ivory Coast, Bolivia,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Netherlands, China, Ireland, Slovakia, Nigeria, France,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Switzerland, Spain, Djibouti, Czech Republic, Zimbabwe, Suriname, Israel,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Metallurgical Products India Pvt., Ltd.</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Austria, Mongolia,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Mozambique, Luxembourg, South Korea, Guyana, Brazil, Jersey, Chile,</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Laos, Colombia, Ecuador, Argentina, Hungary, Japan, India, Canada,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Belgium, Namibia, Taiwan, South Africa, Peru, Ethiopia, Germany, Russian</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Federation, Singapore, Vietnam, United States, Egypt, Sierra Leone,</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Madagascar, Ivory Coast, Thailand, Bolivia, Netherlands, Ireland, China,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Slovakia, France, Nigeria, United Kingdom, Kenya, Switzerland, Spain,</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Djibouti, Czech Republic, Zimbabwe, Suriname, Israel, Australia, Estonia,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Mineracao Taboca S.A.</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Brazil</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Mitsui Mining and Smelting Co., Ltd.</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Japan, Brazil, United Kingdom, Malaysia, Chile, Australia</w:t>
            </w:r>
          </w:p>
        </w:tc>
      </w:tr>
      <w:tr>
        <w:trPr>
          <w:trHeight w:val="365"/>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5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 w:name="page24"/>
    <w:bookmarkEnd w:id="23"/>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6"/>
                <w:szCs w:val="16"/>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Mine Countries of Origin</w:t>
            </w:r>
          </w:p>
        </w:tc>
      </w:tr>
      <w:tr>
        <w:trPr>
          <w:trHeight w:val="29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NPM Silmet AS</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South Korea, Brazil, Guyana,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Ethiopia, Germany, Russian Federation, Singapore, Vietnam, United States,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Egypt, Madagascar, Sierra Leone, Ivory Coast, Thailand, Bolivia,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Netherlands, Ireland, China, Slovakia, France, Nigeria,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Switzerland, Spain, Djibouti, Czech Republic, Zimbabwe, Suriname, Israel,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Estonia, Indonesia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QuantumClean</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Brazil, Poland</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RFH Tantalum Smeltery Co.,</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Russian Federation, China,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Ltd./Yanling Jincheng Tantalum &amp;</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Niobium 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Solikamsk Magnesium Works OAO</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Brazil, South Korea, Guyana,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Germany, Ethiopia, Russian Federation, Singapore, Vietnam, United States,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Egypt, Madagascar, Sierra Leone, Ivory Coast, Bolivia,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Netherlands, Ireland, China, Slovakia, France, Nigeria,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Switzerland, Djibouti, Czech Republic, Zimbabwe, Suriname, Israel,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Telex Metals</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Luxembourg, Guyana, South Korea, Brazil, Chile, Laos, Ecuador,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Argentina, Hungary, Japan, India, Canada, Belgium, Namibia, Taiwan, Peru,</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Ethiopia, Germany, Russian Federation, Vietnam, Singapore, United States,</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Egypt, Madagascar, Sierra Leone, Ivory Coast, Bolivia, Thailand,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Netherlands, China, Ireland, Slovakia, France, Nigeria, United Kingdom,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Switzerland, Spain, Djibouti, Czech Republic, Zimbabwe, Suriname, Israel,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 Indonesia, Estonia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960" w:type="dxa"/>
            <w:vAlign w:val="bottom"/>
            <w:gridSpan w:val="2"/>
          </w:tcPr>
          <w:p>
            <w:pPr>
              <w:spacing w:after="0"/>
              <w:rPr>
                <w:sz w:val="20"/>
                <w:szCs w:val="20"/>
                <w:color w:val="auto"/>
              </w:rPr>
            </w:pPr>
            <w:r>
              <w:rPr>
                <w:rFonts w:ascii="Arial" w:cs="Arial" w:eastAsia="Arial" w:hAnsi="Arial"/>
                <w:sz w:val="18"/>
                <w:szCs w:val="18"/>
                <w:color w:val="auto"/>
              </w:rPr>
              <w:t>XinXing Haorong Electronic Material</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Tin</w:t>
            </w:r>
          </w:p>
        </w:tc>
        <w:tc>
          <w:tcPr>
            <w:tcW w:w="2960" w:type="dxa"/>
            <w:vAlign w:val="bottom"/>
            <w:gridSpan w:val="2"/>
          </w:tcPr>
          <w:p>
            <w:pPr>
              <w:spacing w:after="0"/>
              <w:rPr>
                <w:sz w:val="20"/>
                <w:szCs w:val="20"/>
                <w:color w:val="auto"/>
              </w:rPr>
            </w:pPr>
            <w:r>
              <w:rPr>
                <w:rFonts w:ascii="Arial" w:cs="Arial" w:eastAsia="Arial" w:hAnsi="Arial"/>
                <w:sz w:val="18"/>
                <w:szCs w:val="18"/>
                <w:color w:val="auto"/>
              </w:rPr>
              <w:t>Alpha</w:t>
            </w:r>
          </w:p>
        </w:tc>
        <w:tc>
          <w:tcPr>
            <w:tcW w:w="1620" w:type="dxa"/>
            <w:vAlign w:val="bottom"/>
          </w:tcPr>
          <w:p>
            <w:pPr>
              <w:spacing w:after="0"/>
              <w:rPr>
                <w:sz w:val="20"/>
                <w:szCs w:val="20"/>
                <w:color w:val="auto"/>
              </w:rPr>
            </w:pPr>
            <w:r>
              <w:rPr>
                <w:rFonts w:ascii="Arial" w:cs="Arial" w:eastAsia="Arial" w:hAnsi="Arial"/>
                <w:sz w:val="18"/>
                <w:szCs w:val="18"/>
                <w:color w:val="auto"/>
              </w:rPr>
              <w:t>RMAP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Luxembourg, South Korea, Guyana, Brazil, Jersey, Chile, Laos, Colombia,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Ecuador, Argentina, Hungary, Japan, India, Canada, Belgium, Namibia,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Taiwan, Peru, Germany, Ethiopia, Russian Federation, Singapore, Vietnam,</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States, Egypt, Sierra Leone, Madagascar, Ivory Coast, Bolivia,</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Thailand, Netherlands, Sweden, Ireland, China, Slovakia, Nigeria, France,</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United Kingdom, Switzerland, Spain, Djibouti, Czech Republic, Zimbabwe,</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color w:val="auto"/>
              </w:rPr>
              <w:t>Tin</w:t>
            </w:r>
          </w:p>
        </w:tc>
        <w:tc>
          <w:tcPr>
            <w:tcW w:w="2960" w:type="dxa"/>
            <w:vAlign w:val="bottom"/>
            <w:gridSpan w:val="2"/>
          </w:tcPr>
          <w:p>
            <w:pPr>
              <w:spacing w:after="0"/>
              <w:rPr>
                <w:sz w:val="20"/>
                <w:szCs w:val="20"/>
                <w:color w:val="auto"/>
              </w:rPr>
            </w:pPr>
            <w:r>
              <w:rPr>
                <w:rFonts w:ascii="Arial" w:cs="Arial" w:eastAsia="Arial" w:hAnsi="Arial"/>
                <w:sz w:val="18"/>
                <w:szCs w:val="18"/>
                <w:color w:val="auto"/>
              </w:rPr>
              <w:t>An Vinh Joint Stock Mineral</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Vietnam, Turkey, Brazil</w:t>
            </w: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Processing Company</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65"/>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5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 w:name="page25"/>
    <w:bookmarkEnd w:id="2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as of May 1, 2018, lists the SORs known to us to have supplied necessary conflict minerals contained in our covered products and that were either certified by one or more conflict free certification programs or that used only recycled or scrap minerals, but as to which we were unable to determine the countries of origin from which they sourced such conflict minerals: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Metal</w:t>
            </w:r>
          </w:p>
        </w:tc>
        <w:tc>
          <w:tcPr>
            <w:tcW w:w="220" w:type="dxa"/>
            <w:vAlign w:val="bottom"/>
          </w:tcPr>
          <w:p>
            <w:pPr>
              <w:spacing w:after="0"/>
              <w:rPr>
                <w:sz w:val="16"/>
                <w:szCs w:val="16"/>
                <w:color w:val="auto"/>
              </w:rPr>
            </w:pPr>
          </w:p>
        </w:tc>
        <w:tc>
          <w:tcPr>
            <w:tcW w:w="4800" w:type="dxa"/>
            <w:vAlign w:val="bottom"/>
            <w:gridSpan w:val="2"/>
          </w:tcPr>
          <w:p>
            <w:pPr>
              <w:ind w:left="1800"/>
              <w:spacing w:after="0"/>
              <w:rPr>
                <w:sz w:val="20"/>
                <w:szCs w:val="20"/>
                <w:color w:val="auto"/>
              </w:rPr>
            </w:pPr>
            <w:r>
              <w:rPr>
                <w:rFonts w:ascii="Arial" w:cs="Arial" w:eastAsia="Arial" w:hAnsi="Arial"/>
                <w:sz w:val="14"/>
                <w:szCs w:val="14"/>
                <w:b w:val="1"/>
                <w:bCs w:val="1"/>
                <w:color w:val="auto"/>
              </w:rPr>
              <w:t>Smelter/Refiner</w:t>
            </w:r>
          </w:p>
        </w:tc>
        <w:tc>
          <w:tcPr>
            <w:tcW w:w="3880" w:type="dxa"/>
            <w:vAlign w:val="bottom"/>
          </w:tcPr>
          <w:p>
            <w:pPr>
              <w:ind w:left="1340"/>
              <w:spacing w:after="0"/>
              <w:rPr>
                <w:sz w:val="20"/>
                <w:szCs w:val="20"/>
                <w:color w:val="auto"/>
              </w:rPr>
            </w:pPr>
            <w:r>
              <w:rPr>
                <w:rFonts w:ascii="Arial" w:cs="Arial" w:eastAsia="Arial" w:hAnsi="Arial"/>
                <w:sz w:val="14"/>
                <w:szCs w:val="14"/>
                <w:b w:val="1"/>
                <w:bCs w:val="1"/>
                <w:color w:val="auto"/>
              </w:rPr>
              <w:t>Certification Status</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22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Aida Chemical Industries Co., Ltd.</w:t>
            </w:r>
          </w:p>
        </w:tc>
        <w:tc>
          <w:tcPr>
            <w:tcW w:w="2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Al Etihad Gold LLC</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Allgemeine Gold-und Silberscheideanstalt A.G.</w:t>
            </w:r>
          </w:p>
        </w:tc>
        <w:tc>
          <w:tcPr>
            <w:tcW w:w="3880" w:type="dxa"/>
            <w:vAlign w:val="bottom"/>
          </w:tcPr>
          <w:p>
            <w:pPr>
              <w:spacing w:after="0"/>
              <w:rPr>
                <w:sz w:val="20"/>
                <w:szCs w:val="20"/>
                <w:color w:val="auto"/>
              </w:rPr>
            </w:pPr>
            <w:r>
              <w:rPr>
                <w:rFonts w:ascii="Arial" w:cs="Arial" w:eastAsia="Arial" w:hAnsi="Arial"/>
                <w:sz w:val="18"/>
                <w:szCs w:val="18"/>
                <w:color w:val="auto"/>
              </w:rPr>
              <w:t>LBMA, RJC,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Asahi Pretec Corp.</w:t>
            </w:r>
          </w:p>
        </w:tc>
        <w:tc>
          <w:tcPr>
            <w:tcW w:w="3880" w:type="dxa"/>
            <w:vAlign w:val="bottom"/>
          </w:tcPr>
          <w:p>
            <w:pPr>
              <w:spacing w:after="0"/>
              <w:rPr>
                <w:sz w:val="20"/>
                <w:szCs w:val="20"/>
                <w:color w:val="auto"/>
              </w:rPr>
            </w:pPr>
            <w:r>
              <w:rPr>
                <w:rFonts w:ascii="Arial" w:cs="Arial" w:eastAsia="Arial" w:hAnsi="Arial"/>
                <w:sz w:val="18"/>
                <w:szCs w:val="18"/>
                <w:color w:val="auto"/>
              </w:rPr>
              <w:t>LBMA,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Asaka Riken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AU Traders and Refiners</w:t>
            </w:r>
          </w:p>
        </w:tc>
        <w:tc>
          <w:tcPr>
            <w:tcW w:w="388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Aurubis AG</w:t>
            </w:r>
          </w:p>
        </w:tc>
        <w:tc>
          <w:tcPr>
            <w:tcW w:w="3880" w:type="dxa"/>
            <w:vAlign w:val="bottom"/>
          </w:tcPr>
          <w:p>
            <w:pPr>
              <w:spacing w:after="0"/>
              <w:rPr>
                <w:sz w:val="20"/>
                <w:szCs w:val="20"/>
                <w:color w:val="auto"/>
              </w:rPr>
            </w:pPr>
            <w:r>
              <w:rPr>
                <w:rFonts w:ascii="Arial" w:cs="Arial" w:eastAsia="Arial" w:hAnsi="Arial"/>
                <w:sz w:val="18"/>
                <w:szCs w:val="18"/>
                <w:color w:val="auto"/>
              </w:rPr>
              <w:t>LBMA,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Cendres + Metaux S.A.</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Chimet S.p.A.</w:t>
            </w:r>
          </w:p>
        </w:tc>
        <w:tc>
          <w:tcPr>
            <w:tcW w:w="3880" w:type="dxa"/>
            <w:vAlign w:val="bottom"/>
          </w:tcPr>
          <w:p>
            <w:pPr>
              <w:spacing w:after="0"/>
              <w:rPr>
                <w:sz w:val="20"/>
                <w:szCs w:val="20"/>
                <w:color w:val="auto"/>
              </w:rPr>
            </w:pPr>
            <w:r>
              <w:rPr>
                <w:rFonts w:ascii="Arial" w:cs="Arial" w:eastAsia="Arial" w:hAnsi="Arial"/>
                <w:sz w:val="18"/>
                <w:szCs w:val="18"/>
                <w:color w:val="auto"/>
              </w:rPr>
              <w:t>LBMA,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DODUCO Contacts and Refining GmbH</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DSC (Do Sung Corporation)</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Eco-System Recycling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HeeSung Metal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Heimerle + Meule GmbH</w:t>
            </w:r>
          </w:p>
        </w:tc>
        <w:tc>
          <w:tcPr>
            <w:tcW w:w="3880" w:type="dxa"/>
            <w:vAlign w:val="bottom"/>
          </w:tcPr>
          <w:p>
            <w:pPr>
              <w:spacing w:after="0"/>
              <w:rPr>
                <w:sz w:val="20"/>
                <w:szCs w:val="20"/>
                <w:color w:val="auto"/>
              </w:rPr>
            </w:pPr>
            <w:r>
              <w:rPr>
                <w:rFonts w:ascii="Arial" w:cs="Arial" w:eastAsia="Arial" w:hAnsi="Arial"/>
                <w:sz w:val="18"/>
                <w:szCs w:val="18"/>
                <w:color w:val="auto"/>
              </w:rPr>
              <w:t>LBMA,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Italpreziosi</w:t>
            </w:r>
          </w:p>
        </w:tc>
        <w:tc>
          <w:tcPr>
            <w:tcW w:w="388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Korea Zinc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Marsam Metals</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Planta Recuperadora de Metales SpA</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SAAMP</w:t>
            </w:r>
          </w:p>
        </w:tc>
        <w:tc>
          <w:tcPr>
            <w:tcW w:w="388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Sichuan Tianze Precious Metals Co., Ltd.</w:t>
            </w:r>
          </w:p>
        </w:tc>
        <w:tc>
          <w:tcPr>
            <w:tcW w:w="3880" w:type="dxa"/>
            <w:vAlign w:val="bottom"/>
          </w:tcPr>
          <w:p>
            <w:pPr>
              <w:spacing w:after="0"/>
              <w:rPr>
                <w:sz w:val="20"/>
                <w:szCs w:val="20"/>
                <w:color w:val="auto"/>
              </w:rPr>
            </w:pPr>
            <w:r>
              <w:rPr>
                <w:rFonts w:ascii="Arial" w:cs="Arial" w:eastAsia="Arial" w:hAnsi="Arial"/>
                <w:sz w:val="18"/>
                <w:szCs w:val="18"/>
                <w:color w:val="auto"/>
              </w:rPr>
              <w:t>LBMA, 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Gold</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SungEel HiMetal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Asaka Riken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F&amp;X Electro-Materials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Jiangxi Tuohong New Raw Material</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Jiujiang Janny New Material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Power Resources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Resind Industria e Comercio Ltda.</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Telex Metals</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Alpha</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Chifeng Dajingzi Tin Industry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CV Dua Sekawan</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Dowa</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Fenix Metals</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Gejiu Fengming Metallurgy Chemical Plant</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Gejiu Jinye Mineral Company</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Guangdong Hanhe Non-Ferrous Metal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Guanyang Guida Nonferrous Metal Smelting Plant</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HuiChang Hill Tin Industry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PT Bangka Serumpun</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PT Kijang Jaya Mandiri</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PT Lautan Harmonis Sejahtera</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PT Menara Cipta Mulia</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PT Rajehan Ariq</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Resind Industria e Comercio Ltda.</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Tin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Yunnan Chengfeng Non-ferrous Metals Co., Ltd.</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ACL Metais Eireli</w:t>
            </w:r>
          </w:p>
        </w:tc>
        <w:tc>
          <w:tcPr>
            <w:tcW w:w="3880" w:type="dxa"/>
            <w:vAlign w:val="bottom"/>
          </w:tcPr>
          <w:p>
            <w:pPr>
              <w:spacing w:after="0"/>
              <w:rPr>
                <w:sz w:val="20"/>
                <w:szCs w:val="20"/>
                <w:color w:val="auto"/>
              </w:rPr>
            </w:pPr>
            <w:r>
              <w:rPr>
                <w:rFonts w:ascii="Arial" w:cs="Arial" w:eastAsia="Arial" w:hAnsi="Arial"/>
                <w:sz w:val="18"/>
                <w:szCs w:val="18"/>
                <w:color w:val="auto"/>
              </w:rPr>
              <w:t>RMAP</w:t>
            </w:r>
          </w:p>
        </w:tc>
      </w:tr>
      <w:tr>
        <w:trPr>
          <w:trHeight w:val="36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00" w:type="dxa"/>
            <w:vAlign w:val="bottom"/>
            <w:gridSpan w:val="2"/>
          </w:tcPr>
          <w:p>
            <w:pPr>
              <w:jc w:val="right"/>
              <w:ind w:right="1439"/>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as of May 1, 2018, lists the SORs known to us to have supplied necessary conflict minerals contained in our covered products and that were not certified by one or more conflict free certification programs. In addition, despite our diligence efforts we were unable to determine the countries from which these SORs sourced necessary conflict minerals: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20" w:type="dxa"/>
            <w:vAlign w:val="bottom"/>
            <w:gridSpan w:val="2"/>
          </w:tcPr>
          <w:p>
            <w:pPr>
              <w:ind w:left="2200"/>
              <w:spacing w:after="0"/>
              <w:rPr>
                <w:sz w:val="20"/>
                <w:szCs w:val="20"/>
                <w:color w:val="auto"/>
              </w:rPr>
            </w:pPr>
            <w:r>
              <w:rPr>
                <w:rFonts w:ascii="Arial" w:cs="Arial" w:eastAsia="Arial" w:hAnsi="Arial"/>
                <w:sz w:val="14"/>
                <w:szCs w:val="14"/>
                <w:b w:val="1"/>
                <w:bCs w:val="1"/>
                <w:color w:val="auto"/>
              </w:rPr>
              <w:t>Metal</w:t>
            </w:r>
          </w:p>
        </w:tc>
        <w:tc>
          <w:tcPr>
            <w:tcW w:w="6380" w:type="dxa"/>
            <w:vAlign w:val="bottom"/>
          </w:tcPr>
          <w:p>
            <w:pPr>
              <w:ind w:left="2700"/>
              <w:spacing w:after="0"/>
              <w:rPr>
                <w:sz w:val="20"/>
                <w:szCs w:val="20"/>
                <w:color w:val="auto"/>
              </w:rPr>
            </w:pPr>
            <w:r>
              <w:rPr>
                <w:rFonts w:ascii="Arial" w:cs="Arial" w:eastAsia="Arial" w:hAnsi="Arial"/>
                <w:sz w:val="14"/>
                <w:szCs w:val="14"/>
                <w:b w:val="1"/>
                <w:bCs w:val="1"/>
                <w:color w:val="auto"/>
              </w:rPr>
              <w:t>Smelter/Refiner</w:t>
            </w:r>
          </w:p>
        </w:tc>
      </w:tr>
      <w:tr>
        <w:trPr>
          <w:trHeight w:val="195"/>
        </w:trPr>
        <w:tc>
          <w:tcPr>
            <w:tcW w:w="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240" w:type="dxa"/>
            <w:vAlign w:val="bottom"/>
          </w:tcPr>
          <w:p>
            <w:pPr>
              <w:spacing w:after="0"/>
              <w:rPr>
                <w:sz w:val="16"/>
                <w:szCs w:val="16"/>
                <w:color w:val="auto"/>
              </w:rPr>
            </w:pPr>
          </w:p>
        </w:tc>
        <w:tc>
          <w:tcPr>
            <w:tcW w:w="6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Abington Reldan Metals, LLC</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African Gold Refinery</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Bangalore Refinery</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Degussa Sonne / Mond Goldhandel GmbH</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DS PRETECH Co., Ltd.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GCC Gujrat Gold Centre Pvt. Ltd.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Kyshtym Copper-Electrolytic Plant ZAO</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L’Orfebre S.A.</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Modeltech Sdn Bhd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Morris and Watson Gold Coast</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NH Recytech Company</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Pease &amp; Curren</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Remondis Argentia B.V.</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Sai Refinery</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State Research Institute Center for Physical Sciences and Technology</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Sudan Gold Refinery</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Tony Goetz NV</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TOO Tau-Ken-Altyn</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Gold</w:t>
            </w:r>
          </w:p>
        </w:tc>
        <w:tc>
          <w:tcPr>
            <w:tcW w:w="6380" w:type="dxa"/>
            <w:vAlign w:val="bottom"/>
          </w:tcPr>
          <w:p>
            <w:pPr>
              <w:spacing w:after="0"/>
              <w:rPr>
                <w:sz w:val="20"/>
                <w:szCs w:val="20"/>
                <w:color w:val="auto"/>
              </w:rPr>
            </w:pPr>
            <w:r>
              <w:rPr>
                <w:rFonts w:ascii="Arial" w:cs="Arial" w:eastAsia="Arial" w:hAnsi="Arial"/>
                <w:sz w:val="18"/>
                <w:szCs w:val="18"/>
                <w:color w:val="auto"/>
              </w:rPr>
              <w:t>Universal Precious Metals Refining Zambia</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Tin</w:t>
            </w:r>
          </w:p>
        </w:tc>
        <w:tc>
          <w:tcPr>
            <w:tcW w:w="6380" w:type="dxa"/>
            <w:vAlign w:val="bottom"/>
          </w:tcPr>
          <w:p>
            <w:pPr>
              <w:spacing w:after="0"/>
              <w:rPr>
                <w:sz w:val="20"/>
                <w:szCs w:val="20"/>
                <w:color w:val="auto"/>
              </w:rPr>
            </w:pPr>
            <w:r>
              <w:rPr>
                <w:rFonts w:ascii="Arial" w:cs="Arial" w:eastAsia="Arial" w:hAnsi="Arial"/>
                <w:sz w:val="18"/>
                <w:szCs w:val="18"/>
                <w:color w:val="auto"/>
              </w:rPr>
              <w:t>Gejiu Zili Mining And Metallurgy Co., Ltd.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Tin</w:t>
            </w:r>
          </w:p>
        </w:tc>
        <w:tc>
          <w:tcPr>
            <w:tcW w:w="6380" w:type="dxa"/>
            <w:vAlign w:val="bottom"/>
          </w:tcPr>
          <w:p>
            <w:pPr>
              <w:spacing w:after="0"/>
              <w:rPr>
                <w:sz w:val="20"/>
                <w:szCs w:val="20"/>
                <w:color w:val="auto"/>
              </w:rPr>
            </w:pPr>
            <w:r>
              <w:rPr>
                <w:rFonts w:ascii="Arial" w:cs="Arial" w:eastAsia="Arial" w:hAnsi="Arial"/>
                <w:sz w:val="18"/>
                <w:szCs w:val="18"/>
                <w:color w:val="auto"/>
              </w:rPr>
              <w:t>Modeltech Sdn Bhd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Tin</w:t>
            </w:r>
          </w:p>
        </w:tc>
        <w:tc>
          <w:tcPr>
            <w:tcW w:w="6380" w:type="dxa"/>
            <w:vAlign w:val="bottom"/>
          </w:tcPr>
          <w:p>
            <w:pPr>
              <w:spacing w:after="0"/>
              <w:rPr>
                <w:sz w:val="20"/>
                <w:szCs w:val="20"/>
                <w:color w:val="auto"/>
              </w:rPr>
            </w:pPr>
            <w:r>
              <w:rPr>
                <w:rFonts w:ascii="Arial" w:cs="Arial" w:eastAsia="Arial" w:hAnsi="Arial"/>
                <w:sz w:val="18"/>
                <w:szCs w:val="18"/>
                <w:color w:val="auto"/>
              </w:rPr>
              <w:t>Pongpipat Company Limited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Tin</w:t>
            </w:r>
          </w:p>
        </w:tc>
        <w:tc>
          <w:tcPr>
            <w:tcW w:w="6380" w:type="dxa"/>
            <w:vAlign w:val="bottom"/>
          </w:tcPr>
          <w:p>
            <w:pPr>
              <w:spacing w:after="0"/>
              <w:rPr>
                <w:sz w:val="20"/>
                <w:szCs w:val="20"/>
                <w:color w:val="auto"/>
              </w:rPr>
            </w:pPr>
            <w:r>
              <w:rPr>
                <w:rFonts w:ascii="Arial" w:cs="Arial" w:eastAsia="Arial" w:hAnsi="Arial"/>
                <w:sz w:val="18"/>
                <w:szCs w:val="18"/>
                <w:color w:val="auto"/>
              </w:rPr>
              <w:t>Super Ligas</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6380" w:type="dxa"/>
            <w:vAlign w:val="bottom"/>
          </w:tcPr>
          <w:p>
            <w:pPr>
              <w:spacing w:after="0"/>
              <w:rPr>
                <w:sz w:val="20"/>
                <w:szCs w:val="20"/>
                <w:color w:val="auto"/>
              </w:rPr>
            </w:pPr>
            <w:r>
              <w:rPr>
                <w:rFonts w:ascii="Arial" w:cs="Arial" w:eastAsia="Arial" w:hAnsi="Arial"/>
                <w:sz w:val="18"/>
                <w:szCs w:val="18"/>
                <w:color w:val="auto"/>
              </w:rPr>
              <w:t>Ganzhou Haichuang Tungsten Industry Co., Ltd.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6380" w:type="dxa"/>
            <w:vAlign w:val="bottom"/>
          </w:tcPr>
          <w:p>
            <w:pPr>
              <w:spacing w:after="0"/>
              <w:rPr>
                <w:sz w:val="20"/>
                <w:szCs w:val="20"/>
                <w:color w:val="auto"/>
              </w:rPr>
            </w:pPr>
            <w:r>
              <w:rPr>
                <w:rFonts w:ascii="Arial" w:cs="Arial" w:eastAsia="Arial" w:hAnsi="Arial"/>
                <w:sz w:val="18"/>
                <w:szCs w:val="18"/>
                <w:color w:val="auto"/>
              </w:rPr>
              <w:t>Hunan Litian Tungsten Industry Co., Ltd.</w:t>
            </w: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6380" w:type="dxa"/>
            <w:vAlign w:val="bottom"/>
          </w:tcPr>
          <w:p>
            <w:pPr>
              <w:spacing w:after="0"/>
              <w:rPr>
                <w:sz w:val="20"/>
                <w:szCs w:val="20"/>
                <w:color w:val="auto"/>
              </w:rPr>
            </w:pPr>
            <w:r>
              <w:rPr>
                <w:rFonts w:ascii="Arial" w:cs="Arial" w:eastAsia="Arial" w:hAnsi="Arial"/>
                <w:sz w:val="18"/>
                <w:szCs w:val="18"/>
                <w:color w:val="auto"/>
              </w:rPr>
              <w:t>Jiangxi Dayu Longxintai Tungsten Co., Ltd.</w:t>
            </w: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tcPr>
          <w:p>
            <w:pPr>
              <w:ind w:left="580"/>
              <w:spacing w:after="0"/>
              <w:rPr>
                <w:sz w:val="20"/>
                <w:szCs w:val="20"/>
                <w:color w:val="auto"/>
              </w:rPr>
            </w:pPr>
            <w:r>
              <w:rPr>
                <w:rFonts w:ascii="Arial" w:cs="Arial" w:eastAsia="Arial" w:hAnsi="Arial"/>
                <w:sz w:val="18"/>
                <w:szCs w:val="18"/>
                <w:color w:val="auto"/>
              </w:rPr>
              <w:t>24</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2019-12-05T08:56:23Z</dcterms:created>
  <dcterms:modified xsi:type="dcterms:W3CDTF">2019-12-05T08:56:23Z</dcterms:modified>
</cp:coreProperties>
</file>