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203835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9"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203200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7" w:right="439" w:bottom="1440" w:gutter="0" w:footer="0" w:header="0"/>
        </w:sectPr>
      </w:pPr>
    </w:p>
    <w:p>
      <w:pPr>
        <w:spacing w:after="0" w:line="200" w:lineRule="exact"/>
        <w:rPr>
          <w:sz w:val="24"/>
          <w:szCs w:val="24"/>
          <w:color w:val="auto"/>
        </w:rPr>
      </w:pPr>
    </w:p>
    <w:p>
      <w:pPr>
        <w:spacing w:after="0" w:line="368"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8" w:lineRule="exact"/>
        <w:rPr>
          <w:sz w:val="24"/>
          <w:szCs w:val="24"/>
          <w:color w:val="auto"/>
        </w:rPr>
      </w:pPr>
    </w:p>
    <w:p>
      <w:pPr>
        <w:jc w:val="center"/>
        <w:ind w:right="214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6" w:lineRule="exact"/>
        <w:rPr>
          <w:sz w:val="24"/>
          <w:szCs w:val="24"/>
          <w:color w:val="auto"/>
        </w:rPr>
      </w:pPr>
    </w:p>
    <w:p>
      <w:pPr>
        <w:sectPr>
          <w:pgSz w:w="11900" w:h="16838" w:orient="portrait"/>
          <w:cols w:equalWidth="0" w:num="3">
            <w:col w:w="4624" w:space="720"/>
            <w:col w:w="2700" w:space="720"/>
            <w:col w:w="2260"/>
          </w:cols>
          <w:pgMar w:left="436" w:top="387"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162" w:lineRule="exact"/>
        <w:rPr>
          <w:sz w:val="24"/>
          <w:szCs w:val="24"/>
          <w:color w:val="auto"/>
        </w:rPr>
      </w:pPr>
    </w:p>
    <w:p>
      <w:pPr>
        <w:sectPr>
          <w:pgSz w:w="11900" w:h="16838" w:orient="portrait"/>
          <w:cols w:equalWidth="0" w:num="3">
            <w:col w:w="4444" w:space="720"/>
            <w:col w:w="2760" w:space="720"/>
            <w:col w:w="2380"/>
          </w:cols>
          <w:pgMar w:left="436" w:top="387"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 77056</w:t>
      </w:r>
    </w:p>
    <w:p>
      <w:pPr>
        <w:spacing w:after="0" w:line="22" w:lineRule="exact"/>
        <w:rPr>
          <w:sz w:val="24"/>
          <w:szCs w:val="24"/>
          <w:color w:val="auto"/>
        </w:rPr>
      </w:pPr>
    </w:p>
    <w:p>
      <w:pPr>
        <w:ind w:left="3024"/>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21" w:lineRule="exact"/>
        <w:rPr>
          <w:sz w:val="24"/>
          <w:szCs w:val="24"/>
          <w:color w:val="auto"/>
        </w:rPr>
      </w:pPr>
    </w:p>
    <w:p>
      <w:pPr>
        <w:ind w:left="3304"/>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87" w:right="439" w:bottom="1440" w:gutter="0" w:footer="0" w:header="0"/>
          <w:type w:val="continuous"/>
        </w:sectPr>
      </w:pPr>
    </w:p>
    <w:p>
      <w:pPr>
        <w:spacing w:after="0" w:line="14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217170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left="4"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4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1"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9"/>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22"/>
        </w:trPr>
        <w:tc>
          <w:tcPr>
            <w:tcW w:w="3740" w:type="dxa"/>
            <w:vAlign w:val="bottom"/>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36" w:lineRule="exact"/>
        <w:rPr>
          <w:sz w:val="24"/>
          <w:szCs w:val="24"/>
          <w:color w:val="auto"/>
        </w:rPr>
      </w:pPr>
    </w:p>
    <w:p>
      <w:pPr>
        <w:ind w:left="4" w:right="660"/>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9"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860"/>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172085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7"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14" w:lineRule="exact"/>
        <w:rPr>
          <w:sz w:val="20"/>
          <w:szCs w:val="20"/>
          <w:color w:val="auto"/>
        </w:rPr>
      </w:pPr>
    </w:p>
    <w:p>
      <w:pPr>
        <w:ind w:left="4" w:firstLine="440"/>
        <w:spacing w:after="0" w:line="241" w:lineRule="auto"/>
        <w:rPr>
          <w:sz w:val="20"/>
          <w:szCs w:val="20"/>
          <w:color w:val="auto"/>
        </w:rPr>
      </w:pPr>
      <w:r>
        <w:rPr>
          <w:rFonts w:ascii="Arial" w:cs="Arial" w:eastAsia="Arial" w:hAnsi="Arial"/>
          <w:sz w:val="18"/>
          <w:szCs w:val="18"/>
          <w:color w:val="auto"/>
        </w:rPr>
        <w:t>The Second-Quarter 2023 Earnings Release furnished as Exhibit 99 hereto, which is incorporated by reference into this Item 2.02, was posted on the SLB internet website (</w:t>
      </w:r>
      <w:r>
        <w:rPr>
          <w:rFonts w:ascii="Arial" w:cs="Arial" w:eastAsia="Arial" w:hAnsi="Arial"/>
          <w:sz w:val="18"/>
          <w:szCs w:val="18"/>
          <w:u w:val="single" w:color="auto"/>
          <w:color w:val="auto"/>
        </w:rPr>
        <w:t>https://investorcenter.slb.com/financials/quarterly-results</w:t>
      </w:r>
      <w:r>
        <w:rPr>
          <w:rFonts w:ascii="Arial" w:cs="Arial" w:eastAsia="Arial" w:hAnsi="Arial"/>
          <w:sz w:val="18"/>
          <w:szCs w:val="18"/>
          <w:color w:val="auto"/>
        </w:rPr>
        <w:t>) on July 21, 2023.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32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14" w:lineRule="exact"/>
        <w:rPr>
          <w:sz w:val="20"/>
          <w:szCs w:val="20"/>
          <w:color w:val="auto"/>
        </w:rPr>
      </w:pPr>
    </w:p>
    <w:p>
      <w:pPr>
        <w:ind w:left="4" w:right="100" w:firstLine="440"/>
        <w:spacing w:after="0" w:line="243" w:lineRule="auto"/>
        <w:rPr>
          <w:sz w:val="20"/>
          <w:szCs w:val="20"/>
          <w:color w:val="auto"/>
        </w:rPr>
      </w:pPr>
      <w:r>
        <w:rPr>
          <w:rFonts w:ascii="Arial" w:cs="Arial" w:eastAsia="Arial" w:hAnsi="Arial"/>
          <w:sz w:val="18"/>
          <w:szCs w:val="18"/>
          <w:color w:val="auto"/>
        </w:rPr>
        <w:t>On July 21, 2023, SLB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5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27" w:lineRule="exact"/>
        <w:rPr>
          <w:sz w:val="20"/>
          <w:szCs w:val="20"/>
          <w:color w:val="auto"/>
        </w:rPr>
      </w:pPr>
    </w:p>
    <w:p>
      <w:pPr>
        <w:ind w:left="1204" w:hanging="1204"/>
        <w:spacing w:after="0"/>
        <w:tabs>
          <w:tab w:leader="none" w:pos="120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ind w:left="664" w:hanging="664"/>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EE"/>
        </w:rPr>
        <w:t>Second-Quarter 2023 Earnings Release.</w:t>
      </w:r>
    </w:p>
    <w:p>
      <w:pPr>
        <w:spacing w:after="0" w:line="104"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64"/>
          </w:cols>
          <w:pgMar w:left="436" w:top="508" w:right="49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2" w:lineRule="exact"/>
        <w:rPr>
          <w:sz w:val="20"/>
          <w:szCs w:val="20"/>
          <w:color w:val="auto"/>
        </w:rPr>
      </w:pPr>
    </w:p>
    <w:p>
      <w:pPr>
        <w:ind w:firstLine="440"/>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Date: July 21, 2023</w:t>
      </w:r>
    </w:p>
    <w:p>
      <w:pPr>
        <w:sectPr>
          <w:pgSz w:w="11900" w:h="16838" w:orient="portrait"/>
          <w:cols w:equalWidth="0" w:num="1">
            <w:col w:w="10820"/>
          </w:cols>
          <w:pgMar w:left="440" w:top="508" w:right="639" w:bottom="1440" w:gutter="0" w:footer="0" w:header="0"/>
        </w:sectPr>
      </w:pPr>
    </w:p>
    <w:bookmarkStart w:id="3" w:name="page4"/>
    <w:bookmarkEnd w:id="3"/>
    <w:p>
      <w:pPr>
        <w:ind w:left="10164"/>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1062990" cy="643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6299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SLB Announces Second-Quarter 2023 Results</w:t>
      </w:r>
    </w:p>
    <w:p>
      <w:pPr>
        <w:spacing w:after="0" w:line="127" w:lineRule="exact"/>
        <w:rPr>
          <w:sz w:val="20"/>
          <w:szCs w:val="20"/>
          <w:color w:val="auto"/>
        </w:rPr>
      </w:pPr>
    </w:p>
    <w:p>
      <w:pPr>
        <w:ind w:left="444" w:hanging="334"/>
        <w:spacing w:after="0"/>
        <w:tabs>
          <w:tab w:leader="none" w:pos="44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of $8.10 billion increased 5% sequentially and 20% year on year</w:t>
      </w:r>
    </w:p>
    <w:p>
      <w:pPr>
        <w:spacing w:after="0" w:line="117" w:lineRule="exact"/>
        <w:rPr>
          <w:rFonts w:ascii="Arial" w:cs="Arial" w:eastAsia="Arial" w:hAnsi="Arial"/>
          <w:sz w:val="18"/>
          <w:szCs w:val="18"/>
          <w:color w:val="auto"/>
        </w:rPr>
      </w:pPr>
    </w:p>
    <w:p>
      <w:pPr>
        <w:ind w:left="444" w:hanging="334"/>
        <w:spacing w:after="0"/>
        <w:tabs>
          <w:tab w:leader="none" w:pos="444"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EPS of $0.72 increased 11% sequentially and 7% year on year</w:t>
      </w:r>
    </w:p>
    <w:p>
      <w:pPr>
        <w:spacing w:after="0" w:line="117" w:lineRule="exact"/>
        <w:rPr>
          <w:rFonts w:ascii="Arial" w:cs="Arial" w:eastAsia="Arial" w:hAnsi="Arial"/>
          <w:sz w:val="18"/>
          <w:szCs w:val="18"/>
          <w:color w:val="auto"/>
        </w:rPr>
      </w:pPr>
    </w:p>
    <w:p>
      <w:pPr>
        <w:ind w:left="444" w:hanging="334"/>
        <w:spacing w:after="0"/>
        <w:tabs>
          <w:tab w:leader="none" w:pos="444" w:val="left"/>
        </w:tabs>
        <w:numPr>
          <w:ilvl w:val="0"/>
          <w:numId w:val="4"/>
        </w:numPr>
        <w:rPr>
          <w:rFonts w:ascii="Arial" w:cs="Arial" w:eastAsia="Arial" w:hAnsi="Arial"/>
          <w:sz w:val="18"/>
          <w:szCs w:val="18"/>
          <w:color w:val="auto"/>
        </w:rPr>
      </w:pPr>
      <w:r>
        <w:rPr>
          <w:rFonts w:ascii="Arial" w:cs="Arial" w:eastAsia="Arial" w:hAnsi="Arial"/>
          <w:sz w:val="18"/>
          <w:szCs w:val="18"/>
          <w:color w:val="auto"/>
        </w:rPr>
        <w:t>EPS, excluding charges and credits, of $0.72 increased 14% sequentially and 44% year on year</w:t>
      </w:r>
    </w:p>
    <w:p>
      <w:pPr>
        <w:spacing w:after="0" w:line="117" w:lineRule="exact"/>
        <w:rPr>
          <w:rFonts w:ascii="Arial" w:cs="Arial" w:eastAsia="Arial" w:hAnsi="Arial"/>
          <w:sz w:val="18"/>
          <w:szCs w:val="18"/>
          <w:color w:val="auto"/>
        </w:rPr>
      </w:pPr>
    </w:p>
    <w:p>
      <w:pPr>
        <w:ind w:left="444" w:hanging="334"/>
        <w:spacing w:after="0"/>
        <w:tabs>
          <w:tab w:leader="none" w:pos="444"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attributable to SLB of $1.03 billion increased 11% sequentially and 8% year on year</w:t>
      </w:r>
    </w:p>
    <w:p>
      <w:pPr>
        <w:spacing w:after="0" w:line="117" w:lineRule="exact"/>
        <w:rPr>
          <w:rFonts w:ascii="Arial" w:cs="Arial" w:eastAsia="Arial" w:hAnsi="Arial"/>
          <w:sz w:val="18"/>
          <w:szCs w:val="18"/>
          <w:color w:val="auto"/>
        </w:rPr>
      </w:pPr>
    </w:p>
    <w:p>
      <w:pPr>
        <w:ind w:left="444" w:hanging="334"/>
        <w:spacing w:after="0"/>
        <w:tabs>
          <w:tab w:leader="none" w:pos="444"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of $1.96 billion increased 10% sequentially and 28% year on year</w:t>
      </w:r>
    </w:p>
    <w:p>
      <w:pPr>
        <w:spacing w:after="0" w:line="117" w:lineRule="exact"/>
        <w:rPr>
          <w:rFonts w:ascii="Arial" w:cs="Arial" w:eastAsia="Arial" w:hAnsi="Arial"/>
          <w:sz w:val="18"/>
          <w:szCs w:val="18"/>
          <w:color w:val="auto"/>
        </w:rPr>
      </w:pPr>
    </w:p>
    <w:p>
      <w:pPr>
        <w:ind w:left="444" w:hanging="334"/>
        <w:spacing w:after="0"/>
        <w:tabs>
          <w:tab w:leader="none" w:pos="444"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 from operations was $1.61 billion and free cash flow was $986 million</w:t>
      </w:r>
    </w:p>
    <w:p>
      <w:pPr>
        <w:spacing w:after="0" w:line="117" w:lineRule="exact"/>
        <w:rPr>
          <w:rFonts w:ascii="Arial" w:cs="Arial" w:eastAsia="Arial" w:hAnsi="Arial"/>
          <w:sz w:val="18"/>
          <w:szCs w:val="18"/>
          <w:color w:val="auto"/>
        </w:rPr>
      </w:pPr>
    </w:p>
    <w:p>
      <w:pPr>
        <w:ind w:left="444" w:hanging="334"/>
        <w:spacing w:after="0"/>
        <w:tabs>
          <w:tab w:leader="none" w:pos="444"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approved quarterly cash dividend of $0.25 per share</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PARIS, July 21, 2023—</w:t>
      </w:r>
      <w:r>
        <w:rPr>
          <w:rFonts w:ascii="Arial" w:cs="Arial" w:eastAsia="Arial" w:hAnsi="Arial"/>
          <w:sz w:val="18"/>
          <w:szCs w:val="18"/>
          <w:color w:val="auto"/>
        </w:rPr>
        <w:t>SLB (NYSE: SLB) today announced results for the second-quarter 2023.</w:t>
      </w:r>
    </w:p>
    <w:p>
      <w:pPr>
        <w:spacing w:after="0" w:line="3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Second-Quarter Results</w:t>
      </w:r>
    </w:p>
    <w:p>
      <w:pPr>
        <w:spacing w:after="0" w:line="24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40" w:type="dxa"/>
            <w:vAlign w:val="bottom"/>
            <w:gridSpan w:val="8"/>
          </w:tcPr>
          <w:p>
            <w:pPr>
              <w:jc w:val="right"/>
              <w:ind w:right="22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5"/>
        </w:trPr>
        <w:tc>
          <w:tcPr>
            <w:tcW w:w="6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8"/>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6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top w:val="single" w:sz="8" w:color="auto"/>
            </w:tcBorders>
            <w:gridSpan w:val="4"/>
          </w:tcPr>
          <w:p>
            <w:pPr>
              <w:jc w:val="right"/>
              <w:ind w:right="400"/>
              <w:spacing w:after="0" w:line="143" w:lineRule="exact"/>
              <w:rPr>
                <w:sz w:val="20"/>
                <w:szCs w:val="20"/>
                <w:color w:val="auto"/>
              </w:rPr>
            </w:pPr>
            <w:r>
              <w:rPr>
                <w:rFonts w:ascii="Arial" w:cs="Arial" w:eastAsia="Arial" w:hAnsi="Arial"/>
                <w:sz w:val="14"/>
                <w:szCs w:val="14"/>
                <w:b w:val="1"/>
                <w:bCs w:val="1"/>
                <w:color w:val="auto"/>
                <w:w w:val="95"/>
              </w:rPr>
              <w:t>Jun. 30,</w:t>
            </w:r>
          </w:p>
        </w:tc>
        <w:tc>
          <w:tcPr>
            <w:tcW w:w="820" w:type="dxa"/>
            <w:vAlign w:val="bottom"/>
            <w:tcBorders>
              <w:top w:val="single" w:sz="8" w:color="auto"/>
            </w:tcBorders>
            <w:gridSpan w:val="3"/>
          </w:tcPr>
          <w:p>
            <w:pPr>
              <w:ind w:left="20"/>
              <w:spacing w:after="0" w:line="143" w:lineRule="exact"/>
              <w:rPr>
                <w:sz w:val="20"/>
                <w:szCs w:val="20"/>
                <w:color w:val="auto"/>
              </w:rPr>
            </w:pPr>
            <w:r>
              <w:rPr>
                <w:rFonts w:ascii="Arial" w:cs="Arial" w:eastAsia="Arial" w:hAnsi="Arial"/>
                <w:sz w:val="14"/>
                <w:szCs w:val="14"/>
                <w:color w:val="auto"/>
              </w:rPr>
              <w:t>Mar. 31,</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ind w:left="40"/>
              <w:spacing w:after="0" w:line="143" w:lineRule="exact"/>
              <w:rPr>
                <w:sz w:val="20"/>
                <w:szCs w:val="20"/>
                <w:color w:val="auto"/>
              </w:rPr>
            </w:pPr>
            <w:r>
              <w:rPr>
                <w:rFonts w:ascii="Arial" w:cs="Arial" w:eastAsia="Arial" w:hAnsi="Arial"/>
                <w:sz w:val="14"/>
                <w:szCs w:val="14"/>
                <w:color w:val="auto"/>
              </w:rPr>
              <w:t>Jun. 30,</w:t>
            </w:r>
          </w:p>
        </w:tc>
        <w:tc>
          <w:tcPr>
            <w:tcW w:w="4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2023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31"/>
              <w:spacing w:after="0"/>
              <w:rPr>
                <w:sz w:val="20"/>
                <w:szCs w:val="20"/>
                <w:color w:val="auto"/>
              </w:rPr>
            </w:pPr>
            <w:r>
              <w:rPr>
                <w:rFonts w:ascii="Arial" w:cs="Arial" w:eastAsia="Arial" w:hAnsi="Arial"/>
                <w:sz w:val="14"/>
                <w:szCs w:val="14"/>
                <w:color w:val="auto"/>
                <w:w w:val="96"/>
              </w:rPr>
              <w:t>2022</w:t>
            </w:r>
          </w:p>
        </w:tc>
        <w:tc>
          <w:tcPr>
            <w:tcW w:w="400" w:type="dxa"/>
            <w:vAlign w:val="bottom"/>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Sequential</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Year-on-year</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color w:val="auto"/>
                <w:w w:val="97"/>
              </w:rPr>
              <w:t>8,099</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w w:val="97"/>
              </w:rPr>
              <w:t>7,736</w:t>
            </w:r>
          </w:p>
        </w:tc>
        <w:tc>
          <w:tcPr>
            <w:tcW w:w="240" w:type="dxa"/>
            <w:vAlign w:val="bottom"/>
            <w:gridSpan w:val="2"/>
            <w:shd w:val="clear" w:color="auto" w:fill="CCEEFF"/>
          </w:tcPr>
          <w:p>
            <w:pPr>
              <w:ind w:left="14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w w:val="93"/>
              </w:rPr>
              <w:t>6,773</w:t>
            </w:r>
          </w:p>
        </w:tc>
        <w:tc>
          <w:tcPr>
            <w:tcW w:w="11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b w:val="1"/>
                <w:bCs w:val="1"/>
                <w:color w:val="auto"/>
              </w:rPr>
              <w:t>5%</w:t>
            </w:r>
          </w:p>
        </w:tc>
        <w:tc>
          <w:tcPr>
            <w:tcW w:w="10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6020" w:type="dxa"/>
            <w:vAlign w:val="bottom"/>
          </w:tcPr>
          <w:p>
            <w:pPr>
              <w:spacing w:after="0" w:line="202" w:lineRule="exact"/>
              <w:rPr>
                <w:sz w:val="20"/>
                <w:szCs w:val="20"/>
                <w:color w:val="auto"/>
              </w:rPr>
            </w:pPr>
            <w:r>
              <w:rPr>
                <w:rFonts w:ascii="Arial" w:cs="Arial" w:eastAsia="Arial" w:hAnsi="Arial"/>
                <w:sz w:val="18"/>
                <w:szCs w:val="18"/>
                <w:color w:val="auto"/>
              </w:rPr>
              <w:t>Income before taxes – GAAP basis</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1,293</w:t>
            </w:r>
          </w:p>
        </w:tc>
        <w:tc>
          <w:tcPr>
            <w:tcW w:w="36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7"/>
              </w:rPr>
              <w:t>1,161</w:t>
            </w:r>
          </w:p>
        </w:tc>
        <w:tc>
          <w:tcPr>
            <w:tcW w:w="24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3"/>
              </w:rPr>
              <w:t>1,152</w:t>
            </w: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11%</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taxes margin – GAAP basis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16.0%</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17.0%</w:t>
            </w:r>
          </w:p>
        </w:tc>
        <w:tc>
          <w:tcPr>
            <w:tcW w:w="11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96 bps</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-105 bps</w:t>
            </w:r>
          </w:p>
        </w:tc>
        <w:tc>
          <w:tcPr>
            <w:tcW w:w="0" w:type="dxa"/>
            <w:vAlign w:val="bottom"/>
          </w:tcPr>
          <w:p>
            <w:pPr>
              <w:spacing w:after="0"/>
              <w:rPr>
                <w:sz w:val="1"/>
                <w:szCs w:val="1"/>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Net income attributable to SLB – GAAP basis</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1,033</w:t>
            </w:r>
          </w:p>
        </w:tc>
        <w:tc>
          <w:tcPr>
            <w:tcW w:w="36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934</w:t>
            </w:r>
          </w:p>
        </w:tc>
        <w:tc>
          <w:tcPr>
            <w:tcW w:w="24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959</w:t>
            </w: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11%</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 GAAP basis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0.72</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0.65</w:t>
            </w:r>
          </w:p>
        </w:tc>
        <w:tc>
          <w:tcPr>
            <w:tcW w:w="2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0.67</w:t>
            </w: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11%</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9"/>
        </w:trPr>
        <w:tc>
          <w:tcPr>
            <w:tcW w:w="602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1,962</w:t>
            </w:r>
          </w:p>
        </w:tc>
        <w:tc>
          <w:tcPr>
            <w:tcW w:w="3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1,788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1,530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24.2%</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22.6%</w:t>
            </w:r>
          </w:p>
        </w:tc>
        <w:tc>
          <w:tcPr>
            <w:tcW w:w="11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111 bps</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163 bps</w:t>
            </w:r>
          </w:p>
        </w:tc>
        <w:tc>
          <w:tcPr>
            <w:tcW w:w="0" w:type="dxa"/>
            <w:vAlign w:val="bottom"/>
          </w:tcPr>
          <w:p>
            <w:pPr>
              <w:spacing w:after="0"/>
              <w:rPr>
                <w:sz w:val="1"/>
                <w:szCs w:val="1"/>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Pretax segment operating income*</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1,581</w:t>
            </w:r>
          </w:p>
        </w:tc>
        <w:tc>
          <w:tcPr>
            <w:tcW w:w="36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7"/>
              </w:rPr>
              <w:t>1,391</w:t>
            </w:r>
          </w:p>
        </w:tc>
        <w:tc>
          <w:tcPr>
            <w:tcW w:w="24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3"/>
              </w:rPr>
              <w:t>1,159</w:t>
            </w: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14%</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segment operating margin*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19.5%</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17.1%</w:t>
            </w:r>
          </w:p>
        </w:tc>
        <w:tc>
          <w:tcPr>
            <w:tcW w:w="11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154 bps</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240 bps</w:t>
            </w:r>
          </w:p>
        </w:tc>
        <w:tc>
          <w:tcPr>
            <w:tcW w:w="0" w:type="dxa"/>
            <w:vAlign w:val="bottom"/>
          </w:tcPr>
          <w:p>
            <w:pPr>
              <w:spacing w:after="0"/>
              <w:rPr>
                <w:sz w:val="1"/>
                <w:szCs w:val="1"/>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Net income attributable to SLB, excluding charges &amp; credits*</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1,033</w:t>
            </w:r>
          </w:p>
        </w:tc>
        <w:tc>
          <w:tcPr>
            <w:tcW w:w="36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906</w:t>
            </w:r>
          </w:p>
        </w:tc>
        <w:tc>
          <w:tcPr>
            <w:tcW w:w="24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715</w:t>
            </w: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14%</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excluding charges &amp; credits*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0.72</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0.63</w:t>
            </w:r>
          </w:p>
        </w:tc>
        <w:tc>
          <w:tcPr>
            <w:tcW w:w="2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0.50</w:t>
            </w: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14%</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18"/>
        </w:trPr>
        <w:tc>
          <w:tcPr>
            <w:tcW w:w="6020" w:type="dxa"/>
            <w:vAlign w:val="bottom"/>
          </w:tcPr>
          <w:p>
            <w:pPr>
              <w:spacing w:after="0"/>
              <w:rPr>
                <w:sz w:val="20"/>
                <w:szCs w:val="20"/>
                <w:color w:val="auto"/>
              </w:rPr>
            </w:pPr>
            <w:r>
              <w:rPr>
                <w:rFonts w:ascii="Arial" w:cs="Arial" w:eastAsia="Arial" w:hAnsi="Arial"/>
                <w:sz w:val="18"/>
                <w:szCs w:val="18"/>
                <w:b w:val="1"/>
                <w:bCs w:val="1"/>
                <w:color w:val="auto"/>
              </w:rPr>
              <w:t>Revenue by Geography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6,297</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7"/>
              </w:rPr>
              <w:t>5,985</w:t>
            </w:r>
          </w:p>
        </w:tc>
        <w:tc>
          <w:tcPr>
            <w:tcW w:w="2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3"/>
              </w:rPr>
              <w:t>5,188</w:t>
            </w: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5%</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1,746</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7"/>
              </w:rPr>
              <w:t>1,698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3"/>
              </w:rPr>
              <w:t>1,537</w:t>
            </w: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3%</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56</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48</w:t>
            </w:r>
          </w:p>
        </w:tc>
        <w:tc>
          <w:tcPr>
            <w:tcW w:w="11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n/m</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8,099</w:t>
            </w:r>
          </w:p>
        </w:tc>
        <w:tc>
          <w:tcPr>
            <w:tcW w:w="2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7,736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6,773</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224" w:right="400" w:hanging="224"/>
        <w:spacing w:after="0" w:line="260"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are non-GAAP financial measures. See sections titled “Charges &amp; Credits”, “Divisions”, and “Supplementary Information” for details.</w:t>
      </w:r>
    </w:p>
    <w:p>
      <w:pPr>
        <w:spacing w:after="0" w:line="65"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18"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5"/>
        </w:trPr>
        <w:tc>
          <w:tcPr>
            <w:tcW w:w="6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7"/>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6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940" w:type="dxa"/>
            <w:vAlign w:val="bottom"/>
            <w:tcBorders>
              <w:top w:val="single" w:sz="8" w:color="auto"/>
            </w:tcBorders>
            <w:gridSpan w:val="4"/>
          </w:tcPr>
          <w:p>
            <w:pPr>
              <w:spacing w:after="0" w:line="143" w:lineRule="exact"/>
              <w:rPr>
                <w:sz w:val="20"/>
                <w:szCs w:val="20"/>
                <w:color w:val="auto"/>
              </w:rPr>
            </w:pPr>
            <w:r>
              <w:rPr>
                <w:rFonts w:ascii="Arial" w:cs="Arial" w:eastAsia="Arial" w:hAnsi="Arial"/>
                <w:sz w:val="14"/>
                <w:szCs w:val="14"/>
                <w:b w:val="1"/>
                <w:bCs w:val="1"/>
                <w:color w:val="auto"/>
              </w:rPr>
              <w:t>Jun. 30,</w:t>
            </w:r>
          </w:p>
        </w:tc>
        <w:tc>
          <w:tcPr>
            <w:tcW w:w="940" w:type="dxa"/>
            <w:vAlign w:val="bottom"/>
            <w:tcBorders>
              <w:top w:val="single" w:sz="8" w:color="auto"/>
            </w:tcBorders>
            <w:gridSpan w:val="3"/>
          </w:tcPr>
          <w:p>
            <w:pPr>
              <w:ind w:left="20"/>
              <w:spacing w:after="0" w:line="143" w:lineRule="exact"/>
              <w:rPr>
                <w:sz w:val="20"/>
                <w:szCs w:val="20"/>
                <w:color w:val="auto"/>
              </w:rPr>
            </w:pPr>
            <w:r>
              <w:rPr>
                <w:rFonts w:ascii="Arial" w:cs="Arial" w:eastAsia="Arial" w:hAnsi="Arial"/>
                <w:sz w:val="14"/>
                <w:szCs w:val="14"/>
                <w:color w:val="auto"/>
              </w:rPr>
              <w:t>Mar. 31,</w:t>
            </w:r>
          </w:p>
        </w:tc>
        <w:tc>
          <w:tcPr>
            <w:tcW w:w="560" w:type="dxa"/>
            <w:vAlign w:val="bottom"/>
            <w:tcBorders>
              <w:top w:val="single" w:sz="8" w:color="auto"/>
            </w:tcBorders>
            <w:gridSpan w:val="2"/>
          </w:tcPr>
          <w:p>
            <w:pPr>
              <w:ind w:left="20"/>
              <w:spacing w:after="0" w:line="143" w:lineRule="exact"/>
              <w:rPr>
                <w:sz w:val="20"/>
                <w:szCs w:val="20"/>
                <w:color w:val="auto"/>
              </w:rPr>
            </w:pPr>
            <w:r>
              <w:rPr>
                <w:rFonts w:ascii="Arial" w:cs="Arial" w:eastAsia="Arial" w:hAnsi="Arial"/>
                <w:sz w:val="14"/>
                <w:szCs w:val="14"/>
                <w:color w:val="auto"/>
              </w:rPr>
              <w:t>Jun. 30,</w:t>
            </w:r>
          </w:p>
        </w:tc>
        <w:tc>
          <w:tcPr>
            <w:tcW w:w="4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2023</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31"/>
              <w:spacing w:after="0"/>
              <w:rPr>
                <w:sz w:val="20"/>
                <w:szCs w:val="20"/>
                <w:color w:val="auto"/>
              </w:rPr>
            </w:pPr>
            <w:r>
              <w:rPr>
                <w:rFonts w:ascii="Arial" w:cs="Arial" w:eastAsia="Arial" w:hAnsi="Arial"/>
                <w:sz w:val="14"/>
                <w:szCs w:val="14"/>
                <w:color w:val="auto"/>
                <w:w w:val="96"/>
              </w:rPr>
              <w:t>2022</w:t>
            </w:r>
          </w:p>
        </w:tc>
        <w:tc>
          <w:tcPr>
            <w:tcW w:w="400" w:type="dxa"/>
            <w:vAlign w:val="bottom"/>
          </w:tcPr>
          <w:p>
            <w:pPr>
              <w:spacing w:after="0"/>
              <w:rPr>
                <w:sz w:val="15"/>
                <w:szCs w:val="15"/>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w w:val="98"/>
              </w:rPr>
              <w:t>Sequential</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Year-on-year</w:t>
            </w: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 by Division</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947</w:t>
            </w:r>
          </w:p>
        </w:tc>
        <w:tc>
          <w:tcPr>
            <w:tcW w:w="36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894</w:t>
            </w:r>
          </w:p>
        </w:tc>
        <w:tc>
          <w:tcPr>
            <w:tcW w:w="120" w:type="dxa"/>
            <w:vAlign w:val="bottom"/>
          </w:tcPr>
          <w:p>
            <w:pPr>
              <w:ind w:left="2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955</w:t>
            </w:r>
          </w:p>
        </w:tc>
        <w:tc>
          <w:tcPr>
            <w:tcW w:w="1120" w:type="dxa"/>
            <w:vAlign w:val="bottom"/>
            <w:gridSpan w:val="2"/>
          </w:tcPr>
          <w:p>
            <w:pPr>
              <w:jc w:val="right"/>
              <w:ind w:right="168"/>
              <w:spacing w:after="0" w:line="202" w:lineRule="exact"/>
              <w:rPr>
                <w:sz w:val="20"/>
                <w:szCs w:val="20"/>
                <w:color w:val="auto"/>
              </w:rPr>
            </w:pPr>
            <w:r>
              <w:rPr>
                <w:rFonts w:ascii="Arial" w:cs="Arial" w:eastAsia="Arial" w:hAnsi="Arial"/>
                <w:sz w:val="18"/>
                <w:szCs w:val="18"/>
                <w:b w:val="1"/>
                <w:bCs w:val="1"/>
                <w:color w:val="auto"/>
              </w:rPr>
              <w:t>6%</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1,643</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7"/>
              </w:rPr>
              <w:t>1,503</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3"/>
              </w:rPr>
              <w:t>1,333</w:t>
            </w:r>
          </w:p>
        </w:tc>
        <w:tc>
          <w:tcPr>
            <w:tcW w:w="11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9%</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3,362</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w w:val="97"/>
              </w:rPr>
              <w:t>3,261</w:t>
            </w:r>
          </w:p>
        </w:tc>
        <w:tc>
          <w:tcPr>
            <w:tcW w:w="120" w:type="dxa"/>
            <w:vAlign w:val="bottom"/>
          </w:tcPr>
          <w:p>
            <w:pPr>
              <w:spacing w:after="0"/>
              <w:rPr>
                <w:sz w:val="17"/>
                <w:szCs w:val="17"/>
                <w:color w:val="auto"/>
              </w:rPr>
            </w:pPr>
          </w:p>
        </w:tc>
        <w:tc>
          <w:tcPr>
            <w:tcW w:w="8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3"/>
              </w:rPr>
              <w:t>2,686</w:t>
            </w:r>
          </w:p>
        </w:tc>
        <w:tc>
          <w:tcPr>
            <w:tcW w:w="1120" w:type="dxa"/>
            <w:vAlign w:val="bottom"/>
            <w:gridSpan w:val="2"/>
          </w:tcPr>
          <w:p>
            <w:pPr>
              <w:jc w:val="right"/>
              <w:ind w:right="168"/>
              <w:spacing w:after="0" w:line="202" w:lineRule="exact"/>
              <w:rPr>
                <w:sz w:val="20"/>
                <w:szCs w:val="20"/>
                <w:color w:val="auto"/>
              </w:rPr>
            </w:pPr>
            <w:r>
              <w:rPr>
                <w:rFonts w:ascii="Arial" w:cs="Arial" w:eastAsia="Arial" w:hAnsi="Arial"/>
                <w:sz w:val="18"/>
                <w:szCs w:val="18"/>
                <w:b w:val="1"/>
                <w:bCs w:val="1"/>
                <w:color w:val="auto"/>
              </w:rPr>
              <w:t>3%</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2,313</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7"/>
              </w:rPr>
              <w:t>2,207</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3"/>
              </w:rPr>
              <w:t>1,893</w:t>
            </w:r>
          </w:p>
        </w:tc>
        <w:tc>
          <w:tcPr>
            <w:tcW w:w="11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5%</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60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40" w:type="dxa"/>
            <w:vAlign w:val="bottom"/>
            <w:gridSpan w:val="3"/>
          </w:tcPr>
          <w:p>
            <w:pPr>
              <w:jc w:val="right"/>
              <w:ind w:right="320"/>
              <w:spacing w:after="0" w:line="202" w:lineRule="exact"/>
              <w:rPr>
                <w:sz w:val="20"/>
                <w:szCs w:val="20"/>
                <w:color w:val="auto"/>
              </w:rPr>
            </w:pPr>
            <w:r>
              <w:rPr>
                <w:rFonts w:ascii="Arial" w:cs="Arial" w:eastAsia="Arial" w:hAnsi="Arial"/>
                <w:sz w:val="18"/>
                <w:szCs w:val="18"/>
                <w:b w:val="1"/>
                <w:bCs w:val="1"/>
                <w:color w:val="auto"/>
              </w:rPr>
              <w:t>(166)</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8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(94)</w:t>
            </w:r>
          </w:p>
        </w:tc>
        <w:tc>
          <w:tcPr>
            <w:tcW w:w="1120" w:type="dxa"/>
            <w:vAlign w:val="bottom"/>
            <w:gridSpan w:val="2"/>
          </w:tcPr>
          <w:p>
            <w:pPr>
              <w:jc w:val="right"/>
              <w:ind w:right="328"/>
              <w:spacing w:after="0" w:line="202" w:lineRule="exact"/>
              <w:rPr>
                <w:sz w:val="20"/>
                <w:szCs w:val="20"/>
                <w:color w:val="auto"/>
              </w:rPr>
            </w:pPr>
            <w:r>
              <w:rPr>
                <w:rFonts w:ascii="Arial" w:cs="Arial" w:eastAsia="Arial" w:hAnsi="Arial"/>
                <w:sz w:val="18"/>
                <w:szCs w:val="18"/>
                <w:b w:val="1"/>
                <w:bCs w:val="1"/>
                <w:color w:val="auto"/>
              </w:rPr>
              <w:t>n/m</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Borders>
              <w:top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8,099</w:t>
            </w: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840" w:type="dxa"/>
            <w:vAlign w:val="bottom"/>
            <w:tcBorders>
              <w:top w:val="single" w:sz="8" w:color="auto"/>
            </w:tcBorders>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7"/>
              </w:rPr>
              <w:t>7,736</w:t>
            </w:r>
          </w:p>
        </w:tc>
        <w:tc>
          <w:tcPr>
            <w:tcW w:w="120" w:type="dxa"/>
            <w:vAlign w:val="bottom"/>
            <w:tcBorders>
              <w:top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u w:val="single" w:color="auto"/>
                <w:color w:val="auto"/>
                <w:w w:val="79"/>
              </w:rPr>
              <w:t>$</w:t>
            </w:r>
          </w:p>
        </w:tc>
        <w:tc>
          <w:tcPr>
            <w:tcW w:w="840" w:type="dxa"/>
            <w:vAlign w:val="bottom"/>
            <w:tcBorders>
              <w:top w:val="single" w:sz="8" w:color="auto"/>
            </w:tcBorders>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3"/>
              </w:rPr>
              <w:t>6,773</w:t>
            </w:r>
          </w:p>
        </w:tc>
        <w:tc>
          <w:tcPr>
            <w:tcW w:w="1120" w:type="dxa"/>
            <w:vAlign w:val="bottom"/>
            <w:tcBorders>
              <w:top w:val="single" w:sz="8" w:color="auto"/>
            </w:tcBorders>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5%</w:t>
            </w:r>
          </w:p>
        </w:tc>
        <w:tc>
          <w:tcPr>
            <w:tcW w:w="1040" w:type="dxa"/>
            <w:vAlign w:val="bottom"/>
            <w:tcBorders>
              <w:top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 by Division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322</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379</w:t>
            </w:r>
          </w:p>
        </w:tc>
        <w:tc>
          <w:tcPr>
            <w:tcW w:w="11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22%</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306</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242</w:t>
            </w:r>
          </w:p>
        </w:tc>
        <w:tc>
          <w:tcPr>
            <w:tcW w:w="120" w:type="dxa"/>
            <w:vAlign w:val="bottom"/>
          </w:tcPr>
          <w:p>
            <w:pPr>
              <w:spacing w:after="0"/>
              <w:rPr>
                <w:sz w:val="17"/>
                <w:szCs w:val="17"/>
                <w:color w:val="auto"/>
              </w:rPr>
            </w:pPr>
          </w:p>
        </w:tc>
        <w:tc>
          <w:tcPr>
            <w:tcW w:w="8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195</w:t>
            </w:r>
          </w:p>
        </w:tc>
        <w:tc>
          <w:tcPr>
            <w:tcW w:w="1120" w:type="dxa"/>
            <w:vAlign w:val="bottom"/>
            <w:gridSpan w:val="2"/>
          </w:tcPr>
          <w:p>
            <w:pPr>
              <w:jc w:val="right"/>
              <w:ind w:right="168"/>
              <w:spacing w:after="0" w:line="202" w:lineRule="exact"/>
              <w:rPr>
                <w:sz w:val="20"/>
                <w:szCs w:val="20"/>
                <w:color w:val="auto"/>
              </w:rPr>
            </w:pPr>
            <w:r>
              <w:rPr>
                <w:rFonts w:ascii="Arial" w:cs="Arial" w:eastAsia="Arial" w:hAnsi="Arial"/>
                <w:sz w:val="18"/>
                <w:szCs w:val="18"/>
                <w:b w:val="1"/>
                <w:bCs w:val="1"/>
                <w:color w:val="auto"/>
              </w:rPr>
              <w:t>26%</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731</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470</w:t>
            </w:r>
          </w:p>
        </w:tc>
        <w:tc>
          <w:tcPr>
            <w:tcW w:w="11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9%</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278</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205</w:t>
            </w:r>
          </w:p>
        </w:tc>
        <w:tc>
          <w:tcPr>
            <w:tcW w:w="120" w:type="dxa"/>
            <w:vAlign w:val="bottom"/>
          </w:tcPr>
          <w:p>
            <w:pPr>
              <w:spacing w:after="0"/>
              <w:rPr>
                <w:sz w:val="17"/>
                <w:szCs w:val="17"/>
                <w:color w:val="auto"/>
              </w:rPr>
            </w:pPr>
          </w:p>
        </w:tc>
        <w:tc>
          <w:tcPr>
            <w:tcW w:w="8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171</w:t>
            </w:r>
          </w:p>
        </w:tc>
        <w:tc>
          <w:tcPr>
            <w:tcW w:w="1120" w:type="dxa"/>
            <w:vAlign w:val="bottom"/>
            <w:gridSpan w:val="2"/>
          </w:tcPr>
          <w:p>
            <w:pPr>
              <w:jc w:val="right"/>
              <w:ind w:right="168"/>
              <w:spacing w:after="0" w:line="202" w:lineRule="exact"/>
              <w:rPr>
                <w:sz w:val="20"/>
                <w:szCs w:val="20"/>
                <w:color w:val="auto"/>
              </w:rPr>
            </w:pPr>
            <w:r>
              <w:rPr>
                <w:rFonts w:ascii="Arial" w:cs="Arial" w:eastAsia="Arial" w:hAnsi="Arial"/>
                <w:sz w:val="18"/>
                <w:szCs w:val="18"/>
                <w:b w:val="1"/>
                <w:bCs w:val="1"/>
                <w:color w:val="auto"/>
              </w:rPr>
              <w:t>36%</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(56)</w:t>
            </w:r>
          </w:p>
        </w:tc>
        <w:tc>
          <w:tcPr>
            <w:tcW w:w="112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n/m</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1,581</w:t>
            </w:r>
          </w:p>
        </w:tc>
        <w:tc>
          <w:tcPr>
            <w:tcW w:w="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1,391</w:t>
            </w:r>
          </w:p>
        </w:tc>
        <w:tc>
          <w:tcPr>
            <w:tcW w:w="3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1,159</w:t>
            </w:r>
          </w:p>
        </w:tc>
        <w:tc>
          <w:tcPr>
            <w:tcW w:w="112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14%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Operating Margin by Division</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tcPr>
          <w:p>
            <w:pPr>
              <w:spacing w:after="0"/>
              <w:rPr>
                <w:sz w:val="17"/>
                <w:szCs w:val="17"/>
                <w:color w:val="auto"/>
              </w:rPr>
            </w:pPr>
          </w:p>
        </w:tc>
        <w:tc>
          <w:tcPr>
            <w:tcW w:w="840" w:type="dxa"/>
            <w:vAlign w:val="bottom"/>
            <w:gridSpan w:val="3"/>
          </w:tcPr>
          <w:p>
            <w:pPr>
              <w:jc w:val="right"/>
              <w:ind w:right="220"/>
              <w:spacing w:after="0" w:line="202" w:lineRule="exact"/>
              <w:rPr>
                <w:sz w:val="20"/>
                <w:szCs w:val="20"/>
                <w:color w:val="auto"/>
              </w:rPr>
            </w:pPr>
            <w:r>
              <w:rPr>
                <w:rFonts w:ascii="Arial" w:cs="Arial" w:eastAsia="Arial" w:hAnsi="Arial"/>
                <w:sz w:val="18"/>
                <w:szCs w:val="18"/>
                <w:b w:val="1"/>
                <w:bCs w:val="1"/>
                <w:color w:val="auto"/>
              </w:rPr>
              <w:t>34.0%</w:t>
            </w:r>
          </w:p>
        </w:tc>
        <w:tc>
          <w:tcPr>
            <w:tcW w:w="10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29.6%</w:t>
            </w:r>
          </w:p>
        </w:tc>
        <w:tc>
          <w:tcPr>
            <w:tcW w:w="12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39.7%</w:t>
            </w:r>
          </w:p>
        </w:tc>
        <w:tc>
          <w:tcPr>
            <w:tcW w:w="1120" w:type="dxa"/>
            <w:vAlign w:val="bottom"/>
            <w:gridSpan w:val="2"/>
          </w:tcPr>
          <w:p>
            <w:pPr>
              <w:jc w:val="right"/>
              <w:ind w:right="328"/>
              <w:spacing w:after="0" w:line="202" w:lineRule="exact"/>
              <w:rPr>
                <w:sz w:val="20"/>
                <w:szCs w:val="20"/>
                <w:color w:val="auto"/>
              </w:rPr>
            </w:pPr>
            <w:r>
              <w:rPr>
                <w:rFonts w:ascii="Arial" w:cs="Arial" w:eastAsia="Arial" w:hAnsi="Arial"/>
                <w:sz w:val="18"/>
                <w:szCs w:val="18"/>
                <w:b w:val="1"/>
                <w:bCs w:val="1"/>
                <w:color w:val="auto"/>
              </w:rPr>
              <w:t>438 bps</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-572 bps</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18.6%</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14.6%</w:t>
            </w:r>
          </w:p>
        </w:tc>
        <w:tc>
          <w:tcPr>
            <w:tcW w:w="112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248 bps</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396 bps</w:t>
            </w:r>
          </w:p>
        </w:tc>
        <w:tc>
          <w:tcPr>
            <w:tcW w:w="0" w:type="dxa"/>
            <w:vAlign w:val="bottom"/>
          </w:tcPr>
          <w:p>
            <w:pPr>
              <w:spacing w:after="0"/>
              <w:rPr>
                <w:sz w:val="1"/>
                <w:szCs w:val="1"/>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7"/>
                <w:szCs w:val="17"/>
                <w:color w:val="auto"/>
              </w:rPr>
            </w:pPr>
          </w:p>
        </w:tc>
        <w:tc>
          <w:tcPr>
            <w:tcW w:w="840" w:type="dxa"/>
            <w:vAlign w:val="bottom"/>
            <w:gridSpan w:val="3"/>
          </w:tcPr>
          <w:p>
            <w:pPr>
              <w:jc w:val="right"/>
              <w:ind w:right="220"/>
              <w:spacing w:after="0" w:line="202" w:lineRule="exact"/>
              <w:rPr>
                <w:sz w:val="20"/>
                <w:szCs w:val="20"/>
                <w:color w:val="auto"/>
              </w:rPr>
            </w:pPr>
            <w:r>
              <w:rPr>
                <w:rFonts w:ascii="Arial" w:cs="Arial" w:eastAsia="Arial" w:hAnsi="Arial"/>
                <w:sz w:val="18"/>
                <w:szCs w:val="18"/>
                <w:b w:val="1"/>
                <w:bCs w:val="1"/>
                <w:color w:val="auto"/>
              </w:rPr>
              <w:t>21.8%</w:t>
            </w:r>
          </w:p>
        </w:tc>
        <w:tc>
          <w:tcPr>
            <w:tcW w:w="10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20.6%</w:t>
            </w:r>
          </w:p>
        </w:tc>
        <w:tc>
          <w:tcPr>
            <w:tcW w:w="12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17.5%</w:t>
            </w:r>
          </w:p>
        </w:tc>
        <w:tc>
          <w:tcPr>
            <w:tcW w:w="1120" w:type="dxa"/>
            <w:vAlign w:val="bottom"/>
            <w:gridSpan w:val="2"/>
          </w:tcPr>
          <w:p>
            <w:pPr>
              <w:jc w:val="right"/>
              <w:ind w:right="328"/>
              <w:spacing w:after="0" w:line="202" w:lineRule="exact"/>
              <w:rPr>
                <w:sz w:val="20"/>
                <w:szCs w:val="20"/>
                <w:color w:val="auto"/>
              </w:rPr>
            </w:pPr>
            <w:r>
              <w:rPr>
                <w:rFonts w:ascii="Arial" w:cs="Arial" w:eastAsia="Arial" w:hAnsi="Arial"/>
                <w:sz w:val="18"/>
                <w:szCs w:val="18"/>
                <w:b w:val="1"/>
                <w:bCs w:val="1"/>
                <w:color w:val="auto"/>
              </w:rPr>
              <w:t>115 bps</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424 bps</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12.0%</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9.0%</w:t>
            </w:r>
          </w:p>
        </w:tc>
        <w:tc>
          <w:tcPr>
            <w:tcW w:w="112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274 bps</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300 bps</w:t>
            </w:r>
          </w:p>
        </w:tc>
        <w:tc>
          <w:tcPr>
            <w:tcW w:w="0" w:type="dxa"/>
            <w:vAlign w:val="bottom"/>
          </w:tcPr>
          <w:p>
            <w:pPr>
              <w:spacing w:after="0"/>
              <w:rPr>
                <w:sz w:val="1"/>
                <w:szCs w:val="1"/>
                <w:color w:val="auto"/>
              </w:rPr>
            </w:pPr>
          </w:p>
        </w:tc>
      </w:tr>
      <w:tr>
        <w:trPr>
          <w:trHeight w:val="209"/>
        </w:trPr>
        <w:tc>
          <w:tcPr>
            <w:tcW w:w="60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40" w:type="dxa"/>
            <w:vAlign w:val="bottom"/>
            <w:gridSpan w:val="3"/>
          </w:tcPr>
          <w:p>
            <w:pPr>
              <w:jc w:val="right"/>
              <w:ind w:right="380"/>
              <w:spacing w:after="0" w:line="202" w:lineRule="exact"/>
              <w:rPr>
                <w:sz w:val="20"/>
                <w:szCs w:val="20"/>
                <w:color w:val="auto"/>
              </w:rPr>
            </w:pPr>
            <w:r>
              <w:rPr>
                <w:rFonts w:ascii="Arial" w:cs="Arial" w:eastAsia="Arial" w:hAnsi="Arial"/>
                <w:sz w:val="18"/>
                <w:szCs w:val="18"/>
                <w:b w:val="1"/>
                <w:bCs w:val="1"/>
                <w:color w:val="auto"/>
              </w:rPr>
              <w:t>n/m</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n/m</w:t>
            </w:r>
          </w:p>
        </w:tc>
        <w:tc>
          <w:tcPr>
            <w:tcW w:w="1120" w:type="dxa"/>
            <w:vAlign w:val="bottom"/>
            <w:gridSpan w:val="2"/>
          </w:tcPr>
          <w:p>
            <w:pPr>
              <w:jc w:val="right"/>
              <w:ind w:right="328"/>
              <w:spacing w:after="0" w:line="202" w:lineRule="exact"/>
              <w:rPr>
                <w:sz w:val="20"/>
                <w:szCs w:val="20"/>
                <w:color w:val="auto"/>
              </w:rPr>
            </w:pPr>
            <w:r>
              <w:rPr>
                <w:rFonts w:ascii="Arial" w:cs="Arial" w:eastAsia="Arial" w:hAnsi="Arial"/>
                <w:sz w:val="18"/>
                <w:szCs w:val="18"/>
                <w:b w:val="1"/>
                <w:bCs w:val="1"/>
                <w:color w:val="auto"/>
              </w:rPr>
              <w:t>n/m</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19.5%</w:t>
            </w: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18.0%</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17.1%</w:t>
            </w: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154 bps</w:t>
            </w:r>
          </w:p>
        </w:tc>
        <w:tc>
          <w:tcPr>
            <w:tcW w:w="400" w:type="dxa"/>
            <w:vAlign w:val="bottom"/>
            <w:shd w:val="clear" w:color="auto" w:fill="CCEEFF"/>
          </w:tcPr>
          <w:p>
            <w:pPr>
              <w:spacing w:after="0"/>
              <w:rPr>
                <w:sz w:val="17"/>
                <w:szCs w:val="17"/>
                <w:color w:val="auto"/>
              </w:rPr>
            </w:pPr>
          </w:p>
        </w:tc>
        <w:tc>
          <w:tcPr>
            <w:tcW w:w="1040" w:type="dxa"/>
            <w:vAlign w:val="bottom"/>
            <w:tcBorders>
              <w:top w:val="single" w:sz="8" w:color="auto"/>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240 bps</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n/m = not meaningful</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and Offshore-Led Growth Fueling Strong Margin Expansion and Cash Flows</w:t>
      </w:r>
    </w:p>
    <w:p>
      <w:pPr>
        <w:spacing w:after="0" w:line="114"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SLB CEO Olivier Le Peuch commented, “I am very pleased with our second-quarter results, which reflect significant growth in the international markets, particularly in the Middle East &amp; Asia, and offshore. North America revenue also grew sequentially benefiting from our agility across the most resilient basins and market segments, although the rig count in the area declined. As the upcycle continues to unfold, we are excited about the opportunities for our business, with international- and offshore-led growth fueling strong pretax segment operating margin expansion and cash flows as highlighted in this quarter’s results. We are very well positioned in these markets, as international represents nearly 80% of our global revenue, and offshore constitutes approximately half of that. Both sequentially and year on year, we saw broad international revenue growth that resulted in margins expanding across all Divisions and geographical areas.</w:t>
      </w:r>
    </w:p>
    <w:p>
      <w:pPr>
        <w:spacing w:after="0" w:line="180" w:lineRule="exact"/>
        <w:rPr>
          <w:sz w:val="20"/>
          <w:szCs w:val="20"/>
          <w:color w:val="auto"/>
        </w:rPr>
      </w:pPr>
    </w:p>
    <w:p>
      <w:pPr>
        <w:ind w:right="520"/>
        <w:spacing w:after="0" w:line="247" w:lineRule="auto"/>
        <w:rPr>
          <w:sz w:val="20"/>
          <w:szCs w:val="20"/>
          <w:color w:val="auto"/>
        </w:rPr>
      </w:pPr>
      <w:r>
        <w:rPr>
          <w:rFonts w:ascii="Arial" w:cs="Arial" w:eastAsia="Arial" w:hAnsi="Arial"/>
          <w:sz w:val="18"/>
          <w:szCs w:val="18"/>
          <w:color w:val="auto"/>
        </w:rPr>
        <w:t>“Our focus on the quality of our revenue continues to drive margins, and during the second quarter, we received numerous multiyear contract awards. This is bolstering our outlook for long-term growth that will outlast near-term commodity price volatility, and it is reinforcing our belief in the breadth, resilience, and durability of the upcycle.</w:t>
      </w:r>
    </w:p>
    <w:p>
      <w:pPr>
        <w:spacing w:after="0" w:line="184"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“Compared to the same period a year ago, international revenue grew 21%, outpacing North America which increased 14%. Year on year, revenue grew 20% and pretax segment operating margin expanded 240 basis points (bps), representing the tenth straight quarter that we have increased our pretax segment operating margin year on year. This was driven by the international markets, where we posted our highest year-on-year incremental margin in the last three years, demonstrating the earnings power of our operations in these markets.”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492"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Middle East &amp; Asia and Offshore Drove Strong Sequential Performance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“Sequentially, our revenue grew 5%—more than $350 million—driven largely by the Middle East &amp; Asia area which increased 10%, or</w:t>
      </w:r>
    </w:p>
    <w:p>
      <w:pPr>
        <w:spacing w:after="0" w:line="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$249 million. This increase was propelled by strong double-digit growth in Saudi Arabia, Kuwait, United Arab Emirates, Egypt, India, and China. Similarly, our offshore businesses in the US Gulf of Mexico, Brazil, Angola, Namibia, and the Caspian Sea posted double-digit growth sequentially.</w:t>
      </w:r>
    </w:p>
    <w:p>
      <w:pPr>
        <w:spacing w:after="0" w:line="19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“Overall, our second-quarter pretax segment operating margin expanded 154 bps sequentially. Margin expansion was driven by operating leverage, increased technology adoption, and pricing that stemmed from contracts being adjusted for inflation and tight service capacity in key markets.</w:t>
      </w:r>
    </w:p>
    <w:p>
      <w:pPr>
        <w:spacing w:after="0" w:line="18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“Second-quarter cash flow from operations vastly improved to $1.61 billion—$1.28 billion higher sequentially—and free cash flow was $986 million. Contributing to this very strong cash flow performance were higher earnings, robust receivable collections, improved inventory turnover, and continued capex discipline. We expect free cash flow generation in the second half of the year to be visibly higher than the first half, firmly positioning us to outperform last year’s free cash flow.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 am very proud of the exceptional results delivered by the SLB team.”</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Confidence in the Long-Term Outlook</w:t>
      </w:r>
    </w:p>
    <w:p>
      <w:pPr>
        <w:spacing w:after="0" w:line="114"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“We continue to see positive upstream investment momentum in the international and offshore markets. These markets are being driven by resilient long-cycle offshore developments, production capacity expansions, the return of global exploration and appraisal, and the recognition of gas as a critical fuel source for energy security and the energy transition.</w:t>
      </w:r>
    </w:p>
    <w:p>
      <w:pPr>
        <w:spacing w:after="0" w:line="18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“This is resulting in a significant baseload of activity as you can see from the number of contract awards in our quarterly highlights. The nature of these awards displays the duration and magnitude of this upcycle, both on land and offshore. We remain proud to be the partner of choice for our customers.</w:t>
      </w:r>
    </w:p>
    <w:p>
      <w:pPr>
        <w:spacing w:after="0" w:line="184"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“As international spending builds further momentum in the second half of 2023 and North America moderates as anticipated, this cycle continues to align closely with SLB’s strengths, affirming our confidence in our full-year financial ambitions.</w:t>
      </w:r>
    </w:p>
    <w:p>
      <w:pPr>
        <w:spacing w:after="0" w:line="173" w:lineRule="exact"/>
        <w:rPr>
          <w:sz w:val="20"/>
          <w:szCs w:val="20"/>
          <w:color w:val="auto"/>
        </w:rPr>
      </w:pPr>
    </w:p>
    <w:p>
      <w:pPr>
        <w:jc w:val="both"/>
        <w:ind w:right="760"/>
        <w:spacing w:after="0" w:line="247" w:lineRule="auto"/>
        <w:rPr>
          <w:sz w:val="20"/>
          <w:szCs w:val="20"/>
          <w:color w:val="auto"/>
        </w:rPr>
      </w:pPr>
      <w:r>
        <w:rPr>
          <w:rFonts w:ascii="Arial" w:cs="Arial" w:eastAsia="Arial" w:hAnsi="Arial"/>
          <w:sz w:val="18"/>
          <w:szCs w:val="18"/>
          <w:color w:val="auto"/>
        </w:rPr>
        <w:t>“This is a compelling environment for our industry, and SLB is a disciplined and efficient company that is moving in sync with our customers and our shareholders. We believe we are well positioned to execute our returns-focused strategy and commitment to shareholder returns.”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14"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During the quarter, SLB repurchased approximately 4.5 million shares of its common stock at an average price of $47.33 per share for a total purchase price of $213 million.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481" w:right="51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Also during the quarter, SLB issued $500 million of 4.500% Senior Notes due 2028 and $500 million of 4.850% Senior Notes due 2033.</w:t>
      </w:r>
    </w:p>
    <w:p>
      <w:pPr>
        <w:spacing w:after="0" w:line="21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On July 20, 2023, SLB’s Board of Directors approved a quarterly cash dividend of $0.25 per share of outstanding common stock, payable on October 12, 2023, to stockholders of record on September 6, 2023.</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Second-Quarter Revenue by Geographical Area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2440" w:type="dxa"/>
            <w:vAlign w:val="bottom"/>
            <w:gridSpan w:val="6"/>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3"/>
          </w:tcPr>
          <w:p>
            <w:pPr>
              <w:jc w:val="right"/>
              <w:ind w:right="1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20"/>
              <w:spacing w:after="0" w:line="143" w:lineRule="exact"/>
              <w:rPr>
                <w:sz w:val="20"/>
                <w:szCs w:val="20"/>
                <w:color w:val="auto"/>
              </w:rPr>
            </w:pPr>
            <w:r>
              <w:rPr>
                <w:rFonts w:ascii="Arial" w:cs="Arial" w:eastAsia="Arial" w:hAnsi="Arial"/>
                <w:sz w:val="14"/>
                <w:szCs w:val="14"/>
                <w:b w:val="1"/>
                <w:bCs w:val="1"/>
                <w:color w:val="auto"/>
                <w:w w:val="99"/>
              </w:rPr>
              <w:t>Jun. 30,</w:t>
            </w:r>
          </w:p>
        </w:tc>
        <w:tc>
          <w:tcPr>
            <w:tcW w:w="3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ind w:right="400"/>
              <w:spacing w:after="0" w:line="143" w:lineRule="exact"/>
              <w:rPr>
                <w:sz w:val="20"/>
                <w:szCs w:val="20"/>
                <w:color w:val="auto"/>
              </w:rPr>
            </w:pPr>
            <w:r>
              <w:rPr>
                <w:rFonts w:ascii="Arial" w:cs="Arial" w:eastAsia="Arial" w:hAnsi="Arial"/>
                <w:sz w:val="14"/>
                <w:szCs w:val="14"/>
                <w:color w:val="auto"/>
              </w:rPr>
              <w:t>Mar. 31,</w:t>
            </w:r>
          </w:p>
        </w:tc>
        <w:tc>
          <w:tcPr>
            <w:tcW w:w="5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Jun. 30,</w:t>
            </w:r>
          </w:p>
        </w:tc>
        <w:tc>
          <w:tcPr>
            <w:tcW w:w="4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2023</w:t>
            </w:r>
          </w:p>
        </w:tc>
        <w:tc>
          <w:tcPr>
            <w:tcW w:w="4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4"/>
                <w:szCs w:val="14"/>
                <w:color w:val="auto"/>
              </w:rPr>
              <w:t>2022</w:t>
            </w:r>
          </w:p>
        </w:tc>
        <w:tc>
          <w:tcPr>
            <w:tcW w:w="4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Sequential</w:t>
            </w:r>
          </w:p>
        </w:tc>
        <w:tc>
          <w:tcPr>
            <w:tcW w:w="340" w:type="dxa"/>
            <w:vAlign w:val="bottom"/>
          </w:tcPr>
          <w:p>
            <w:pPr>
              <w:spacing w:after="0"/>
              <w:rPr>
                <w:sz w:val="15"/>
                <w:szCs w:val="15"/>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North America</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4"/>
              </w:rPr>
              <w:t>$1,746</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w w:val="98"/>
              </w:rPr>
              <w:t>$1,698</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$1,537</w:t>
            </w:r>
          </w:p>
        </w:tc>
        <w:tc>
          <w:tcPr>
            <w:tcW w:w="1340" w:type="dxa"/>
            <w:vAlign w:val="bottom"/>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b w:val="1"/>
                <w:bCs w:val="1"/>
                <w:color w:val="auto"/>
              </w:rPr>
              <w:t>3%</w:t>
            </w:r>
          </w:p>
        </w:tc>
        <w:tc>
          <w:tcPr>
            <w:tcW w:w="174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Latin America</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1,624</w:t>
            </w:r>
          </w:p>
        </w:tc>
        <w:tc>
          <w:tcPr>
            <w:tcW w:w="134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1,617</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1,329</w:t>
            </w:r>
          </w:p>
        </w:tc>
        <w:tc>
          <w:tcPr>
            <w:tcW w:w="400" w:type="dxa"/>
            <w:vAlign w:val="bottom"/>
          </w:tcPr>
          <w:p>
            <w:pPr>
              <w:spacing w:after="0"/>
              <w:rPr>
                <w:sz w:val="17"/>
                <w:szCs w:val="17"/>
                <w:color w:val="auto"/>
              </w:rPr>
            </w:pPr>
          </w:p>
        </w:tc>
        <w:tc>
          <w:tcPr>
            <w:tcW w:w="94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17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Europe &amp; Africa*</w:t>
            </w:r>
          </w:p>
        </w:tc>
        <w:tc>
          <w:tcPr>
            <w:tcW w:w="5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2,031</w:t>
            </w:r>
          </w:p>
        </w:tc>
        <w:tc>
          <w:tcPr>
            <w:tcW w:w="134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1,974</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1,691</w:t>
            </w:r>
          </w:p>
        </w:tc>
        <w:tc>
          <w:tcPr>
            <w:tcW w:w="13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3%</w:t>
            </w:r>
          </w:p>
        </w:tc>
        <w:tc>
          <w:tcPr>
            <w:tcW w:w="17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Middle East &amp; Asia</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2,642</w:t>
            </w:r>
          </w:p>
        </w:tc>
        <w:tc>
          <w:tcPr>
            <w:tcW w:w="134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2,394</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2,168</w:t>
            </w:r>
          </w:p>
        </w:tc>
        <w:tc>
          <w:tcPr>
            <w:tcW w:w="1340" w:type="dxa"/>
            <w:vAlign w:val="bottom"/>
            <w:gridSpan w:val="3"/>
          </w:tcPr>
          <w:p>
            <w:pPr>
              <w:jc w:val="right"/>
              <w:ind w:right="40"/>
              <w:spacing w:after="0" w:line="202" w:lineRule="exact"/>
              <w:rPr>
                <w:sz w:val="20"/>
                <w:szCs w:val="20"/>
                <w:color w:val="auto"/>
              </w:rPr>
            </w:pPr>
            <w:r>
              <w:rPr>
                <w:rFonts w:ascii="Arial" w:cs="Arial" w:eastAsia="Arial" w:hAnsi="Arial"/>
                <w:sz w:val="18"/>
                <w:szCs w:val="18"/>
                <w:b w:val="1"/>
                <w:bCs w:val="1"/>
                <w:color w:val="auto"/>
              </w:rPr>
              <w:t>10%</w:t>
            </w:r>
          </w:p>
        </w:tc>
        <w:tc>
          <w:tcPr>
            <w:tcW w:w="17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56</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53</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n/m</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94"/>
              </w:rPr>
              <w:t>$</w:t>
            </w:r>
            <w:r>
              <w:rPr>
                <w:rFonts w:ascii="Arial" w:cs="Arial" w:eastAsia="Arial" w:hAnsi="Arial"/>
                <w:sz w:val="18"/>
                <w:szCs w:val="18"/>
                <w:b w:val="1"/>
                <w:bCs w:val="1"/>
                <w:color w:val="auto"/>
                <w:w w:val="94"/>
              </w:rPr>
              <w:t>8,099</w:t>
            </w:r>
          </w:p>
        </w:tc>
        <w:tc>
          <w:tcPr>
            <w:tcW w:w="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7,736</w:t>
            </w:r>
          </w:p>
        </w:tc>
        <w:tc>
          <w:tcPr>
            <w:tcW w:w="540" w:type="dxa"/>
            <w:vAlign w:val="bottom"/>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6,773</w:t>
            </w:r>
          </w:p>
        </w:tc>
        <w:tc>
          <w:tcPr>
            <w:tcW w:w="400" w:type="dxa"/>
            <w:vAlign w:val="bottom"/>
            <w:vMerge w:val="continue"/>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w:t>
            </w:r>
          </w:p>
        </w:tc>
        <w:tc>
          <w:tcPr>
            <w:tcW w:w="174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560" w:type="dxa"/>
            <w:vAlign w:val="bottom"/>
            <w:tcBorders>
              <w:top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International</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4"/>
              </w:rPr>
              <w:t>$6,297</w:t>
            </w:r>
          </w:p>
        </w:tc>
        <w:tc>
          <w:tcPr>
            <w:tcW w:w="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$5,985</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$5,188</w:t>
            </w:r>
          </w:p>
        </w:tc>
        <w:tc>
          <w:tcPr>
            <w:tcW w:w="400" w:type="dxa"/>
            <w:vAlign w:val="bottom"/>
            <w:shd w:val="clear" w:color="auto" w:fill="CCEEFF"/>
          </w:tcPr>
          <w:p>
            <w:pPr>
              <w:spacing w:after="0"/>
              <w:rPr>
                <w:sz w:val="17"/>
                <w:szCs w:val="17"/>
                <w:color w:val="auto"/>
              </w:rPr>
            </w:pPr>
          </w:p>
        </w:tc>
        <w:tc>
          <w:tcPr>
            <w:tcW w:w="940" w:type="dxa"/>
            <w:vAlign w:val="bottom"/>
            <w:tcBorders>
              <w:top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b w:val="1"/>
                <w:bCs w:val="1"/>
                <w:color w:val="auto"/>
              </w:rPr>
              <w:t>5%</w:t>
            </w:r>
          </w:p>
        </w:tc>
        <w:tc>
          <w:tcPr>
            <w:tcW w:w="174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1"/>
        </w:trPr>
        <w:tc>
          <w:tcPr>
            <w:tcW w:w="5500" w:type="dxa"/>
            <w:vAlign w:val="bottom"/>
          </w:tcPr>
          <w:p>
            <w:pPr>
              <w:spacing w:after="0"/>
              <w:rPr>
                <w:sz w:val="20"/>
                <w:szCs w:val="20"/>
                <w:color w:val="auto"/>
              </w:rPr>
            </w:pPr>
            <w:r>
              <w:rPr>
                <w:rFonts w:ascii="Arial" w:cs="Arial" w:eastAsia="Arial" w:hAnsi="Arial"/>
                <w:sz w:val="18"/>
                <w:szCs w:val="18"/>
                <w:color w:val="auto"/>
              </w:rPr>
              <w:t>North America</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4"/>
              </w:rPr>
              <w:t>$1,746</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$1,698</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$1,537</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w:t>
            </w:r>
          </w:p>
        </w:tc>
        <w:tc>
          <w:tcPr>
            <w:tcW w:w="174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Includes Russia and the Caspian region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04" w:lineRule="exact"/>
        <w:rPr>
          <w:sz w:val="20"/>
          <w:szCs w:val="20"/>
          <w:color w:val="auto"/>
        </w:rPr>
      </w:pPr>
    </w:p>
    <w:p>
      <w:pPr>
        <w:jc w:val="both"/>
        <w:ind w:right="180"/>
        <w:spacing w:after="0" w:line="266" w:lineRule="auto"/>
        <w:rPr>
          <w:sz w:val="20"/>
          <w:szCs w:val="20"/>
          <w:color w:val="auto"/>
        </w:rPr>
      </w:pPr>
      <w:r>
        <w:rPr>
          <w:rFonts w:ascii="Arial" w:cs="Arial" w:eastAsia="Arial" w:hAnsi="Arial"/>
          <w:sz w:val="17"/>
          <w:szCs w:val="17"/>
          <w:color w:val="auto"/>
        </w:rPr>
        <w:t xml:space="preserve">Revenue in </w:t>
      </w:r>
      <w:r>
        <w:rPr>
          <w:rFonts w:ascii="Arial" w:cs="Arial" w:eastAsia="Arial" w:hAnsi="Arial"/>
          <w:sz w:val="17"/>
          <w:szCs w:val="17"/>
          <w:b w:val="1"/>
          <w:bCs w:val="1"/>
          <w:color w:val="auto"/>
        </w:rPr>
        <w:t>Latin America</w:t>
      </w:r>
      <w:r>
        <w:rPr>
          <w:rFonts w:ascii="Arial" w:cs="Arial" w:eastAsia="Arial" w:hAnsi="Arial"/>
          <w:sz w:val="17"/>
          <w:szCs w:val="17"/>
          <w:color w:val="auto"/>
        </w:rPr>
        <w:t xml:space="preserve"> of $1.62 billion was essentially flat sequentially as higher drilling activity offshore Brazil, increased stimulation activity in Argentina, higher sales of midstream production systems offshore Guyana, and increased Asset Performance Solutions (APS) revenue in Ecuador were offset by lower revenue in Mexico. Year on year, revenue grew 22% led by higher drilling activity in Mexico and Brazil, increased sales of production systems in Guyana, and increased intervention and stimulation activity in Argentina.</w:t>
      </w:r>
    </w:p>
    <w:p>
      <w:pPr>
        <w:spacing w:after="0" w:line="15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color w:val="auto"/>
        </w:rPr>
        <w:t xml:space="preserve">Europe &amp; Africa </w:t>
      </w:r>
      <w:r>
        <w:rPr>
          <w:rFonts w:ascii="Arial" w:cs="Arial" w:eastAsia="Arial" w:hAnsi="Arial"/>
          <w:sz w:val="18"/>
          <w:szCs w:val="18"/>
          <w:color w:val="auto"/>
        </w:rPr>
        <w:t>revenue of $ 2.03 billion grew 3% sequentially due to higher offshore activity in Angola and Namibia, increased drilling in</w:t>
      </w:r>
      <w:r>
        <w:rPr>
          <w:rFonts w:ascii="Arial" w:cs="Arial" w:eastAsia="Arial" w:hAnsi="Arial"/>
          <w:sz w:val="18"/>
          <w:szCs w:val="18"/>
          <w:b w:val="1"/>
          <w:bCs w:val="1"/>
          <w:color w:val="auto"/>
        </w:rPr>
        <w:t xml:space="preserve"> </w:t>
      </w:r>
      <w:r>
        <w:rPr>
          <w:rFonts w:ascii="Arial" w:cs="Arial" w:eastAsia="Arial" w:hAnsi="Arial"/>
          <w:sz w:val="18"/>
          <w:szCs w:val="18"/>
          <w:color w:val="auto"/>
        </w:rPr>
        <w:t>Scandinavia, and higher sales of subsea production systems in the Caspian Sea. These increases were partially offset by the non-repeat of last quarter’s significant midstream production systems project milestones. Year on year, revenue grew 20% resulting from increased exploration, drilling, and production activity offshore Africa and higher drilling in Scandinavia and Europe.</w:t>
      </w:r>
    </w:p>
    <w:p>
      <w:pPr>
        <w:spacing w:after="0" w:line="17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 xml:space="preserve">Revenue in the </w:t>
      </w:r>
      <w:r>
        <w:rPr>
          <w:rFonts w:ascii="Arial" w:cs="Arial" w:eastAsia="Arial" w:hAnsi="Arial"/>
          <w:sz w:val="18"/>
          <w:szCs w:val="18"/>
          <w:b w:val="1"/>
          <w:bCs w:val="1"/>
          <w:color w:val="auto"/>
        </w:rPr>
        <w:t>Middle East &amp; Asia</w:t>
      </w:r>
      <w:r>
        <w:rPr>
          <w:rFonts w:ascii="Arial" w:cs="Arial" w:eastAsia="Arial" w:hAnsi="Arial"/>
          <w:sz w:val="18"/>
          <w:szCs w:val="18"/>
          <w:color w:val="auto"/>
        </w:rPr>
        <w:t xml:space="preserve"> of $2.64 billion increased 10% sequentially driven by double-digit revenue growth in Saudi Arabia, Egypt, United Arab Emirates, Kuwait, China, and India. This was a result of higher drilling, intervention, stimulation, and evaluation activity, both on land and offshore. Year on year, revenue grew 22% with double-digit growth across Saudi Arabia, United Arab Emirates, Qatar, Egypt, Oman, Iraq, India, East Asia, and Australia.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491"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North America</w:t>
      </w:r>
    </w:p>
    <w:p>
      <w:pPr>
        <w:spacing w:after="0" w:line="104"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b w:val="1"/>
          <w:bCs w:val="1"/>
          <w:color w:val="auto"/>
        </w:rPr>
        <w:t xml:space="preserve">North America </w:t>
      </w:r>
      <w:r>
        <w:rPr>
          <w:rFonts w:ascii="Arial" w:cs="Arial" w:eastAsia="Arial" w:hAnsi="Arial"/>
          <w:sz w:val="17"/>
          <w:szCs w:val="17"/>
          <w:color w:val="auto"/>
        </w:rPr>
        <w:t>revenue of $1.75 billion grew 3% sequentially–despite the decrease in rig count–benefiting from our agility across the</w:t>
      </w:r>
      <w:r>
        <w:rPr>
          <w:rFonts w:ascii="Arial" w:cs="Arial" w:eastAsia="Arial" w:hAnsi="Arial"/>
          <w:sz w:val="17"/>
          <w:szCs w:val="17"/>
          <w:b w:val="1"/>
          <w:bCs w:val="1"/>
          <w:color w:val="auto"/>
        </w:rPr>
        <w:t xml:space="preserve"> </w:t>
      </w:r>
      <w:r>
        <w:rPr>
          <w:rFonts w:ascii="Arial" w:cs="Arial" w:eastAsia="Arial" w:hAnsi="Arial"/>
          <w:sz w:val="17"/>
          <w:szCs w:val="17"/>
          <w:color w:val="auto"/>
        </w:rPr>
        <w:t>most resilient land basins and market segments. In addition, our strong offshore position in the US Gulf of Mexico contributed to our revenue growth as activity increased sequentially. US land revenue grew sequentially, outperforming the rig count decline, while offshore experienced double-digit growth, boosted by increased sales of completions and subsea production systems as well as higher drilling and evaluation activity. In contrast, Canada land revenue decreased due to the spring breakup. Year on year, North America revenue grew</w:t>
      </w:r>
    </w:p>
    <w:p>
      <w:pPr>
        <w:ind w:right="20"/>
        <w:spacing w:after="0" w:line="246" w:lineRule="auto"/>
        <w:rPr>
          <w:sz w:val="20"/>
          <w:szCs w:val="20"/>
          <w:color w:val="auto"/>
        </w:rPr>
      </w:pPr>
      <w:r>
        <w:rPr>
          <w:rFonts w:ascii="Arial" w:cs="Arial" w:eastAsia="Arial" w:hAnsi="Arial"/>
          <w:sz w:val="18"/>
          <w:szCs w:val="18"/>
          <w:color w:val="auto"/>
        </w:rPr>
        <w:t>14% due to strong land and offshore drilling and higher sales of production systems, although this was partially offset by lower APS project revenue in Canada due to lower commodity prices.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Second-Quarter Results by Division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Integration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3"/>
          </w:tcPr>
          <w:p>
            <w:pPr>
              <w:jc w:val="right"/>
              <w:ind w:right="1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80" w:type="dxa"/>
            <w:vAlign w:val="bottom"/>
            <w:tcBorders>
              <w:top w:val="single" w:sz="8" w:color="auto"/>
            </w:tcBorders>
            <w:gridSpan w:val="4"/>
          </w:tcPr>
          <w:p>
            <w:pPr>
              <w:spacing w:after="0" w:line="143" w:lineRule="exact"/>
              <w:rPr>
                <w:sz w:val="20"/>
                <w:szCs w:val="20"/>
                <w:color w:val="auto"/>
              </w:rPr>
            </w:pPr>
            <w:r>
              <w:rPr>
                <w:rFonts w:ascii="Arial" w:cs="Arial" w:eastAsia="Arial" w:hAnsi="Arial"/>
                <w:sz w:val="14"/>
                <w:szCs w:val="14"/>
                <w:b w:val="1"/>
                <w:bCs w:val="1"/>
                <w:color w:val="auto"/>
              </w:rPr>
              <w:t>Jun. 30,</w:t>
            </w:r>
          </w:p>
        </w:tc>
        <w:tc>
          <w:tcPr>
            <w:tcW w:w="1180" w:type="dxa"/>
            <w:vAlign w:val="bottom"/>
            <w:tcBorders>
              <w:top w:val="single" w:sz="8" w:color="auto"/>
            </w:tcBorders>
            <w:gridSpan w:val="4"/>
          </w:tcPr>
          <w:p>
            <w:pPr>
              <w:ind w:left="180"/>
              <w:spacing w:after="0" w:line="143" w:lineRule="exact"/>
              <w:rPr>
                <w:sz w:val="20"/>
                <w:szCs w:val="20"/>
                <w:color w:val="auto"/>
              </w:rPr>
            </w:pPr>
            <w:r>
              <w:rPr>
                <w:rFonts w:ascii="Arial" w:cs="Arial" w:eastAsia="Arial" w:hAnsi="Arial"/>
                <w:sz w:val="14"/>
                <w:szCs w:val="14"/>
                <w:color w:val="auto"/>
              </w:rPr>
              <w:t>Mar. 31,</w:t>
            </w:r>
          </w:p>
        </w:tc>
        <w:tc>
          <w:tcPr>
            <w:tcW w:w="560" w:type="dxa"/>
            <w:vAlign w:val="bottom"/>
            <w:tcBorders>
              <w:top w:val="single" w:sz="8" w:color="auto"/>
            </w:tcBorders>
            <w:gridSpan w:val="3"/>
          </w:tcPr>
          <w:p>
            <w:pPr>
              <w:ind w:left="40"/>
              <w:spacing w:after="0" w:line="143" w:lineRule="exact"/>
              <w:rPr>
                <w:sz w:val="20"/>
                <w:szCs w:val="20"/>
                <w:color w:val="auto"/>
              </w:rPr>
            </w:pPr>
            <w:r>
              <w:rPr>
                <w:rFonts w:ascii="Arial" w:cs="Arial" w:eastAsia="Arial" w:hAnsi="Arial"/>
                <w:sz w:val="14"/>
                <w:szCs w:val="14"/>
                <w:color w:val="auto"/>
              </w:rPr>
              <w:t>Jun. 30,</w:t>
            </w:r>
          </w:p>
        </w:tc>
        <w:tc>
          <w:tcPr>
            <w:tcW w:w="5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13"/>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13"/>
              <w:spacing w:after="0"/>
              <w:rPr>
                <w:sz w:val="20"/>
                <w:szCs w:val="20"/>
                <w:color w:val="auto"/>
              </w:rPr>
            </w:pPr>
            <w:r>
              <w:rPr>
                <w:rFonts w:ascii="Arial" w:cs="Arial" w:eastAsia="Arial" w:hAnsi="Arial"/>
                <w:sz w:val="14"/>
                <w:szCs w:val="14"/>
                <w:color w:val="auto"/>
                <w:w w:val="96"/>
              </w:rPr>
              <w:t>2023</w:t>
            </w:r>
          </w:p>
        </w:tc>
        <w:tc>
          <w:tcPr>
            <w:tcW w:w="480" w:type="dxa"/>
            <w:vAlign w:val="bottom"/>
          </w:tcPr>
          <w:p>
            <w:pPr>
              <w:spacing w:after="0"/>
              <w:rPr>
                <w:sz w:val="15"/>
                <w:szCs w:val="15"/>
                <w:color w:val="auto"/>
              </w:rPr>
            </w:pPr>
          </w:p>
        </w:tc>
        <w:tc>
          <w:tcPr>
            <w:tcW w:w="560" w:type="dxa"/>
            <w:vAlign w:val="bottom"/>
            <w:gridSpan w:val="3"/>
          </w:tcPr>
          <w:p>
            <w:pPr>
              <w:jc w:val="right"/>
              <w:ind w:right="10"/>
              <w:spacing w:after="0"/>
              <w:rPr>
                <w:sz w:val="20"/>
                <w:szCs w:val="20"/>
                <w:color w:val="auto"/>
              </w:rPr>
            </w:pPr>
            <w:r>
              <w:rPr>
                <w:rFonts w:ascii="Arial" w:cs="Arial" w:eastAsia="Arial" w:hAnsi="Arial"/>
                <w:sz w:val="14"/>
                <w:szCs w:val="14"/>
                <w:color w:val="auto"/>
              </w:rPr>
              <w:t>2022</w:t>
            </w:r>
          </w:p>
        </w:tc>
        <w:tc>
          <w:tcPr>
            <w:tcW w:w="5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Sequential</w:t>
            </w:r>
          </w:p>
        </w:tc>
        <w:tc>
          <w:tcPr>
            <w:tcW w:w="320" w:type="dxa"/>
            <w:vAlign w:val="bottom"/>
          </w:tcPr>
          <w:p>
            <w:pPr>
              <w:spacing w:after="0"/>
              <w:rPr>
                <w:sz w:val="15"/>
                <w:szCs w:val="15"/>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96"/>
        </w:trPr>
        <w:tc>
          <w:tcPr>
            <w:tcW w:w="3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6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740" w:type="dxa"/>
            <w:vAlign w:val="bottom"/>
            <w:gridSpan w:val="2"/>
          </w:tcPr>
          <w:p>
            <w:pPr>
              <w:ind w:left="1640"/>
              <w:spacing w:after="0" w:line="202" w:lineRule="exact"/>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712</w:t>
            </w:r>
          </w:p>
        </w:tc>
        <w:tc>
          <w:tcPr>
            <w:tcW w:w="320" w:type="dxa"/>
            <w:vAlign w:val="bottom"/>
          </w:tcPr>
          <w:p>
            <w:pPr>
              <w:spacing w:after="0"/>
              <w:rPr>
                <w:sz w:val="17"/>
                <w:szCs w:val="17"/>
                <w:color w:val="auto"/>
              </w:rPr>
            </w:pPr>
          </w:p>
        </w:tc>
        <w:tc>
          <w:tcPr>
            <w:tcW w:w="28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642</w:t>
            </w:r>
          </w:p>
        </w:tc>
        <w:tc>
          <w:tcPr>
            <w:tcW w:w="1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627</w:t>
            </w:r>
          </w:p>
        </w:tc>
        <w:tc>
          <w:tcPr>
            <w:tcW w:w="5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11%</w:t>
            </w:r>
          </w:p>
        </w:tc>
        <w:tc>
          <w:tcPr>
            <w:tcW w:w="17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234</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251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w:t>
            </w:r>
          </w:p>
        </w:tc>
        <w:tc>
          <w:tcPr>
            <w:tcW w:w="5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-7%</w:t>
            </w:r>
          </w:p>
        </w:tc>
        <w:tc>
          <w:tcPr>
            <w:tcW w:w="1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360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gridSpan w:val="2"/>
          </w:tcPr>
          <w:p>
            <w:pPr>
              <w:jc w:val="right"/>
              <w:ind w:right="480"/>
              <w:spacing w:after="0" w:line="202"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940" w:type="dxa"/>
            <w:vAlign w:val="bottom"/>
            <w:tcBorders>
              <w:bottom w:val="single" w:sz="8" w:color="auto"/>
            </w:tcBorders>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n/m</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947</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894</w:t>
            </w:r>
          </w:p>
        </w:tc>
        <w:tc>
          <w:tcPr>
            <w:tcW w:w="1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955</w:t>
            </w:r>
          </w:p>
        </w:tc>
        <w:tc>
          <w:tcPr>
            <w:tcW w:w="5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6%</w:t>
            </w:r>
          </w:p>
        </w:tc>
        <w:tc>
          <w:tcPr>
            <w:tcW w:w="1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322</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gridSpan w:val="2"/>
          </w:tcPr>
          <w:p>
            <w:pPr>
              <w:ind w:left="18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80"/>
              <w:spacing w:after="0" w:line="196" w:lineRule="exact"/>
              <w:rPr>
                <w:sz w:val="20"/>
                <w:szCs w:val="20"/>
                <w:color w:val="auto"/>
              </w:rPr>
            </w:pPr>
            <w:r>
              <w:rPr>
                <w:rFonts w:ascii="Arial" w:cs="Arial" w:eastAsia="Arial" w:hAnsi="Arial"/>
                <w:sz w:val="18"/>
                <w:szCs w:val="18"/>
                <w:color w:val="auto"/>
              </w:rPr>
              <w:t>265</w:t>
            </w:r>
          </w:p>
        </w:tc>
        <w:tc>
          <w:tcPr>
            <w:tcW w:w="18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379</w:t>
            </w:r>
          </w:p>
        </w:tc>
        <w:tc>
          <w:tcPr>
            <w:tcW w:w="500" w:type="dxa"/>
            <w:vAlign w:val="bottom"/>
          </w:tcPr>
          <w:p>
            <w:pPr>
              <w:spacing w:after="0"/>
              <w:rPr>
                <w:sz w:val="17"/>
                <w:szCs w:val="17"/>
                <w:color w:val="auto"/>
              </w:rPr>
            </w:pPr>
          </w:p>
        </w:tc>
        <w:tc>
          <w:tcPr>
            <w:tcW w:w="940" w:type="dxa"/>
            <w:vAlign w:val="bottom"/>
            <w:gridSpan w:val="2"/>
          </w:tcPr>
          <w:p>
            <w:pPr>
              <w:jc w:val="right"/>
              <w:ind w:right="40"/>
              <w:spacing w:after="0" w:line="196" w:lineRule="exact"/>
              <w:rPr>
                <w:sz w:val="20"/>
                <w:szCs w:val="20"/>
                <w:color w:val="auto"/>
              </w:rPr>
            </w:pPr>
            <w:r>
              <w:rPr>
                <w:rFonts w:ascii="Arial" w:cs="Arial" w:eastAsia="Arial" w:hAnsi="Arial"/>
                <w:sz w:val="18"/>
                <w:szCs w:val="18"/>
                <w:b w:val="1"/>
                <w:bCs w:val="1"/>
                <w:color w:val="auto"/>
              </w:rPr>
              <w:t>22%</w:t>
            </w:r>
          </w:p>
        </w:tc>
        <w:tc>
          <w:tcPr>
            <w:tcW w:w="172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08"/>
              <w:spacing w:after="0" w:line="202" w:lineRule="exact"/>
              <w:rPr>
                <w:sz w:val="20"/>
                <w:szCs w:val="20"/>
                <w:color w:val="auto"/>
              </w:rPr>
            </w:pPr>
            <w:r>
              <w:rPr>
                <w:rFonts w:ascii="Arial" w:cs="Arial" w:eastAsia="Arial" w:hAnsi="Arial"/>
                <w:sz w:val="18"/>
                <w:szCs w:val="18"/>
                <w:b w:val="1"/>
                <w:bCs w:val="1"/>
                <w:color w:val="auto"/>
              </w:rPr>
              <w:t>34.0%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29.6%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39.7%</w:t>
            </w: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438 bps</w:t>
            </w:r>
          </w:p>
        </w:tc>
        <w:tc>
          <w:tcPr>
            <w:tcW w:w="3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-572 bps</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jc w:val="both"/>
        <w:ind w:right="240"/>
        <w:spacing w:after="0" w:line="262" w:lineRule="auto"/>
        <w:rPr>
          <w:sz w:val="20"/>
          <w:szCs w:val="20"/>
          <w:color w:val="auto"/>
        </w:rPr>
      </w:pPr>
      <w:r>
        <w:rPr>
          <w:rFonts w:ascii="Arial" w:cs="Arial" w:eastAsia="Arial" w:hAnsi="Arial"/>
          <w:sz w:val="17"/>
          <w:szCs w:val="17"/>
          <w:color w:val="auto"/>
        </w:rPr>
        <w:t>Digital &amp; Integration revenue of $947 million increased 6% sequentially due to strong growth in digital sales internationally. APS revenue was slightly higher, as production resumed in Ecuador following an interruption in the previous quarter. However, this revenue increase was partially offset by lower revenue in Canada. Year on year, revenue declined 1% as strong growth in digital sales was offset by lower APS revenue and decreased exploration data license sales due to the significant transfer fees recorded in the same quarter last year.</w:t>
      </w:r>
    </w:p>
    <w:p>
      <w:pPr>
        <w:spacing w:after="0" w:line="17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Digital &amp; Integration pretax operating margin of 34% expanded 438 bps sequentially due to improved profitability in digital solutions. Year on year, pretax operating margin contracted 572 bps due to lower sales of exploration data licenses and reduced APS revenue, which was impacted by lower commodity prices in Canada.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481"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Reservoir Performance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0" w:type="dxa"/>
            <w:vAlign w:val="bottom"/>
            <w:tcBorders>
              <w:top w:val="single" w:sz="8" w:color="auto"/>
            </w:tcBorders>
            <w:gridSpan w:val="3"/>
          </w:tcPr>
          <w:p>
            <w:pPr>
              <w:ind w:left="20"/>
              <w:spacing w:after="0" w:line="143" w:lineRule="exact"/>
              <w:rPr>
                <w:sz w:val="20"/>
                <w:szCs w:val="20"/>
                <w:color w:val="auto"/>
              </w:rPr>
            </w:pPr>
            <w:r>
              <w:rPr>
                <w:rFonts w:ascii="Arial" w:cs="Arial" w:eastAsia="Arial" w:hAnsi="Arial"/>
                <w:sz w:val="14"/>
                <w:szCs w:val="14"/>
                <w:b w:val="1"/>
                <w:bCs w:val="1"/>
                <w:color w:val="auto"/>
              </w:rPr>
              <w:t>Jun. 30,</w:t>
            </w:r>
          </w:p>
        </w:tc>
        <w:tc>
          <w:tcPr>
            <w:tcW w:w="1020" w:type="dxa"/>
            <w:vAlign w:val="bottom"/>
            <w:tcBorders>
              <w:top w:val="single" w:sz="8" w:color="auto"/>
            </w:tcBorders>
            <w:gridSpan w:val="3"/>
          </w:tcPr>
          <w:p>
            <w:pPr>
              <w:ind w:left="40"/>
              <w:spacing w:after="0" w:line="143" w:lineRule="exact"/>
              <w:rPr>
                <w:sz w:val="20"/>
                <w:szCs w:val="20"/>
                <w:color w:val="auto"/>
              </w:rPr>
            </w:pPr>
            <w:r>
              <w:rPr>
                <w:rFonts w:ascii="Arial" w:cs="Arial" w:eastAsia="Arial" w:hAnsi="Arial"/>
                <w:sz w:val="14"/>
                <w:szCs w:val="14"/>
                <w:color w:val="auto"/>
              </w:rPr>
              <w:t>Mar. 31,</w:t>
            </w:r>
          </w:p>
        </w:tc>
        <w:tc>
          <w:tcPr>
            <w:tcW w:w="560" w:type="dxa"/>
            <w:vAlign w:val="bottom"/>
            <w:tcBorders>
              <w:top w:val="single" w:sz="8" w:color="auto"/>
            </w:tcBorders>
            <w:gridSpan w:val="2"/>
          </w:tcPr>
          <w:p>
            <w:pPr>
              <w:ind w:left="20"/>
              <w:spacing w:after="0" w:line="143" w:lineRule="exact"/>
              <w:rPr>
                <w:sz w:val="20"/>
                <w:szCs w:val="20"/>
                <w:color w:val="auto"/>
              </w:rPr>
            </w:pPr>
            <w:r>
              <w:rPr>
                <w:rFonts w:ascii="Arial" w:cs="Arial" w:eastAsia="Arial" w:hAnsi="Arial"/>
                <w:sz w:val="14"/>
                <w:szCs w:val="14"/>
                <w:color w:val="auto"/>
              </w:rPr>
              <w:t>Jun. 30,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33"/>
              <w:spacing w:after="0"/>
              <w:rPr>
                <w:sz w:val="20"/>
                <w:szCs w:val="20"/>
                <w:color w:val="auto"/>
              </w:rPr>
            </w:pPr>
            <w:r>
              <w:rPr>
                <w:rFonts w:ascii="Arial" w:cs="Arial" w:eastAsia="Arial" w:hAnsi="Arial"/>
                <w:sz w:val="14"/>
                <w:szCs w:val="14"/>
                <w:color w:val="auto"/>
                <w:w w:val="96"/>
              </w:rPr>
              <w:t>2023</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2022</w:t>
            </w:r>
          </w:p>
        </w:tc>
        <w:tc>
          <w:tcPr>
            <w:tcW w:w="300" w:type="dxa"/>
            <w:vAlign w:val="bottom"/>
          </w:tcPr>
          <w:p>
            <w:pPr>
              <w:spacing w:after="0"/>
              <w:rPr>
                <w:sz w:val="15"/>
                <w:szCs w:val="15"/>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Sequential</w:t>
            </w:r>
          </w:p>
        </w:tc>
        <w:tc>
          <w:tcPr>
            <w:tcW w:w="280" w:type="dxa"/>
            <w:vAlign w:val="bottom"/>
          </w:tcPr>
          <w:p>
            <w:pPr>
              <w:spacing w:after="0"/>
              <w:rPr>
                <w:sz w:val="15"/>
                <w:szCs w:val="15"/>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96"/>
        </w:trPr>
        <w:tc>
          <w:tcPr>
            <w:tcW w:w="3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7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820" w:type="dxa"/>
            <w:vAlign w:val="bottom"/>
            <w:gridSpan w:val="2"/>
          </w:tcPr>
          <w:p>
            <w:pPr>
              <w:ind w:left="1720"/>
              <w:spacing w:after="0" w:line="202"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7"/>
              </w:rPr>
              <w:t>1,512</w:t>
            </w:r>
          </w:p>
        </w:tc>
        <w:tc>
          <w:tcPr>
            <w:tcW w:w="440" w:type="dxa"/>
            <w:vAlign w:val="bottom"/>
          </w:tcPr>
          <w:p>
            <w:pPr>
              <w:spacing w:after="0"/>
              <w:rPr>
                <w:sz w:val="17"/>
                <w:szCs w:val="17"/>
                <w:color w:val="auto"/>
              </w:rPr>
            </w:pPr>
          </w:p>
        </w:tc>
        <w:tc>
          <w:tcPr>
            <w:tcW w:w="120" w:type="dxa"/>
            <w:vAlign w:val="bottom"/>
          </w:tcPr>
          <w:p>
            <w:pPr>
              <w:ind w:left="2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3"/>
              </w:rPr>
              <w:t>1,380</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1,222</w:t>
            </w:r>
          </w:p>
        </w:tc>
        <w:tc>
          <w:tcPr>
            <w:tcW w:w="300" w:type="dxa"/>
            <w:vAlign w:val="bottom"/>
          </w:tcPr>
          <w:p>
            <w:pPr>
              <w:spacing w:after="0"/>
              <w:rPr>
                <w:sz w:val="17"/>
                <w:szCs w:val="17"/>
                <w:color w:val="auto"/>
              </w:rPr>
            </w:pPr>
          </w:p>
        </w:tc>
        <w:tc>
          <w:tcPr>
            <w:tcW w:w="106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rPr>
              <w:t>10%</w:t>
            </w:r>
          </w:p>
        </w:tc>
        <w:tc>
          <w:tcPr>
            <w:tcW w:w="16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130</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c>
          <w:tcPr>
            <w:tcW w:w="3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8%</w:t>
            </w:r>
          </w:p>
        </w:tc>
        <w:tc>
          <w:tcPr>
            <w:tcW w:w="16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368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7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n/m</w:t>
            </w:r>
          </w:p>
        </w:tc>
        <w:tc>
          <w:tcPr>
            <w:tcW w:w="280" w:type="dxa"/>
            <w:vAlign w:val="bottom"/>
          </w:tcPr>
          <w:p>
            <w:pPr>
              <w:spacing w:after="0"/>
              <w:rPr>
                <w:sz w:val="18"/>
                <w:szCs w:val="18"/>
                <w:color w:val="auto"/>
              </w:rPr>
            </w:pP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1,643</w:t>
            </w:r>
          </w:p>
        </w:tc>
        <w:tc>
          <w:tcPr>
            <w:tcW w:w="4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tcBorders>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3"/>
              </w:rPr>
              <w:t>1,503</w:t>
            </w:r>
          </w:p>
        </w:tc>
        <w:tc>
          <w:tcPr>
            <w:tcW w:w="1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1,333</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9%</w:t>
            </w:r>
          </w:p>
        </w:tc>
        <w:tc>
          <w:tcPr>
            <w:tcW w:w="16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8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306</w:t>
            </w:r>
          </w:p>
        </w:tc>
        <w:tc>
          <w:tcPr>
            <w:tcW w:w="440" w:type="dxa"/>
            <w:vAlign w:val="bottom"/>
          </w:tcPr>
          <w:p>
            <w:pPr>
              <w:spacing w:after="0"/>
              <w:rPr>
                <w:sz w:val="17"/>
                <w:szCs w:val="17"/>
                <w:color w:val="auto"/>
              </w:rPr>
            </w:pPr>
          </w:p>
        </w:tc>
        <w:tc>
          <w:tcPr>
            <w:tcW w:w="120" w:type="dxa"/>
            <w:vAlign w:val="bottom"/>
          </w:tcPr>
          <w:p>
            <w:pPr>
              <w:ind w:left="2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242</w:t>
            </w: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195</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26%</w:t>
            </w:r>
          </w:p>
        </w:tc>
        <w:tc>
          <w:tcPr>
            <w:tcW w:w="168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b w:val="1"/>
                <w:bCs w:val="1"/>
                <w:color w:val="auto"/>
              </w:rPr>
              <w:t>18.6%</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248 bps</w:t>
            </w:r>
          </w:p>
        </w:tc>
        <w:tc>
          <w:tcPr>
            <w:tcW w:w="2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396 bps</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Reservoir Performance revenue of $1.64 billion grew 9% sequentially due primarily to increased intervention, stimulation, and evaluation activity internationally. More than half of the revenue growth came from the Middle East &amp; Asia, mainly from higher stimulation and intervention activity in Saudi Arabia and strong evaluation activity in India and China. Year on year, revenue grew 23% led by the Middle East &amp; Asia, due to higher intervention and stimulation activity.</w:t>
      </w:r>
    </w:p>
    <w:p>
      <w:pPr>
        <w:spacing w:after="0" w:line="188"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Reservoir Performance pretax operating margin of 19% expanded 248 bps sequentially and 396 bps year on year. Profitability improved driven mainly by higher activity and improved operating leverage across intervention and stimulation. New technology deployment also contributed to the margin expansion, particularly in Saudi Arabia, Qatar, Europe &amp; Africa, and Mexico.</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 Construction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40" w:type="dxa"/>
            <w:vAlign w:val="bottom"/>
            <w:gridSpan w:val="3"/>
          </w:tcPr>
          <w:p>
            <w:pPr>
              <w:jc w:val="right"/>
              <w:ind w:right="1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60" w:type="dxa"/>
            <w:vAlign w:val="bottom"/>
            <w:tcBorders>
              <w:top w:val="single" w:sz="8" w:color="auto"/>
            </w:tcBorders>
            <w:gridSpan w:val="3"/>
          </w:tcPr>
          <w:p>
            <w:pPr>
              <w:ind w:left="20"/>
              <w:spacing w:after="0" w:line="143" w:lineRule="exact"/>
              <w:rPr>
                <w:sz w:val="20"/>
                <w:szCs w:val="20"/>
                <w:color w:val="auto"/>
              </w:rPr>
            </w:pPr>
            <w:r>
              <w:rPr>
                <w:rFonts w:ascii="Arial" w:cs="Arial" w:eastAsia="Arial" w:hAnsi="Arial"/>
                <w:sz w:val="14"/>
                <w:szCs w:val="14"/>
                <w:b w:val="1"/>
                <w:bCs w:val="1"/>
                <w:color w:val="auto"/>
              </w:rPr>
              <w:t>Jun. 30,</w:t>
            </w: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ind w:left="20"/>
              <w:spacing w:after="0" w:line="143" w:lineRule="exact"/>
              <w:rPr>
                <w:sz w:val="20"/>
                <w:szCs w:val="20"/>
                <w:color w:val="auto"/>
              </w:rPr>
            </w:pPr>
            <w:r>
              <w:rPr>
                <w:rFonts w:ascii="Arial" w:cs="Arial" w:eastAsia="Arial" w:hAnsi="Arial"/>
                <w:sz w:val="14"/>
                <w:szCs w:val="14"/>
                <w:color w:val="auto"/>
              </w:rPr>
              <w:t>Mar. 31,</w:t>
            </w:r>
          </w:p>
        </w:tc>
        <w:tc>
          <w:tcPr>
            <w:tcW w:w="560" w:type="dxa"/>
            <w:vAlign w:val="bottom"/>
            <w:tcBorders>
              <w:top w:val="single" w:sz="8" w:color="auto"/>
            </w:tcBorders>
            <w:gridSpan w:val="2"/>
          </w:tcPr>
          <w:p>
            <w:pPr>
              <w:ind w:left="20"/>
              <w:spacing w:after="0" w:line="143" w:lineRule="exact"/>
              <w:rPr>
                <w:sz w:val="20"/>
                <w:szCs w:val="20"/>
                <w:color w:val="auto"/>
              </w:rPr>
            </w:pPr>
            <w:r>
              <w:rPr>
                <w:rFonts w:ascii="Arial" w:cs="Arial" w:eastAsia="Arial" w:hAnsi="Arial"/>
                <w:sz w:val="14"/>
                <w:szCs w:val="14"/>
                <w:color w:val="auto"/>
              </w:rPr>
              <w:t>Jun. 30,</w:t>
            </w:r>
          </w:p>
        </w:tc>
        <w:tc>
          <w:tcPr>
            <w:tcW w:w="4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13"/>
              <w:spacing w:after="0"/>
              <w:rPr>
                <w:sz w:val="20"/>
                <w:szCs w:val="20"/>
                <w:color w:val="auto"/>
              </w:rPr>
            </w:pPr>
            <w:r>
              <w:rPr>
                <w:rFonts w:ascii="Arial" w:cs="Arial" w:eastAsia="Arial" w:hAnsi="Arial"/>
                <w:sz w:val="14"/>
                <w:szCs w:val="14"/>
                <w:color w:val="auto"/>
              </w:rPr>
              <w:t>2023</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2022</w:t>
            </w:r>
          </w:p>
        </w:tc>
        <w:tc>
          <w:tcPr>
            <w:tcW w:w="46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Sequential</w:t>
            </w:r>
          </w:p>
        </w:tc>
        <w:tc>
          <w:tcPr>
            <w:tcW w:w="1500" w:type="dxa"/>
            <w:vAlign w:val="bottom"/>
            <w:gridSpan w:val="2"/>
          </w:tcPr>
          <w:p>
            <w:pPr>
              <w:jc w:val="right"/>
              <w:ind w:right="48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37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7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880" w:type="dxa"/>
            <w:vAlign w:val="bottom"/>
            <w:gridSpan w:val="2"/>
          </w:tcPr>
          <w:p>
            <w:pPr>
              <w:ind w:left="1780"/>
              <w:spacing w:after="0" w:line="202"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7"/>
              </w:rPr>
              <w:t>2,582</w:t>
            </w:r>
          </w:p>
        </w:tc>
        <w:tc>
          <w:tcPr>
            <w:tcW w:w="300" w:type="dxa"/>
            <w:vAlign w:val="bottom"/>
          </w:tcPr>
          <w:p>
            <w:pPr>
              <w:spacing w:after="0"/>
              <w:rPr>
                <w:sz w:val="17"/>
                <w:szCs w:val="17"/>
                <w:color w:val="auto"/>
              </w:rPr>
            </w:pPr>
          </w:p>
        </w:tc>
        <w:tc>
          <w:tcPr>
            <w:tcW w:w="26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w w:val="93"/>
              </w:rPr>
              <w:t>2,493</w:t>
            </w:r>
          </w:p>
        </w:tc>
        <w:tc>
          <w:tcPr>
            <w:tcW w:w="46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2,083</w:t>
            </w:r>
          </w:p>
        </w:tc>
        <w:tc>
          <w:tcPr>
            <w:tcW w:w="460" w:type="dxa"/>
            <w:vAlign w:val="bottom"/>
          </w:tcPr>
          <w:p>
            <w:pPr>
              <w:spacing w:after="0"/>
              <w:rPr>
                <w:sz w:val="17"/>
                <w:szCs w:val="17"/>
                <w:color w:val="auto"/>
              </w:rPr>
            </w:pPr>
          </w:p>
        </w:tc>
        <w:tc>
          <w:tcPr>
            <w:tcW w:w="980" w:type="dxa"/>
            <w:vAlign w:val="bottom"/>
            <w:gridSpan w:val="2"/>
          </w:tcPr>
          <w:p>
            <w:pPr>
              <w:jc w:val="right"/>
              <w:ind w:right="8"/>
              <w:spacing w:after="0" w:line="202" w:lineRule="exact"/>
              <w:rPr>
                <w:sz w:val="20"/>
                <w:szCs w:val="20"/>
                <w:color w:val="auto"/>
              </w:rPr>
            </w:pPr>
            <w:r>
              <w:rPr>
                <w:rFonts w:ascii="Arial" w:cs="Arial" w:eastAsia="Arial" w:hAnsi="Arial"/>
                <w:sz w:val="18"/>
                <w:szCs w:val="18"/>
                <w:b w:val="1"/>
                <w:bCs w:val="1"/>
                <w:color w:val="auto"/>
              </w:rPr>
              <w:t>4%</w:t>
            </w:r>
          </w:p>
        </w:tc>
        <w:tc>
          <w:tcPr>
            <w:tcW w:w="15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721</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711</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553</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b w:val="1"/>
                <w:bCs w:val="1"/>
                <w:color w:val="auto"/>
              </w:rPr>
              <w:t>1%</w:t>
            </w:r>
          </w:p>
        </w:tc>
        <w:tc>
          <w:tcPr>
            <w:tcW w:w="15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372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7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w:t>
            </w:r>
          </w:p>
        </w:tc>
        <w:tc>
          <w:tcPr>
            <w:tcW w:w="460" w:type="dxa"/>
            <w:vAlign w:val="bottom"/>
          </w:tcPr>
          <w:p>
            <w:pPr>
              <w:spacing w:after="0"/>
              <w:rPr>
                <w:sz w:val="18"/>
                <w:szCs w:val="18"/>
                <w:color w:val="auto"/>
              </w:rPr>
            </w:pPr>
          </w:p>
        </w:tc>
        <w:tc>
          <w:tcPr>
            <w:tcW w:w="980" w:type="dxa"/>
            <w:vAlign w:val="bottom"/>
            <w:tcBorders>
              <w:bottom w:val="single" w:sz="8" w:color="auto"/>
            </w:tcBorders>
            <w:gridSpan w:val="2"/>
          </w:tcPr>
          <w:p>
            <w:pPr>
              <w:jc w:val="right"/>
              <w:ind w:right="168"/>
              <w:spacing w:after="0" w:line="202" w:lineRule="exact"/>
              <w:rPr>
                <w:sz w:val="20"/>
                <w:szCs w:val="20"/>
                <w:color w:val="auto"/>
              </w:rPr>
            </w:pPr>
            <w:r>
              <w:rPr>
                <w:rFonts w:ascii="Arial" w:cs="Arial" w:eastAsia="Arial" w:hAnsi="Arial"/>
                <w:sz w:val="18"/>
                <w:szCs w:val="18"/>
                <w:b w:val="1"/>
                <w:bCs w:val="1"/>
                <w:color w:val="auto"/>
              </w:rPr>
              <w:t>n/m</w:t>
            </w:r>
          </w:p>
        </w:tc>
        <w:tc>
          <w:tcPr>
            <w:tcW w:w="1500" w:type="dxa"/>
            <w:vAlign w:val="bottom"/>
            <w:tcBorders>
              <w:bottom w:val="single" w:sz="8" w:color="auto"/>
            </w:tcBorders>
            <w:gridSpan w:val="2"/>
          </w:tcPr>
          <w:p>
            <w:pPr>
              <w:jc w:val="right"/>
              <w:ind w:right="30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3,362</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u w:val="single" w:color="auto"/>
                <w:color w:val="auto"/>
                <w:w w:val="7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3,261</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2,686</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b w:val="1"/>
                <w:bCs w:val="1"/>
                <w:color w:val="auto"/>
              </w:rPr>
              <w:t>3%</w:t>
            </w:r>
          </w:p>
        </w:tc>
        <w:tc>
          <w:tcPr>
            <w:tcW w:w="15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20" w:type="dxa"/>
            <w:vAlign w:val="bottom"/>
            <w:vMerge w:val="continue"/>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731</w:t>
            </w:r>
          </w:p>
        </w:tc>
        <w:tc>
          <w:tcPr>
            <w:tcW w:w="300" w:type="dxa"/>
            <w:vAlign w:val="bottom"/>
          </w:tcPr>
          <w:p>
            <w:pPr>
              <w:spacing w:after="0"/>
              <w:rPr>
                <w:sz w:val="17"/>
                <w:szCs w:val="17"/>
                <w:color w:val="auto"/>
              </w:rPr>
            </w:pPr>
          </w:p>
        </w:tc>
        <w:tc>
          <w:tcPr>
            <w:tcW w:w="26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672</w:t>
            </w:r>
          </w:p>
        </w:tc>
        <w:tc>
          <w:tcPr>
            <w:tcW w:w="46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470</w:t>
            </w:r>
          </w:p>
        </w:tc>
        <w:tc>
          <w:tcPr>
            <w:tcW w:w="460" w:type="dxa"/>
            <w:vAlign w:val="bottom"/>
          </w:tcPr>
          <w:p>
            <w:pPr>
              <w:spacing w:after="0"/>
              <w:rPr>
                <w:sz w:val="17"/>
                <w:szCs w:val="17"/>
                <w:color w:val="auto"/>
              </w:rPr>
            </w:pPr>
          </w:p>
        </w:tc>
        <w:tc>
          <w:tcPr>
            <w:tcW w:w="980" w:type="dxa"/>
            <w:vAlign w:val="bottom"/>
            <w:gridSpan w:val="2"/>
          </w:tcPr>
          <w:p>
            <w:pPr>
              <w:jc w:val="right"/>
              <w:ind w:right="8"/>
              <w:spacing w:after="0" w:line="196" w:lineRule="exact"/>
              <w:rPr>
                <w:sz w:val="20"/>
                <w:szCs w:val="20"/>
                <w:color w:val="auto"/>
              </w:rPr>
            </w:pPr>
            <w:r>
              <w:rPr>
                <w:rFonts w:ascii="Arial" w:cs="Arial" w:eastAsia="Arial" w:hAnsi="Arial"/>
                <w:sz w:val="18"/>
                <w:szCs w:val="18"/>
                <w:b w:val="1"/>
                <w:bCs w:val="1"/>
                <w:color w:val="auto"/>
              </w:rPr>
              <w:t>9%</w:t>
            </w:r>
          </w:p>
        </w:tc>
        <w:tc>
          <w:tcPr>
            <w:tcW w:w="15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b w:val="1"/>
                <w:bCs w:val="1"/>
                <w:color w:val="auto"/>
              </w:rPr>
              <w:t>21.8%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17.5%</w:t>
            </w:r>
          </w:p>
        </w:tc>
        <w:tc>
          <w:tcPr>
            <w:tcW w:w="98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115 bps</w:t>
            </w:r>
          </w:p>
        </w:tc>
        <w:tc>
          <w:tcPr>
            <w:tcW w:w="15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424 bps</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Well Construction revenue of $3.36 billion increased 3% sequentially led by Europe &amp; Africa and the Middle East &amp; Asia, partially offset by lower revenue in Mexico and the impact of spring breakup in Canada land. Year on year, revenue increased 25% with strong growth across all areas. These increases were driven mainly by strong measurements, fluids, and equipment sales activity and pricing improvements internationally.</w:t>
      </w:r>
    </w:p>
    <w:p>
      <w:pPr>
        <w:spacing w:after="0" w:line="18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Well Construction pretax operating margin of 22% expanded 115 bps sequentially driven by international, while North America margin was essentially flat. Year on year, pretax operating margin expanded 424 bps with profitability improving in measurements, drilling, fluids, and equipment sales across most areas, driven by higher activity and improved pricing.</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481"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Production Systems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0" w:type="dxa"/>
            <w:vAlign w:val="bottom"/>
            <w:tcBorders>
              <w:top w:val="single" w:sz="8" w:color="auto"/>
            </w:tcBorders>
            <w:gridSpan w:val="3"/>
          </w:tcPr>
          <w:p>
            <w:pPr>
              <w:ind w:left="20"/>
              <w:spacing w:after="0" w:line="143" w:lineRule="exact"/>
              <w:rPr>
                <w:sz w:val="20"/>
                <w:szCs w:val="20"/>
                <w:color w:val="auto"/>
              </w:rPr>
            </w:pPr>
            <w:r>
              <w:rPr>
                <w:rFonts w:ascii="Arial" w:cs="Arial" w:eastAsia="Arial" w:hAnsi="Arial"/>
                <w:sz w:val="14"/>
                <w:szCs w:val="14"/>
                <w:b w:val="1"/>
                <w:bCs w:val="1"/>
                <w:color w:val="auto"/>
              </w:rPr>
              <w:t>Jun. 30,</w:t>
            </w:r>
          </w:p>
        </w:tc>
        <w:tc>
          <w:tcPr>
            <w:tcW w:w="1020" w:type="dxa"/>
            <w:vAlign w:val="bottom"/>
            <w:tcBorders>
              <w:top w:val="single" w:sz="8" w:color="auto"/>
            </w:tcBorders>
            <w:gridSpan w:val="3"/>
          </w:tcPr>
          <w:p>
            <w:pPr>
              <w:ind w:left="40"/>
              <w:spacing w:after="0" w:line="143" w:lineRule="exact"/>
              <w:rPr>
                <w:sz w:val="20"/>
                <w:szCs w:val="20"/>
                <w:color w:val="auto"/>
              </w:rPr>
            </w:pPr>
            <w:r>
              <w:rPr>
                <w:rFonts w:ascii="Arial" w:cs="Arial" w:eastAsia="Arial" w:hAnsi="Arial"/>
                <w:sz w:val="14"/>
                <w:szCs w:val="14"/>
                <w:color w:val="auto"/>
              </w:rPr>
              <w:t>Mar. 31,</w:t>
            </w:r>
          </w:p>
        </w:tc>
        <w:tc>
          <w:tcPr>
            <w:tcW w:w="560" w:type="dxa"/>
            <w:vAlign w:val="bottom"/>
            <w:tcBorders>
              <w:top w:val="single" w:sz="8" w:color="auto"/>
            </w:tcBorders>
            <w:gridSpan w:val="2"/>
          </w:tcPr>
          <w:p>
            <w:pPr>
              <w:ind w:left="20"/>
              <w:spacing w:after="0" w:line="143" w:lineRule="exact"/>
              <w:rPr>
                <w:sz w:val="20"/>
                <w:szCs w:val="20"/>
                <w:color w:val="auto"/>
              </w:rPr>
            </w:pPr>
            <w:r>
              <w:rPr>
                <w:rFonts w:ascii="Arial" w:cs="Arial" w:eastAsia="Arial" w:hAnsi="Arial"/>
                <w:sz w:val="14"/>
                <w:szCs w:val="14"/>
                <w:color w:val="auto"/>
              </w:rPr>
              <w:t>Jun. 30,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33"/>
              <w:spacing w:after="0"/>
              <w:rPr>
                <w:sz w:val="20"/>
                <w:szCs w:val="20"/>
                <w:color w:val="auto"/>
              </w:rPr>
            </w:pPr>
            <w:r>
              <w:rPr>
                <w:rFonts w:ascii="Arial" w:cs="Arial" w:eastAsia="Arial" w:hAnsi="Arial"/>
                <w:sz w:val="14"/>
                <w:szCs w:val="14"/>
                <w:color w:val="auto"/>
                <w:w w:val="96"/>
              </w:rPr>
              <w:t>2023</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2022</w:t>
            </w:r>
          </w:p>
        </w:tc>
        <w:tc>
          <w:tcPr>
            <w:tcW w:w="300" w:type="dxa"/>
            <w:vAlign w:val="bottom"/>
          </w:tcPr>
          <w:p>
            <w:pPr>
              <w:spacing w:after="0"/>
              <w:rPr>
                <w:sz w:val="15"/>
                <w:szCs w:val="15"/>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Sequential</w:t>
            </w:r>
          </w:p>
        </w:tc>
        <w:tc>
          <w:tcPr>
            <w:tcW w:w="280" w:type="dxa"/>
            <w:vAlign w:val="bottom"/>
          </w:tcPr>
          <w:p>
            <w:pPr>
              <w:spacing w:after="0"/>
              <w:rPr>
                <w:sz w:val="15"/>
                <w:szCs w:val="15"/>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96"/>
        </w:trPr>
        <w:tc>
          <w:tcPr>
            <w:tcW w:w="3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7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820" w:type="dxa"/>
            <w:vAlign w:val="bottom"/>
            <w:gridSpan w:val="2"/>
          </w:tcPr>
          <w:p>
            <w:pPr>
              <w:ind w:left="1720"/>
              <w:spacing w:after="0" w:line="202"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7"/>
              </w:rPr>
              <w:t>1,628</w:t>
            </w:r>
          </w:p>
        </w:tc>
        <w:tc>
          <w:tcPr>
            <w:tcW w:w="440" w:type="dxa"/>
            <w:vAlign w:val="bottom"/>
          </w:tcPr>
          <w:p>
            <w:pPr>
              <w:spacing w:after="0"/>
              <w:rPr>
                <w:sz w:val="17"/>
                <w:szCs w:val="17"/>
                <w:color w:val="auto"/>
              </w:rPr>
            </w:pPr>
          </w:p>
        </w:tc>
        <w:tc>
          <w:tcPr>
            <w:tcW w:w="120" w:type="dxa"/>
            <w:vAlign w:val="bottom"/>
          </w:tcPr>
          <w:p>
            <w:pPr>
              <w:ind w:left="2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3"/>
              </w:rPr>
              <w:t>1,574</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1,341</w:t>
            </w:r>
          </w:p>
        </w:tc>
        <w:tc>
          <w:tcPr>
            <w:tcW w:w="300" w:type="dxa"/>
            <w:vAlign w:val="bottom"/>
          </w:tcPr>
          <w:p>
            <w:pPr>
              <w:spacing w:after="0"/>
              <w:rPr>
                <w:sz w:val="17"/>
                <w:szCs w:val="17"/>
                <w:color w:val="auto"/>
              </w:rPr>
            </w:pPr>
          </w:p>
        </w:tc>
        <w:tc>
          <w:tcPr>
            <w:tcW w:w="106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rPr>
              <w:t>3%</w:t>
            </w:r>
          </w:p>
        </w:tc>
        <w:tc>
          <w:tcPr>
            <w:tcW w:w="16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679</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w:t>
            </w:r>
          </w:p>
        </w:tc>
        <w:tc>
          <w:tcPr>
            <w:tcW w:w="3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8%</w:t>
            </w:r>
          </w:p>
        </w:tc>
        <w:tc>
          <w:tcPr>
            <w:tcW w:w="16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368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6</w:t>
            </w: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460"/>
              <w:spacing w:after="0" w:line="202" w:lineRule="exact"/>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bottom w:val="single" w:sz="8" w:color="auto"/>
            </w:tcBorders>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n/m</w:t>
            </w:r>
          </w:p>
        </w:tc>
        <w:tc>
          <w:tcPr>
            <w:tcW w:w="280" w:type="dxa"/>
            <w:vAlign w:val="bottom"/>
          </w:tcPr>
          <w:p>
            <w:pPr>
              <w:spacing w:after="0"/>
              <w:rPr>
                <w:sz w:val="18"/>
                <w:szCs w:val="18"/>
                <w:color w:val="auto"/>
              </w:rPr>
            </w:pP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2,313</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3"/>
              </w:rPr>
              <w:t>2,207</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1,893</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5%</w:t>
            </w:r>
          </w:p>
        </w:tc>
        <w:tc>
          <w:tcPr>
            <w:tcW w:w="16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8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278</w:t>
            </w:r>
          </w:p>
        </w:tc>
        <w:tc>
          <w:tcPr>
            <w:tcW w:w="440" w:type="dxa"/>
            <w:vAlign w:val="bottom"/>
          </w:tcPr>
          <w:p>
            <w:pPr>
              <w:spacing w:after="0"/>
              <w:rPr>
                <w:sz w:val="17"/>
                <w:szCs w:val="17"/>
                <w:color w:val="auto"/>
              </w:rPr>
            </w:pPr>
          </w:p>
        </w:tc>
        <w:tc>
          <w:tcPr>
            <w:tcW w:w="120" w:type="dxa"/>
            <w:vAlign w:val="bottom"/>
          </w:tcPr>
          <w:p>
            <w:pPr>
              <w:ind w:left="2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205</w:t>
            </w: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171</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36%</w:t>
            </w:r>
          </w:p>
        </w:tc>
        <w:tc>
          <w:tcPr>
            <w:tcW w:w="168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b w:val="1"/>
                <w:bCs w:val="1"/>
                <w:color w:val="auto"/>
              </w:rPr>
              <w:t>12.0%</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274 bps</w:t>
            </w:r>
          </w:p>
        </w:tc>
        <w:tc>
          <w:tcPr>
            <w:tcW w:w="2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300 bps</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Production Systems revenue of $2.31 billion increased 5% sequentially driven by strong sales of completions, subsea production systems, surface production systems, and artificial lift. The strong sequential revenue growth was led by the Middle East &amp; Asia, which posted double-digit growth, followed by North America and Latin America. Europe &amp; Africa revenue declined sequentially following the non-repeat of significant midstream production systems project milestones achieved in the previous quarter. Year on year, revenue grew 22% due to strong activity across all areas. Completions, subsea production systems, surface production systems, artificial lift, and midstream production systems each recorded year-on-year double-digit growth across North America and internationally.</w:t>
      </w:r>
    </w:p>
    <w:p>
      <w:pPr>
        <w:spacing w:after="0" w:line="194"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Production Systems pretax operating margin of 12% expanded 274 bps sequentially, driven primarily by higher sales of completions and surface production systems and improved product deliveries. Year on year, pretax operating margin expanded 300 bps driven by improved profitability in completions, surface production systems, artificial lift, and subsea production systems. Geographically, margin expansion was led by the Middle East &amp; Asia, Latin America, and North America stemming from an improved activity mix and the easing of supply chain constraints.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481"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Quarterly Highlights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Contract Awards</w:t>
      </w:r>
    </w:p>
    <w:p>
      <w:pPr>
        <w:spacing w:after="0" w:line="104"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SLB continues to win new long-cycle contract awards that align with SLB’s core strengths, particularly in the international and offshore basins. Notable highlights include the following:</w:t>
      </w:r>
    </w:p>
    <w:p>
      <w:pPr>
        <w:spacing w:after="0" w:line="78" w:lineRule="exact"/>
        <w:rPr>
          <w:sz w:val="20"/>
          <w:szCs w:val="20"/>
          <w:color w:val="auto"/>
        </w:rPr>
      </w:pPr>
    </w:p>
    <w:p>
      <w:pPr>
        <w:ind w:left="440" w:right="280" w:hanging="334"/>
        <w:spacing w:after="0" w:line="243"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Mexico, through its reference agreement process, our main customer in Mexico awarded SLB contracts with a total value of approximately $1 billion over the next two years for land and shallow-water exploration and development. SLB will provide drilling technology and completion solutions to execute both conventional and highly complex wells, including high-pressure and high-temperature work.</w:t>
      </w:r>
    </w:p>
    <w:p>
      <w:pPr>
        <w:spacing w:after="0" w:line="93" w:lineRule="exact"/>
        <w:rPr>
          <w:rFonts w:ascii="Arial" w:cs="Arial" w:eastAsia="Arial" w:hAnsi="Arial"/>
          <w:sz w:val="18"/>
          <w:szCs w:val="18"/>
          <w:color w:val="auto"/>
        </w:rPr>
      </w:pPr>
    </w:p>
    <w:p>
      <w:pPr>
        <w:ind w:left="440" w:right="80" w:hanging="334"/>
        <w:spacing w:after="0" w:line="24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Saudi Arabia, SLB received a contract award from Saudi Aramco for directional drilling services for the world’s largest oil and gas fields. On both land and offshore, SLB will deliver directional drilling and digital drilling solutions and logging-while-drilling services. These proven technologies will provide technical solutions for drilling challenging wells.</w:t>
      </w:r>
    </w:p>
    <w:p>
      <w:pPr>
        <w:spacing w:after="0" w:line="89" w:lineRule="exact"/>
        <w:rPr>
          <w:rFonts w:ascii="Arial" w:cs="Arial" w:eastAsia="Arial" w:hAnsi="Arial"/>
          <w:sz w:val="18"/>
          <w:szCs w:val="18"/>
          <w:color w:val="auto"/>
        </w:rPr>
      </w:pPr>
    </w:p>
    <w:p>
      <w:pPr>
        <w:ind w:left="440" w:right="20" w:hanging="334"/>
        <w:spacing w:after="0" w:line="221"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Qatar, Qatargas awarded SLB a five-year exclusive contract with an optional five-year extension for the provision of unitized Cameron wellhead and tree systems. The equipment will be installed in 50 offshore and five onshore wells in the North Field South project and will incorporate MRD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recessed-bore metal-to-metal seals and CANH</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rough casing metal-to-metal seals. The onshore portion of the project includes CO</w:t>
      </w:r>
      <w:r>
        <w:rPr>
          <w:rFonts w:ascii="Arial" w:cs="Arial" w:eastAsia="Arial" w:hAnsi="Arial"/>
          <w:sz w:val="13"/>
          <w:szCs w:val="13"/>
          <w:color w:val="auto"/>
        </w:rPr>
        <w:t>2</w:t>
      </w:r>
      <w:r>
        <w:rPr>
          <w:rFonts w:ascii="Arial" w:cs="Arial" w:eastAsia="Arial" w:hAnsi="Arial"/>
          <w:sz w:val="18"/>
          <w:szCs w:val="18"/>
          <w:color w:val="auto"/>
        </w:rPr>
        <w:t xml:space="preserve"> injection and wastewater wells. The first delivery of the equipment is expected in the third quarter of 2023.</w:t>
      </w:r>
    </w:p>
    <w:p>
      <w:pPr>
        <w:spacing w:after="0" w:line="96" w:lineRule="exact"/>
        <w:rPr>
          <w:rFonts w:ascii="Arial" w:cs="Arial" w:eastAsia="Arial" w:hAnsi="Arial"/>
          <w:sz w:val="18"/>
          <w:szCs w:val="18"/>
          <w:color w:val="auto"/>
        </w:rPr>
      </w:pPr>
    </w:p>
    <w:p>
      <w:pPr>
        <w:ind w:left="440" w:hanging="334"/>
        <w:spacing w:after="0" w:line="221"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Brazil, Petrobras awarded a contract to OneSubsea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to supply critical subsea equipment to assist in the development of the Búzios pre-salt field in the country’s prolific Santos Basin. It was the sixth consecutive contract covering the supply of subsea trees signed between the two parties. SLB will supply 15 subsea trees and electrohydraulic distribution units to serve the Búzios-11 project, set to enter production in 2027 via the P-83 floating production, storage, and offloading vessel. The contract work scope also includes installation, commissioning, and associated maintenance services.</w:t>
      </w:r>
    </w:p>
    <w:p>
      <w:pPr>
        <w:spacing w:after="0" w:line="96" w:lineRule="exact"/>
        <w:rPr>
          <w:rFonts w:ascii="Arial" w:cs="Arial" w:eastAsia="Arial" w:hAnsi="Arial"/>
          <w:sz w:val="18"/>
          <w:szCs w:val="18"/>
          <w:color w:val="auto"/>
        </w:rPr>
      </w:pPr>
    </w:p>
    <w:p>
      <w:pPr>
        <w:ind w:left="440" w:right="60" w:hanging="334"/>
        <w:spacing w:after="0" w:line="238"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Offshore Egypt, bp and its joint venture partner Wintershall Dea have awarded Subsea Integration Alliance an engineering, procurement, construction, and installation (EPCI) contract for the Raven infill project. The project represents the alliance’s second early-integration contract with bp. The contract scope is for a two-well tieback in the West Nile Delta development in water depths of approximately 800 meters. The subsea production systems (SPS) scope will be delivered by OneSubsea and includes project execution comprising subsea controls, connectors, wet parking structures, instrumentation and control installation and commissioning support, and life-of-field support. The subsea umbilicals, risers, and flowlines (SURF) scope will be delivered by Subsea7 and includes the engineering, procurement, transport, and installation of approximately 6 kilometers of flexible pipes, umbilicals, and associated subsea structures.</w:t>
      </w:r>
    </w:p>
    <w:p>
      <w:pPr>
        <w:spacing w:after="0" w:line="99" w:lineRule="exact"/>
        <w:rPr>
          <w:rFonts w:ascii="Arial" w:cs="Arial" w:eastAsia="Arial" w:hAnsi="Arial"/>
          <w:sz w:val="18"/>
          <w:szCs w:val="18"/>
          <w:color w:val="auto"/>
        </w:rPr>
      </w:pPr>
    </w:p>
    <w:p>
      <w:pPr>
        <w:ind w:left="440" w:right="60" w:hanging="334"/>
        <w:spacing w:after="0" w:line="260"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UK North Sea, bp awarded One Subsea a contract for the supply of subsea dual-bore trees, as part of its ongoing infill drilling program in the Schiehallion/Loyal fields west of Schetland.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481" w:right="499" w:bottom="1440" w:gutter="0" w:footer="0" w:header="0"/>
        </w:sectPr>
      </w:pPr>
    </w:p>
    <w:bookmarkStart w:id="11" w:name="page12"/>
    <w:bookmarkEnd w:id="11"/>
    <w:p>
      <w:pPr>
        <w:ind w:left="440" w:right="40" w:hanging="334"/>
        <w:spacing w:after="0" w:line="241"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Turkey, Turkish Petroleum awarded SLB an EPCI contract for Phase 2 of the Sakarya field development, offshore Turkey in the Black Sea. The contract for the two-phase subsea development is awarded to a consortium including SLB, Subsea7, and Saipem. The integrated project scope will be delivered by Subsea Integration Alliance and covers SPS and SURF. OneSubsea will deliver the EPCI of the SPS, which includes subsea tree systems, manifold structures, topsides and distribution controls, tie-in connectors, and valves.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Technology and Performance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Notable technology introductions and deployment in the quarter include the following:</w:t>
      </w:r>
    </w:p>
    <w:p>
      <w:pPr>
        <w:spacing w:after="0" w:line="117" w:lineRule="exact"/>
        <w:rPr>
          <w:sz w:val="20"/>
          <w:szCs w:val="20"/>
          <w:color w:val="auto"/>
        </w:rPr>
      </w:pPr>
    </w:p>
    <w:p>
      <w:pPr>
        <w:ind w:left="440" w:right="120" w:hanging="334"/>
        <w:spacing w:after="0" w:line="218"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Mauritania, the XR-Perf</w:t>
      </w:r>
      <w:r>
        <w:rPr>
          <w:rFonts w:ascii="Arial" w:cs="Arial" w:eastAsia="Arial" w:hAnsi="Arial"/>
          <w:sz w:val="26"/>
          <w:szCs w:val="26"/>
          <w:color w:val="auto"/>
          <w:vertAlign w:val="superscript"/>
        </w:rPr>
        <w:t>™</w:t>
      </w:r>
      <w:r>
        <w:rPr>
          <w:rFonts w:ascii="Arial" w:cs="Arial" w:eastAsia="Arial" w:hAnsi="Arial"/>
          <w:sz w:val="18"/>
          <w:szCs w:val="18"/>
          <w:color w:val="auto"/>
        </w:rPr>
        <w:t xml:space="preserve"> expanded-range wireline perforating system restored production in a deepwater well operated by bp by enabling the perforation of more than 300 meters in eight runs without incident or nonproductive time. The operation saved bp more than 100 hours of rig time compared with traditional wireline methods, resulting in significant cost savings and a reduced carbon footprint. This was the first deployment of the XR-Perf system for bp in Africa.</w:t>
      </w:r>
    </w:p>
    <w:p>
      <w:pPr>
        <w:spacing w:after="0" w:line="95" w:lineRule="exact"/>
        <w:rPr>
          <w:rFonts w:ascii="Arial" w:cs="Arial" w:eastAsia="Arial" w:hAnsi="Arial"/>
          <w:sz w:val="18"/>
          <w:szCs w:val="18"/>
          <w:color w:val="auto"/>
        </w:rPr>
      </w:pPr>
    </w:p>
    <w:p>
      <w:pPr>
        <w:ind w:left="440" w:right="40" w:hanging="334"/>
        <w:spacing w:after="0" w:line="204"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Libya, SLB executed the first treatments utilizing the OneSTEP EF</w:t>
      </w:r>
      <w:r>
        <w:rPr>
          <w:rFonts w:ascii="Arial" w:cs="Arial" w:eastAsia="Arial" w:hAnsi="Arial"/>
          <w:sz w:val="26"/>
          <w:szCs w:val="26"/>
          <w:color w:val="auto"/>
          <w:vertAlign w:val="superscript"/>
        </w:rPr>
        <w:t>™</w:t>
      </w:r>
      <w:r>
        <w:rPr>
          <w:rFonts w:ascii="Arial" w:cs="Arial" w:eastAsia="Arial" w:hAnsi="Arial"/>
          <w:sz w:val="18"/>
          <w:szCs w:val="18"/>
          <w:color w:val="auto"/>
        </w:rPr>
        <w:t xml:space="preserve"> efficient, low-risk sandstone stimulation solution for Waha Oil Company to improve the well influx from a fractured reservoir, mitigate the increasing water production in the field, and reduce the risk of damage from precipitation. A high-rate matrix stimulation was performed on two wells using the OneSTEP EF solution and the OilMAX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matrix acidizing diverter. The OilMAX fluid, composed of a new-generation viscous relative permeability modifier, was used to increase zonal coverage and reduce the water production after treatment. Kinetix Matrix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matrix stimulation design software was used to model the fluid placement for the stimulation job. The successful treatment revived wells that had been shut-in for up to 20 years and increased the total production rate by 140% while reducing water cut to 0.4%. The novel fluid system improved well influx helping Waha Oil Company achieve its production goals.</w:t>
      </w:r>
    </w:p>
    <w:p>
      <w:pPr>
        <w:spacing w:after="0" w:line="99" w:lineRule="exact"/>
        <w:rPr>
          <w:rFonts w:ascii="Arial" w:cs="Arial" w:eastAsia="Arial" w:hAnsi="Arial"/>
          <w:sz w:val="18"/>
          <w:szCs w:val="18"/>
          <w:color w:val="auto"/>
        </w:rPr>
      </w:pPr>
    </w:p>
    <w:p>
      <w:pPr>
        <w:ind w:left="440" w:hanging="334"/>
        <w:spacing w:after="0" w:line="223"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Offshore Malaysia, the integrated solution of Gyrodata Quest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gyro-while-drilling (GWD) system together with PowerDrive X6</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rotary steerable system delivered the longest extended-reach-drilling well in the country, the first integrated deployment since SLB’s acquisition of Gyrodata Incorporated. High-accuracy real-time definitive gyroscopic surveys and precise steering maximized reservoir exposure and recovery potential. The Quest GWD system’s extended battery life allowed for 322 hours of surveying in the 12 1/4-inch section and 294 hours in the 8 1/2-inch section with no battery trip required. The Quest GWD system also saved rig time compared to a conventional GWD tool by reducing the survey time by 75%.</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w:t>
      </w:r>
    </w:p>
    <w:p>
      <w:pPr>
        <w:spacing w:after="0" w:line="114" w:lineRule="exact"/>
        <w:rPr>
          <w:sz w:val="20"/>
          <w:szCs w:val="20"/>
          <w:color w:val="auto"/>
        </w:rPr>
      </w:pPr>
    </w:p>
    <w:p>
      <w:pPr>
        <w:ind w:right="820"/>
        <w:spacing w:after="0" w:line="260" w:lineRule="auto"/>
        <w:rPr>
          <w:sz w:val="20"/>
          <w:szCs w:val="20"/>
          <w:color w:val="auto"/>
        </w:rPr>
      </w:pPr>
      <w:r>
        <w:rPr>
          <w:rFonts w:ascii="Arial" w:cs="Arial" w:eastAsia="Arial" w:hAnsi="Arial"/>
          <w:sz w:val="18"/>
          <w:szCs w:val="18"/>
          <w:color w:val="auto"/>
        </w:rPr>
        <w:t>SLB is deploying digital technology at scale, enabling customers to track and access their data, leverage insights to elevate their performance, and embrace new AI-enabled autonomous operations. Notable highlights include the following:</w:t>
      </w:r>
    </w:p>
    <w:p>
      <w:pPr>
        <w:spacing w:after="0" w:line="78" w:lineRule="exact"/>
        <w:rPr>
          <w:sz w:val="20"/>
          <w:szCs w:val="20"/>
          <w:color w:val="auto"/>
        </w:rPr>
      </w:pPr>
    </w:p>
    <w:p>
      <w:pPr>
        <w:ind w:left="440" w:right="340" w:hanging="334"/>
        <w:spacing w:after="0" w:line="218"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Brazil, SLB was awarded a five-year contract by Petrobras for an enterprise-wide deployment of its Delfi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digital platform. The contract scope facilitates Petrobras’ digital transformation from exploration, development, and production operations, including moving subsurface workflows to the cloud to significantly accelerate decision making. The award represents one of Petrobras’ largest investments in cloud-based technologies.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491" w:right="459" w:bottom="1440" w:gutter="0" w:footer="0" w:header="0"/>
        </w:sectPr>
      </w:pPr>
    </w:p>
    <w:bookmarkStart w:id="12" w:name="page13"/>
    <w:bookmarkEnd w:id="12"/>
    <w:p>
      <w:pPr>
        <w:ind w:left="340" w:right="200" w:hanging="334"/>
        <w:spacing w:after="0" w:line="24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Ecuador, Empresa Nacional del Petróleo (ENAP) has awarded SLB a three-year software-as-a-service contract, granting ENAP access to the advanced technology solutions in the Delfi digital platform to enhance its operations and respond more efficiently to daily challenges. ENAP’s objective is to leverage the advanced capabilities offered by the Delfi platform to achieve streamlined workflows, improved efficiency, and cost savings.</w:t>
      </w:r>
    </w:p>
    <w:p>
      <w:pPr>
        <w:spacing w:after="0" w:line="93" w:lineRule="exact"/>
        <w:rPr>
          <w:rFonts w:ascii="Arial" w:cs="Arial" w:eastAsia="Arial" w:hAnsi="Arial"/>
          <w:sz w:val="18"/>
          <w:szCs w:val="18"/>
          <w:color w:val="auto"/>
        </w:rPr>
      </w:pPr>
    </w:p>
    <w:p>
      <w:pPr>
        <w:ind w:left="340" w:hanging="334"/>
        <w:spacing w:after="0" w:line="22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India, Cairn Oil &amp; Gas, Vedanta Limited selected SLB and Cognite to deploy an industrial DataOps platform at the enterprise level. The project scope includes implementation of a consolidated and unified data enterprise platform for reservoir management in the Rajasthan basin, with the aim of enhancing efficiency, leveraging data science and analytics, and enabling the development of novel applications to optimize reservoir and production workflows. Vedanta plans to leverage the Cognite Data Fusion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platform as well as SLB domain-driven workflows and oil and gas expertise. The three-year strategic project will establish a reusable, flexible data foundation and enable data and domain users to obtain value from actionable insights.</w:t>
      </w:r>
    </w:p>
    <w:p>
      <w:pPr>
        <w:spacing w:after="0" w:line="97" w:lineRule="exact"/>
        <w:rPr>
          <w:rFonts w:ascii="Arial" w:cs="Arial" w:eastAsia="Arial" w:hAnsi="Arial"/>
          <w:sz w:val="18"/>
          <w:szCs w:val="18"/>
          <w:color w:val="auto"/>
        </w:rPr>
      </w:pPr>
    </w:p>
    <w:p>
      <w:pPr>
        <w:ind w:left="340" w:hanging="334"/>
        <w:spacing w:after="0" w:line="20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Kuwait, Kuwait Oil Company (KOC) utilized Neuro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autonomous solutions, which included the autonomous downhole control system, DrillOps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Automate, DD Advisor coupled with well construction rig equipment, the AxeBlade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ridged diamond element bit, and the PowerDrive Orbit G2</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rotary steerable system. Optimization through autonomous directional drilling capabilities delivered a 90% increase in rate of penetration (ROP) and a 37% increase in steering effectiveness, saving over $500,000 and eight rig days compared to the authorization for expenditure. Neuro solutions are redefining what can be achieved when state-of-the-art software is coupled with intelligent hardware and work processes that eliminate manual operations. The successful adoption of these technologies not only improved KOC’s drilling performance and efficiency but also minimized operational costs and drilling durations, directly impacting their profitability.</w:t>
      </w:r>
    </w:p>
    <w:p>
      <w:pPr>
        <w:spacing w:after="0" w:line="99" w:lineRule="exact"/>
        <w:rPr>
          <w:rFonts w:ascii="Arial" w:cs="Arial" w:eastAsia="Arial" w:hAnsi="Arial"/>
          <w:sz w:val="18"/>
          <w:szCs w:val="18"/>
          <w:color w:val="auto"/>
        </w:rPr>
      </w:pPr>
    </w:p>
    <w:p>
      <w:pPr>
        <w:ind w:left="340" w:right="100" w:hanging="334"/>
        <w:spacing w:after="0" w:line="24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Malaysia, SLB has incorporated Neuro autonomous solutions to deliver autonomous directional drilling in one of PETRONAS Carigali Sdn Bhd’s (PCSB) operated asset development campaigns. Utilizing technical capabilities that combine surface and downhole automation, the Neuro autonomous solutions delivered enhanced efficiency and consistency of operations while reducing human intervention, resulting in a 33% increase in ROP and a 62% reduction in downlinking.</w:t>
      </w:r>
    </w:p>
    <w:p>
      <w:pPr>
        <w:spacing w:after="0" w:line="12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540" w:top="491" w:right="47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FINANCIAL TABLES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51" w:lineRule="exact"/>
        <w:rPr>
          <w:sz w:val="20"/>
          <w:szCs w:val="20"/>
          <w:color w:val="auto"/>
        </w:rPr>
      </w:pPr>
    </w:p>
    <w:tbl>
      <w:tblPr>
        <w:tblLayout w:type="fixed"/>
        <w:tblInd w:w="4" w:type="dxa"/>
        <w:tblCellMar>
          <w:top w:w="0" w:type="dxa"/>
          <w:left w:w="0" w:type="dxa"/>
          <w:bottom w:w="0" w:type="dxa"/>
          <w:right w:w="0" w:type="dxa"/>
        </w:tblCellMar>
      </w:tblPr>
      <w:tr>
        <w:trPr>
          <w:trHeight w:val="154"/>
        </w:trPr>
        <w:tc>
          <w:tcPr>
            <w:tcW w:w="154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80" w:type="dxa"/>
            <w:vAlign w:val="bottom"/>
            <w:gridSpan w:val="9"/>
          </w:tcPr>
          <w:p>
            <w:pPr>
              <w:jc w:val="right"/>
              <w:ind w:right="140"/>
              <w:spacing w:after="0"/>
              <w:rPr>
                <w:sz w:val="20"/>
                <w:szCs w:val="20"/>
                <w:color w:val="auto"/>
              </w:rPr>
            </w:pPr>
            <w:r>
              <w:rPr>
                <w:rFonts w:ascii="Arial" w:cs="Arial" w:eastAsia="Arial" w:hAnsi="Arial"/>
                <w:sz w:val="13"/>
                <w:szCs w:val="13"/>
                <w:color w:val="auto"/>
              </w:rPr>
              <w:t>(Stated in millions, except per share amounts)</w:t>
            </w:r>
          </w:p>
        </w:tc>
        <w:tc>
          <w:tcPr>
            <w:tcW w:w="0" w:type="dxa"/>
            <w:vAlign w:val="bottom"/>
          </w:tcPr>
          <w:p>
            <w:pPr>
              <w:spacing w:after="0"/>
              <w:rPr>
                <w:sz w:val="1"/>
                <w:szCs w:val="1"/>
                <w:color w:val="auto"/>
              </w:rPr>
            </w:pPr>
          </w:p>
        </w:tc>
      </w:tr>
      <w:tr>
        <w:trPr>
          <w:trHeight w:val="167"/>
        </w:trPr>
        <w:tc>
          <w:tcPr>
            <w:tcW w:w="1540" w:type="dxa"/>
            <w:vAlign w:val="bottom"/>
            <w:vMerge w:val="restart"/>
          </w:tcPr>
          <w:p>
            <w:pPr>
              <w:spacing w:after="0"/>
              <w:rPr>
                <w:sz w:val="20"/>
                <w:szCs w:val="20"/>
                <w:color w:val="auto"/>
              </w:rPr>
            </w:pPr>
            <w:r>
              <w:rPr>
                <w:rFonts w:ascii="Arial" w:cs="Arial" w:eastAsia="Arial" w:hAnsi="Arial"/>
                <w:sz w:val="14"/>
                <w:szCs w:val="14"/>
                <w:color w:val="auto"/>
              </w:rPr>
              <w:t>Periods Ended June 30,</w:t>
            </w:r>
          </w:p>
        </w:tc>
        <w:tc>
          <w:tcPr>
            <w:tcW w:w="57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4"/>
                <w:szCs w:val="14"/>
                <w:color w:val="auto"/>
              </w:rPr>
              <w:t>Second Quarter</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40" w:type="dxa"/>
            <w:vAlign w:val="bottom"/>
            <w:tcBorders>
              <w:bottom w:val="single" w:sz="8" w:color="auto"/>
            </w:tcBorders>
            <w:vMerge w:val="continue"/>
          </w:tcPr>
          <w:p>
            <w:pPr>
              <w:spacing w:after="0"/>
              <w:rPr>
                <w:sz w:val="13"/>
                <w:szCs w:val="13"/>
                <w:color w:val="auto"/>
              </w:rPr>
            </w:pPr>
          </w:p>
        </w:tc>
        <w:tc>
          <w:tcPr>
            <w:tcW w:w="57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2022</w:t>
            </w: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color w:val="auto"/>
                <w:w w:val="96"/>
              </w:rPr>
              <w:t>2022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57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7"/>
              </w:rPr>
              <w:t>8,099</w:t>
            </w:r>
          </w:p>
        </w:tc>
        <w:tc>
          <w:tcPr>
            <w:tcW w:w="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6,773</w:t>
            </w:r>
          </w:p>
        </w:tc>
        <w:tc>
          <w:tcPr>
            <w:tcW w:w="4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15,835</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12,735</w:t>
            </w:r>
          </w:p>
        </w:tc>
        <w:tc>
          <w:tcPr>
            <w:tcW w:w="0" w:type="dxa"/>
            <w:vAlign w:val="bottom"/>
          </w:tcPr>
          <w:p>
            <w:pPr>
              <w:spacing w:after="0"/>
              <w:rPr>
                <w:sz w:val="1"/>
                <w:szCs w:val="1"/>
                <w:color w:val="auto"/>
              </w:rPr>
            </w:pPr>
          </w:p>
        </w:tc>
      </w:tr>
      <w:tr>
        <w:trPr>
          <w:trHeight w:val="203"/>
        </w:trPr>
        <w:tc>
          <w:tcPr>
            <w:tcW w:w="728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Interest &amp; other income </w:t>
            </w:r>
            <w:r>
              <w:rPr>
                <w:rFonts w:ascii="Arial" w:cs="Arial" w:eastAsia="Arial" w:hAnsi="Arial"/>
                <w:sz w:val="23"/>
                <w:szCs w:val="23"/>
                <w:color w:val="auto"/>
                <w:vertAlign w:val="superscript"/>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311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174</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7"/>
              </w:rPr>
              <w:t>6,502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5,568</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12,787</w:t>
            </w:r>
          </w:p>
        </w:tc>
        <w:tc>
          <w:tcPr>
            <w:tcW w:w="28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10,581</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&amp; engineering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337</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3"/>
        </w:trPr>
        <w:tc>
          <w:tcPr>
            <w:tcW w:w="72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General &amp; administrative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244</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line="230" w:lineRule="exact"/>
              <w:rPr>
                <w:sz w:val="20"/>
                <w:szCs w:val="20"/>
                <w:color w:val="auto"/>
              </w:rPr>
            </w:pPr>
            <w:r>
              <w:rPr>
                <w:rFonts w:ascii="Arial" w:cs="Arial" w:eastAsia="Arial" w:hAnsi="Arial"/>
                <w:sz w:val="18"/>
                <w:szCs w:val="18"/>
                <w:color w:val="auto"/>
              </w:rPr>
              <w:t xml:space="preserve">Income before taxes </w:t>
            </w:r>
            <w:r>
              <w:rPr>
                <w:rFonts w:ascii="Arial" w:cs="Arial" w:eastAsia="Arial" w:hAnsi="Arial"/>
                <w:sz w:val="26"/>
                <w:szCs w:val="26"/>
                <w:color w:val="auto"/>
                <w:vertAlign w:val="superscript"/>
              </w:rPr>
              <w:t>(1)</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gridSpan w:val="2"/>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1,293</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1,152</w:t>
            </w:r>
          </w:p>
        </w:tc>
        <w:tc>
          <w:tcPr>
            <w:tcW w:w="30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2,454</w:t>
            </w:r>
          </w:p>
        </w:tc>
        <w:tc>
          <w:tcPr>
            <w:tcW w:w="160" w:type="dxa"/>
            <w:vAlign w:val="bottom"/>
            <w:vMerge w:val="continue"/>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Tax expense </w:t>
            </w:r>
            <w:r>
              <w:rPr>
                <w:rFonts w:ascii="Arial" w:cs="Arial" w:eastAsia="Arial" w:hAnsi="Arial"/>
                <w:sz w:val="23"/>
                <w:szCs w:val="23"/>
                <w:color w:val="auto"/>
                <w:vertAlign w:val="superscript"/>
              </w:rPr>
              <w:t>(1)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464</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6"/>
                <w:szCs w:val="26"/>
                <w:color w:val="auto"/>
                <w:vertAlign w:val="superscript"/>
              </w:rPr>
              <w:t>(1)</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7"/>
              </w:rPr>
              <w:t>1,047</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970</w:t>
            </w:r>
          </w:p>
        </w:tc>
        <w:tc>
          <w:tcPr>
            <w:tcW w:w="3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1,990</w:t>
            </w:r>
          </w:p>
        </w:tc>
        <w:tc>
          <w:tcPr>
            <w:tcW w:w="16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noncontrolling interest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line="230" w:lineRule="exact"/>
              <w:rPr>
                <w:sz w:val="20"/>
                <w:szCs w:val="20"/>
                <w:color w:val="auto"/>
              </w:rPr>
            </w:pPr>
            <w:r>
              <w:rPr>
                <w:rFonts w:ascii="Arial" w:cs="Arial" w:eastAsia="Arial" w:hAnsi="Arial"/>
                <w:sz w:val="18"/>
                <w:szCs w:val="18"/>
                <w:color w:val="auto"/>
              </w:rPr>
              <w:t xml:space="preserve">Net income attributable to SLB </w:t>
            </w:r>
            <w:r>
              <w:rPr>
                <w:rFonts w:ascii="Arial" w:cs="Arial" w:eastAsia="Arial" w:hAnsi="Arial"/>
                <w:sz w:val="26"/>
                <w:szCs w:val="26"/>
                <w:color w:val="auto"/>
                <w:vertAlign w:val="superscript"/>
              </w:rPr>
              <w:t>(1)</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gridSpan w:val="2"/>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1,033</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959</w:t>
            </w:r>
          </w:p>
        </w:tc>
        <w:tc>
          <w:tcPr>
            <w:tcW w:w="30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1,967</w:t>
            </w:r>
          </w:p>
        </w:tc>
        <w:tc>
          <w:tcPr>
            <w:tcW w:w="160" w:type="dxa"/>
            <w:vAlign w:val="bottom"/>
            <w:vMerge w:val="continue"/>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0"/>
        </w:trPr>
        <w:tc>
          <w:tcPr>
            <w:tcW w:w="7280" w:type="dxa"/>
            <w:vAlign w:val="bottom"/>
            <w:gridSpan w:val="2"/>
          </w:tcPr>
          <w:p>
            <w:pPr>
              <w:spacing w:after="0" w:line="20" w:lineRule="exact"/>
              <w:rPr>
                <w:sz w:val="1"/>
                <w:szCs w:val="1"/>
                <w:color w:val="auto"/>
              </w:rPr>
            </w:pPr>
          </w:p>
        </w:tc>
        <w:tc>
          <w:tcPr>
            <w:tcW w:w="100" w:type="dxa"/>
            <w:vAlign w:val="bottom"/>
            <w:tcBorders>
              <w:top w:val="single" w:sz="8" w:color="auto"/>
            </w:tcBorders>
            <w:gridSpan w:val="2"/>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80" w:type="dxa"/>
            <w:vAlign w:val="bottom"/>
            <w:gridSpan w:val="2"/>
            <w:shd w:val="clear" w:color="auto" w:fill="CCEEFF"/>
          </w:tcPr>
          <w:p>
            <w:pPr>
              <w:spacing w:after="0" w:line="197" w:lineRule="exact"/>
              <w:rPr>
                <w:sz w:val="20"/>
                <w:szCs w:val="20"/>
                <w:color w:val="auto"/>
              </w:rPr>
            </w:pPr>
            <w:r>
              <w:rPr>
                <w:rFonts w:ascii="Arial" w:cs="Arial" w:eastAsia="Arial" w:hAnsi="Arial"/>
                <w:sz w:val="16"/>
                <w:szCs w:val="16"/>
                <w:color w:val="auto"/>
              </w:rPr>
              <w:t xml:space="preserve">Diluted earnings per share of SLB </w:t>
            </w:r>
            <w:r>
              <w:rPr>
                <w:rFonts w:ascii="Arial" w:cs="Arial" w:eastAsia="Arial" w:hAnsi="Arial"/>
                <w:sz w:val="22"/>
                <w:szCs w:val="22"/>
                <w:color w:val="auto"/>
                <w:vertAlign w:val="superscript"/>
              </w:rPr>
              <w:t>(1)</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0.72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0.67</w:t>
            </w:r>
          </w:p>
        </w:tc>
        <w:tc>
          <w:tcPr>
            <w:tcW w:w="3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1.36</w:t>
            </w:r>
          </w:p>
        </w:tc>
        <w:tc>
          <w:tcPr>
            <w:tcW w:w="1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Average shares outstanding</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7"/>
              </w:rPr>
              <w:t>1,423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1,414</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1,425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shares outstanding assuming dilution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1,442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1,436</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1,444</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26"/>
                <w:szCs w:val="26"/>
                <w:color w:val="auto"/>
                <w:vertAlign w:val="superscript"/>
              </w:rPr>
              <w:t>(2)</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561</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532</w:t>
            </w:r>
          </w:p>
        </w:tc>
        <w:tc>
          <w:tcPr>
            <w:tcW w:w="3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1,124</w:t>
            </w:r>
          </w:p>
        </w:tc>
        <w:tc>
          <w:tcPr>
            <w:tcW w:w="16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444" w:hanging="444"/>
        <w:spacing w:after="0"/>
        <w:tabs>
          <w:tab w:leader="none" w:pos="444"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See section entitled “Charges &amp; Credits” for details.</w:t>
      </w:r>
    </w:p>
    <w:p>
      <w:pPr>
        <w:ind w:left="444" w:hanging="444"/>
        <w:spacing w:after="0" w:line="181" w:lineRule="auto"/>
        <w:tabs>
          <w:tab w:leader="none" w:pos="444" w:val="left"/>
        </w:tabs>
        <w:numPr>
          <w:ilvl w:val="0"/>
          <w:numId w:val="11"/>
        </w:numPr>
        <w:rPr>
          <w:rFonts w:ascii="Arial" w:cs="Arial" w:eastAsia="Arial" w:hAnsi="Arial"/>
          <w:sz w:val="25"/>
          <w:szCs w:val="25"/>
          <w:color w:val="auto"/>
          <w:vertAlign w:val="superscript"/>
        </w:rPr>
      </w:pPr>
      <w:r>
        <w:rPr>
          <w:rFonts w:ascii="Arial" w:cs="Arial" w:eastAsia="Arial" w:hAnsi="Arial"/>
          <w:sz w:val="17"/>
          <w:szCs w:val="17"/>
          <w:color w:val="auto"/>
        </w:rPr>
        <w:t>Includes depreciation of fixed assets and amortization of intangible assets, exploration data costs, and APS investments.</w:t>
      </w:r>
    </w:p>
    <w:p>
      <w:pPr>
        <w:spacing w:after="0" w:line="1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4"/>
          </w:cols>
          <w:pgMar w:left="436" w:top="481"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Condensed Consolidated Balance Sheet</w:t>
      </w:r>
    </w:p>
    <w:p>
      <w:pPr>
        <w:spacing w:after="0" w:line="24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center"/>
              <w:ind w:left="272"/>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Jun. 30,</w:t>
            </w: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5"/>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9"/>
              </w:rPr>
              <w:t>Assets</w:t>
            </w:r>
          </w:p>
        </w:tc>
        <w:tc>
          <w:tcPr>
            <w:tcW w:w="620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2022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Cash and short-term investments</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3,194</w:t>
            </w:r>
          </w:p>
        </w:tc>
        <w:tc>
          <w:tcPr>
            <w:tcW w:w="10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7,675</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7,032</w:t>
            </w:r>
          </w:p>
        </w:tc>
        <w:tc>
          <w:tcPr>
            <w:tcW w:w="0" w:type="dxa"/>
            <w:vAlign w:val="bottom"/>
          </w:tcPr>
          <w:p>
            <w:pPr>
              <w:spacing w:after="0"/>
              <w:rPr>
                <w:sz w:val="1"/>
                <w:szCs w:val="1"/>
                <w:color w:val="auto"/>
              </w:rPr>
            </w:pPr>
          </w:p>
        </w:tc>
      </w:tr>
      <w:tr>
        <w:trPr>
          <w:trHeight w:val="203"/>
        </w:trPr>
        <w:tc>
          <w:tcPr>
            <w:tcW w:w="66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7"/>
                <w:szCs w:val="17"/>
                <w:color w:val="auto"/>
              </w:rPr>
            </w:pP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4,360</w:t>
            </w:r>
          </w:p>
        </w:tc>
        <w:tc>
          <w:tcPr>
            <w:tcW w:w="10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925</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16,154</w:t>
            </w: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15,003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Investment in affiliated companies</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1,601</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03"/>
        </w:trPr>
        <w:tc>
          <w:tcPr>
            <w:tcW w:w="6640" w:type="dxa"/>
            <w:vAlign w:val="bottom"/>
            <w:gridSpan w:val="3"/>
          </w:tcPr>
          <w:p>
            <w:pPr>
              <w:spacing w:after="0" w:line="202" w:lineRule="exact"/>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7"/>
                <w:szCs w:val="17"/>
                <w:color w:val="auto"/>
              </w:rPr>
            </w:pP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6,804</w:t>
            </w:r>
          </w:p>
        </w:tc>
        <w:tc>
          <w:tcPr>
            <w:tcW w:w="10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w w:val="98"/>
              </w:rPr>
              <w:t>13,117</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12,982</w:t>
            </w:r>
          </w:p>
        </w:tc>
        <w:tc>
          <w:tcPr>
            <w:tcW w:w="0" w:type="dxa"/>
            <w:vAlign w:val="bottom"/>
          </w:tcPr>
          <w:p>
            <w:pPr>
              <w:spacing w:after="0"/>
              <w:rPr>
                <w:sz w:val="1"/>
                <w:szCs w:val="1"/>
                <w:color w:val="auto"/>
              </w:rPr>
            </w:pPr>
          </w:p>
        </w:tc>
      </w:tr>
      <w:tr>
        <w:trPr>
          <w:trHeight w:val="203"/>
        </w:trPr>
        <w:tc>
          <w:tcPr>
            <w:tcW w:w="6640" w:type="dxa"/>
            <w:vAlign w:val="bottom"/>
            <w:gridSpan w:val="3"/>
          </w:tcPr>
          <w:p>
            <w:pPr>
              <w:spacing w:after="0" w:line="202" w:lineRule="exact"/>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7"/>
                <w:szCs w:val="17"/>
                <w:color w:val="auto"/>
              </w:rPr>
            </w:pP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2,968</w:t>
            </w:r>
          </w:p>
        </w:tc>
        <w:tc>
          <w:tcPr>
            <w:tcW w:w="10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4,182</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44,826</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spacing w:after="0"/>
              <w:rPr>
                <w:sz w:val="20"/>
                <w:szCs w:val="20"/>
                <w:color w:val="auto"/>
              </w:rPr>
            </w:pPr>
            <w:r>
              <w:rPr>
                <w:rFonts w:ascii="Arial" w:cs="Arial" w:eastAsia="Arial" w:hAnsi="Arial"/>
                <w:sz w:val="14"/>
                <w:szCs w:val="14"/>
                <w:color w:val="auto"/>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30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2"/>
              </w:rPr>
              <w:t>Current Liabilities</w:t>
            </w:r>
          </w:p>
        </w:tc>
        <w:tc>
          <w:tcPr>
            <w:tcW w:w="5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tcPr>
          <w:p>
            <w:pPr>
              <w:spacing w:after="0" w:line="202" w:lineRule="exact"/>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8,938</w:t>
            </w:r>
          </w:p>
        </w:tc>
        <w:tc>
          <w:tcPr>
            <w:tcW w:w="10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9,121</w:t>
            </w: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Estimated liability for taxes on income</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859</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03"/>
        </w:trPr>
        <w:tc>
          <w:tcPr>
            <w:tcW w:w="6640" w:type="dxa"/>
            <w:vAlign w:val="bottom"/>
            <w:gridSpan w:val="3"/>
          </w:tcPr>
          <w:p>
            <w:pPr>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100" w:type="dxa"/>
            <w:vAlign w:val="bottom"/>
          </w:tcPr>
          <w:p>
            <w:pPr>
              <w:spacing w:after="0"/>
              <w:rPr>
                <w:sz w:val="17"/>
                <w:szCs w:val="17"/>
                <w:color w:val="auto"/>
              </w:rPr>
            </w:pP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1,993</w:t>
            </w:r>
          </w:p>
        </w:tc>
        <w:tc>
          <w:tcPr>
            <w:tcW w:w="10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373</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12,163</w:t>
            </w: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w w:val="98"/>
              </w:rPr>
              <w:t>11,342</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10,594</w:t>
            </w:r>
          </w:p>
        </w:tc>
        <w:tc>
          <w:tcPr>
            <w:tcW w:w="0" w:type="dxa"/>
            <w:vAlign w:val="bottom"/>
          </w:tcPr>
          <w:p>
            <w:pPr>
              <w:spacing w:after="0"/>
              <w:rPr>
                <w:sz w:val="1"/>
                <w:szCs w:val="1"/>
                <w:color w:val="auto"/>
              </w:rPr>
            </w:pPr>
          </w:p>
        </w:tc>
      </w:tr>
      <w:tr>
        <w:trPr>
          <w:trHeight w:val="203"/>
        </w:trPr>
        <w:tc>
          <w:tcPr>
            <w:tcW w:w="6640" w:type="dxa"/>
            <w:vAlign w:val="bottom"/>
            <w:gridSpan w:val="3"/>
          </w:tcPr>
          <w:p>
            <w:pPr>
              <w:spacing w:after="0" w:line="202" w:lineRule="exact"/>
              <w:rPr>
                <w:sz w:val="20"/>
                <w:szCs w:val="20"/>
                <w:color w:val="auto"/>
              </w:rPr>
            </w:pPr>
            <w:r>
              <w:rPr>
                <w:rFonts w:ascii="Arial" w:cs="Arial" w:eastAsia="Arial" w:hAnsi="Arial"/>
                <w:sz w:val="18"/>
                <w:szCs w:val="18"/>
                <w:color w:val="auto"/>
              </w:rPr>
              <w:t>Postretirement benefits</w:t>
            </w:r>
          </w:p>
        </w:tc>
        <w:tc>
          <w:tcPr>
            <w:tcW w:w="100" w:type="dxa"/>
            <w:vAlign w:val="bottom"/>
          </w:tcPr>
          <w:p>
            <w:pPr>
              <w:spacing w:after="0"/>
              <w:rPr>
                <w:sz w:val="17"/>
                <w:szCs w:val="17"/>
                <w:color w:val="auto"/>
              </w:rPr>
            </w:pP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167</w:t>
            </w:r>
          </w:p>
        </w:tc>
        <w:tc>
          <w:tcPr>
            <w:tcW w:w="10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2,220</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25,892</w:t>
            </w: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w w:val="98"/>
              </w:rPr>
              <w:t>18,934</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17,989</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44,826</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ind w:left="408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19"/>
          </w:cols>
          <w:pgMar w:left="440" w:top="481" w:right="1440" w:bottom="1440" w:gutter="0" w:footer="0" w:header="0"/>
        </w:sectPr>
      </w:pPr>
    </w:p>
    <w:bookmarkStart w:id="15" w:name="page16"/>
    <w:bookmarkEnd w:id="1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Liquidity</w:t>
      </w:r>
    </w:p>
    <w:p>
      <w:pPr>
        <w:spacing w:after="0" w:line="256" w:lineRule="exact"/>
        <w:rPr>
          <w:sz w:val="20"/>
          <w:szCs w:val="20"/>
          <w:color w:val="auto"/>
        </w:rPr>
      </w:pPr>
    </w:p>
    <w:tbl>
      <w:tblPr>
        <w:tblLayout w:type="fixed"/>
        <w:tblInd w:w="444"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940" w:type="dxa"/>
            <w:vAlign w:val="bottom"/>
            <w:gridSpan w:val="3"/>
            <w:vMerge w:val="restart"/>
          </w:tcPr>
          <w:p>
            <w:pPr>
              <w:jc w:val="right"/>
              <w:ind w:right="281"/>
              <w:spacing w:after="0"/>
              <w:rPr>
                <w:sz w:val="20"/>
                <w:szCs w:val="20"/>
                <w:color w:val="auto"/>
              </w:rPr>
            </w:pPr>
            <w:r>
              <w:rPr>
                <w:rFonts w:ascii="Arial" w:cs="Arial" w:eastAsia="Arial" w:hAnsi="Arial"/>
                <w:sz w:val="14"/>
                <w:szCs w:val="14"/>
                <w:b w:val="1"/>
                <w:bCs w:val="1"/>
                <w:color w:val="auto"/>
              </w:rPr>
              <w:t>Jun.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4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54"/>
        </w:trPr>
        <w:tc>
          <w:tcPr>
            <w:tcW w:w="15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3"/>
          </w:tcPr>
          <w:p>
            <w:pPr>
              <w:jc w:val="right"/>
              <w:ind w:right="320"/>
              <w:spacing w:after="0" w:line="154" w:lineRule="exact"/>
              <w:rPr>
                <w:sz w:val="20"/>
                <w:szCs w:val="20"/>
                <w:color w:val="auto"/>
              </w:rPr>
            </w:pPr>
            <w:r>
              <w:rPr>
                <w:rFonts w:ascii="Arial" w:cs="Arial" w:eastAsia="Arial" w:hAnsi="Arial"/>
                <w:sz w:val="14"/>
                <w:szCs w:val="14"/>
                <w:color w:val="auto"/>
              </w:rPr>
              <w:t>Mar. 31,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320"/>
              <w:spacing w:after="0" w:line="154" w:lineRule="exact"/>
              <w:rPr>
                <w:sz w:val="20"/>
                <w:szCs w:val="20"/>
                <w:color w:val="auto"/>
              </w:rPr>
            </w:pPr>
            <w:r>
              <w:rPr>
                <w:rFonts w:ascii="Arial" w:cs="Arial" w:eastAsia="Arial" w:hAnsi="Arial"/>
                <w:sz w:val="14"/>
                <w:szCs w:val="14"/>
                <w:color w:val="auto"/>
              </w:rPr>
              <w:t>Jun. 30,</w:t>
            </w:r>
          </w:p>
        </w:tc>
        <w:tc>
          <w:tcPr>
            <w:tcW w:w="180" w:type="dxa"/>
            <w:vAlign w:val="bottom"/>
          </w:tcPr>
          <w:p>
            <w:pPr>
              <w:spacing w:after="0"/>
              <w:rPr>
                <w:sz w:val="13"/>
                <w:szCs w:val="13"/>
                <w:color w:val="auto"/>
              </w:rPr>
            </w:pPr>
          </w:p>
        </w:tc>
        <w:tc>
          <w:tcPr>
            <w:tcW w:w="800" w:type="dxa"/>
            <w:vAlign w:val="bottom"/>
            <w:gridSpan w:val="3"/>
          </w:tcPr>
          <w:p>
            <w:pPr>
              <w:jc w:val="right"/>
              <w:ind w:right="180"/>
              <w:spacing w:after="0" w:line="154"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5"/>
        </w:trPr>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Components of Liquidity</w:t>
            </w:r>
          </w:p>
        </w:tc>
        <w:tc>
          <w:tcPr>
            <w:tcW w:w="4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2023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and short-term investments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3,194</w:t>
            </w: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2,504</w:t>
            </w: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2,816</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03"/>
        </w:trPr>
        <w:tc>
          <w:tcPr>
            <w:tcW w:w="6000" w:type="dxa"/>
            <w:vAlign w:val="bottom"/>
            <w:gridSpan w:val="2"/>
          </w:tcPr>
          <w:p>
            <w:pPr>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100" w:type="dxa"/>
            <w:vAlign w:val="bottom"/>
          </w:tcPr>
          <w:p>
            <w:pPr>
              <w:spacing w:after="0"/>
              <w:rPr>
                <w:sz w:val="17"/>
                <w:szCs w:val="17"/>
                <w:color w:val="auto"/>
              </w:rPr>
            </w:pPr>
          </w:p>
        </w:tc>
        <w:tc>
          <w:tcPr>
            <w:tcW w:w="840" w:type="dxa"/>
            <w:vAlign w:val="bottom"/>
            <w:gridSpan w:val="2"/>
          </w:tcPr>
          <w:p>
            <w:pPr>
              <w:jc w:val="right"/>
              <w:ind w:right="141"/>
              <w:spacing w:after="0" w:line="202" w:lineRule="exact"/>
              <w:rPr>
                <w:sz w:val="20"/>
                <w:szCs w:val="20"/>
                <w:color w:val="auto"/>
              </w:rPr>
            </w:pPr>
            <w:r>
              <w:rPr>
                <w:rFonts w:ascii="Arial" w:cs="Arial" w:eastAsia="Arial" w:hAnsi="Arial"/>
                <w:sz w:val="18"/>
                <w:szCs w:val="18"/>
                <w:b w:val="1"/>
                <w:bCs w:val="1"/>
                <w:color w:val="auto"/>
              </w:rPr>
              <w:t>(1,993)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(2,140)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(901)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3"/>
        </w:trPr>
        <w:tc>
          <w:tcPr>
            <w:tcW w:w="6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1"/>
              <w:spacing w:after="0" w:line="202" w:lineRule="exact"/>
              <w:rPr>
                <w:sz w:val="20"/>
                <w:szCs w:val="20"/>
                <w:color w:val="auto"/>
              </w:rPr>
            </w:pPr>
            <w:r>
              <w:rPr>
                <w:rFonts w:ascii="Arial" w:cs="Arial" w:eastAsia="Arial" w:hAnsi="Arial"/>
                <w:sz w:val="18"/>
                <w:szCs w:val="18"/>
                <w:b w:val="1"/>
                <w:bCs w:val="1"/>
                <w:color w:val="auto"/>
                <w:w w:val="95"/>
              </w:rPr>
              <w:t>(11,342)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(10,698)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(12,946)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5"/>
              </w:rPr>
              <w:t>(10,594)</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line="230" w:lineRule="exact"/>
              <w:rPr>
                <w:sz w:val="20"/>
                <w:szCs w:val="20"/>
                <w:color w:val="auto"/>
              </w:rPr>
            </w:pPr>
            <w:r>
              <w:rPr>
                <w:rFonts w:ascii="Arial" w:cs="Arial" w:eastAsia="Arial" w:hAnsi="Arial"/>
                <w:sz w:val="18"/>
                <w:szCs w:val="18"/>
                <w:color w:val="auto"/>
              </w:rPr>
              <w:t>Net Debt</w:t>
            </w:r>
            <w:r>
              <w:rPr>
                <w:rFonts w:ascii="Arial" w:cs="Arial" w:eastAsia="Arial" w:hAnsi="Arial"/>
                <w:sz w:val="26"/>
                <w:szCs w:val="26"/>
                <w:color w:val="auto"/>
                <w:vertAlign w:val="superscript"/>
              </w:rPr>
              <w:t>(1)</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141"/>
              <w:spacing w:after="0"/>
              <w:rPr>
                <w:sz w:val="20"/>
                <w:szCs w:val="20"/>
                <w:color w:val="auto"/>
              </w:rPr>
            </w:pPr>
            <w:r>
              <w:rPr>
                <w:rFonts w:ascii="Arial" w:cs="Arial" w:eastAsia="Arial" w:hAnsi="Arial"/>
                <w:sz w:val="8"/>
                <w:szCs w:val="8"/>
                <w:b w:val="1"/>
                <w:bCs w:val="1"/>
                <w:color w:val="auto"/>
                <w:w w:val="73"/>
              </w:rPr>
              <w:t>)</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4"/>
              </w:rPr>
              <w:t>(10,141</w:t>
            </w:r>
          </w:p>
        </w:tc>
        <w:tc>
          <w:tcPr>
            <w:tcW w:w="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(10,334)</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(11,031)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(9,332)</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Details of changes in liquidity follow:</w:t>
      </w:r>
    </w:p>
    <w:p>
      <w:pPr>
        <w:spacing w:after="0" w:line="23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Six</w:t>
            </w:r>
          </w:p>
        </w:tc>
        <w:tc>
          <w:tcPr>
            <w:tcW w:w="920" w:type="dxa"/>
            <w:vAlign w:val="bottom"/>
            <w:gridSpan w:val="3"/>
          </w:tcPr>
          <w:p>
            <w:pPr>
              <w:jc w:val="right"/>
              <w:ind w:right="241"/>
              <w:spacing w:after="0"/>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color w:val="auto"/>
              </w:rPr>
              <w:t>Six</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Months</w:t>
            </w:r>
          </w:p>
        </w:tc>
        <w:tc>
          <w:tcPr>
            <w:tcW w:w="920" w:type="dxa"/>
            <w:vAlign w:val="bottom"/>
            <w:gridSpan w:val="3"/>
          </w:tcPr>
          <w:p>
            <w:pPr>
              <w:jc w:val="right"/>
              <w:ind w:right="241"/>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color w:val="auto"/>
              </w:rPr>
              <w:t>Months</w:t>
            </w:r>
          </w:p>
        </w:tc>
        <w:tc>
          <w:tcPr>
            <w:tcW w:w="0" w:type="dxa"/>
            <w:vAlign w:val="bottom"/>
          </w:tcPr>
          <w:p>
            <w:pPr>
              <w:spacing w:after="0"/>
              <w:rPr>
                <w:sz w:val="1"/>
                <w:szCs w:val="1"/>
                <w:color w:val="auto"/>
              </w:rPr>
            </w:pPr>
          </w:p>
        </w:tc>
      </w:tr>
      <w:tr>
        <w:trPr>
          <w:trHeight w:val="175"/>
        </w:trPr>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Periods Ended June 30,</w:t>
            </w:r>
          </w:p>
        </w:tc>
        <w:tc>
          <w:tcPr>
            <w:tcW w:w="6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68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60" w:type="dxa"/>
            <w:vAlign w:val="bottom"/>
            <w:gridSpan w:val="3"/>
            <w:shd w:val="clear" w:color="auto" w:fill="CCEEFF"/>
          </w:tcPr>
          <w:p>
            <w:pPr>
              <w:jc w:val="right"/>
              <w:ind w:right="1"/>
              <w:spacing w:after="0" w:line="196" w:lineRule="exact"/>
              <w:rPr>
                <w:sz w:val="20"/>
                <w:szCs w:val="20"/>
                <w:color w:val="auto"/>
              </w:rPr>
            </w:pPr>
            <w:r>
              <w:rPr>
                <w:rFonts w:ascii="Arial" w:cs="Arial" w:eastAsia="Arial" w:hAnsi="Arial"/>
                <w:sz w:val="18"/>
                <w:szCs w:val="18"/>
                <w:b w:val="1"/>
                <w:bCs w:val="1"/>
                <w:color w:val="auto"/>
              </w:rPr>
              <w:t>1,990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1,047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1,490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34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Charges and credits, net of tax </w:t>
            </w:r>
            <w:r>
              <w:rPr>
                <w:rFonts w:ascii="Arial" w:cs="Arial" w:eastAsia="Arial" w:hAnsi="Arial"/>
                <w:sz w:val="23"/>
                <w:szCs w:val="23"/>
                <w:color w:val="auto"/>
                <w:vertAlign w:val="superscript"/>
              </w:rPr>
              <w:t>(2)</w:t>
            </w:r>
          </w:p>
        </w:tc>
        <w:tc>
          <w:tcPr>
            <w:tcW w:w="100" w:type="dxa"/>
            <w:vAlign w:val="bottom"/>
          </w:tcPr>
          <w:p>
            <w:pPr>
              <w:spacing w:after="0"/>
              <w:rPr>
                <w:sz w:val="18"/>
                <w:szCs w:val="18"/>
                <w:color w:val="auto"/>
              </w:rPr>
            </w:pPr>
          </w:p>
        </w:tc>
        <w:tc>
          <w:tcPr>
            <w:tcW w:w="840" w:type="dxa"/>
            <w:vAlign w:val="bottom"/>
            <w:gridSpan w:val="4"/>
          </w:tcPr>
          <w:p>
            <w:pPr>
              <w:jc w:val="right"/>
              <w:ind w:right="160"/>
              <w:spacing w:after="0" w:line="202" w:lineRule="exact"/>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18"/>
                <w:szCs w:val="18"/>
                <w:color w:val="auto"/>
              </w:rPr>
            </w:pPr>
          </w:p>
        </w:tc>
        <w:tc>
          <w:tcPr>
            <w:tcW w:w="820" w:type="dxa"/>
            <w:vAlign w:val="bottom"/>
            <w:gridSpan w:val="2"/>
          </w:tcPr>
          <w:p>
            <w:pPr>
              <w:jc w:val="right"/>
              <w:ind w:right="241"/>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3"/>
        </w:trPr>
        <w:tc>
          <w:tcPr>
            <w:tcW w:w="1540" w:type="dxa"/>
            <w:vAlign w:val="bottom"/>
            <w:shd w:val="clear" w:color="auto" w:fill="CCEEFF"/>
          </w:tcPr>
          <w:p>
            <w:pPr>
              <w:spacing w:after="0"/>
              <w:rPr>
                <w:sz w:val="17"/>
                <w:szCs w:val="17"/>
                <w:color w:val="auto"/>
              </w:rPr>
            </w:pPr>
          </w:p>
        </w:tc>
        <w:tc>
          <w:tcPr>
            <w:tcW w:w="68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gridSpan w:val="3"/>
            <w:shd w:val="clear" w:color="auto" w:fill="CCEEFF"/>
          </w:tcPr>
          <w:p>
            <w:pPr>
              <w:jc w:val="right"/>
              <w:ind w:right="1"/>
              <w:spacing w:after="0" w:line="202" w:lineRule="exact"/>
              <w:rPr>
                <w:sz w:val="20"/>
                <w:szCs w:val="20"/>
                <w:color w:val="auto"/>
              </w:rPr>
            </w:pPr>
            <w:r>
              <w:rPr>
                <w:rFonts w:ascii="Arial" w:cs="Arial" w:eastAsia="Arial" w:hAnsi="Arial"/>
                <w:sz w:val="18"/>
                <w:szCs w:val="18"/>
                <w:b w:val="1"/>
                <w:bCs w:val="1"/>
                <w:color w:val="auto"/>
              </w:rPr>
              <w:t>1,962</w:t>
            </w: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1,047</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4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3"/>
                <w:szCs w:val="23"/>
                <w:color w:val="auto"/>
                <w:vertAlign w:val="superscript"/>
              </w:rPr>
              <w:t>(3)</w:t>
            </w:r>
          </w:p>
        </w:tc>
        <w:tc>
          <w:tcPr>
            <w:tcW w:w="100" w:type="dxa"/>
            <w:vAlign w:val="bottom"/>
          </w:tcPr>
          <w:p>
            <w:pPr>
              <w:spacing w:after="0"/>
              <w:rPr>
                <w:sz w:val="17"/>
                <w:szCs w:val="17"/>
                <w:color w:val="auto"/>
              </w:rPr>
            </w:pPr>
          </w:p>
        </w:tc>
        <w:tc>
          <w:tcPr>
            <w:tcW w:w="660" w:type="dxa"/>
            <w:vAlign w:val="bottom"/>
            <w:gridSpan w:val="3"/>
          </w:tcPr>
          <w:p>
            <w:pPr>
              <w:jc w:val="right"/>
              <w:ind w:right="1"/>
              <w:spacing w:after="0" w:line="202" w:lineRule="exact"/>
              <w:rPr>
                <w:sz w:val="20"/>
                <w:szCs w:val="20"/>
                <w:color w:val="auto"/>
              </w:rPr>
            </w:pPr>
            <w:r>
              <w:rPr>
                <w:rFonts w:ascii="Arial" w:cs="Arial" w:eastAsia="Arial" w:hAnsi="Arial"/>
                <w:sz w:val="18"/>
                <w:szCs w:val="18"/>
                <w:b w:val="1"/>
                <w:bCs w:val="1"/>
                <w:color w:val="auto"/>
              </w:rPr>
              <w:t>1,124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561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1,065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
              <w:spacing w:after="0" w:line="202" w:lineRule="exact"/>
              <w:rPr>
                <w:sz w:val="20"/>
                <w:szCs w:val="20"/>
                <w:color w:val="auto"/>
              </w:rPr>
            </w:pPr>
            <w:r>
              <w:rPr>
                <w:rFonts w:ascii="Arial" w:cs="Arial" w:eastAsia="Arial" w:hAnsi="Arial"/>
                <w:sz w:val="18"/>
                <w:szCs w:val="18"/>
                <w:b w:val="1"/>
                <w:bCs w:val="1"/>
                <w:color w:val="auto"/>
              </w:rPr>
              <w:t>160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40" w:type="dxa"/>
            <w:vAlign w:val="bottom"/>
            <w:gridSpan w:val="2"/>
          </w:tcPr>
          <w:p>
            <w:pPr>
              <w:spacing w:after="0" w:line="202" w:lineRule="exact"/>
              <w:rPr>
                <w:sz w:val="20"/>
                <w:szCs w:val="20"/>
                <w:color w:val="auto"/>
              </w:rPr>
            </w:pPr>
            <w:r>
              <w:rPr>
                <w:rFonts w:ascii="Arial" w:cs="Arial" w:eastAsia="Arial" w:hAnsi="Arial"/>
                <w:sz w:val="18"/>
                <w:szCs w:val="18"/>
                <w:color w:val="auto"/>
              </w:rPr>
              <w:t>Change in working capital</w:t>
            </w:r>
          </w:p>
        </w:tc>
        <w:tc>
          <w:tcPr>
            <w:tcW w:w="100" w:type="dxa"/>
            <w:vAlign w:val="bottom"/>
          </w:tcPr>
          <w:p>
            <w:pPr>
              <w:spacing w:after="0"/>
              <w:rPr>
                <w:sz w:val="17"/>
                <w:szCs w:val="17"/>
                <w:color w:val="auto"/>
              </w:rPr>
            </w:pPr>
          </w:p>
        </w:tc>
        <w:tc>
          <w:tcPr>
            <w:tcW w:w="840" w:type="dxa"/>
            <w:vAlign w:val="bottom"/>
            <w:gridSpan w:val="4"/>
          </w:tcPr>
          <w:p>
            <w:pPr>
              <w:jc w:val="right"/>
              <w:ind w:right="160"/>
              <w:spacing w:after="0" w:line="202" w:lineRule="exact"/>
              <w:rPr>
                <w:sz w:val="20"/>
                <w:szCs w:val="20"/>
                <w:color w:val="auto"/>
              </w:rPr>
            </w:pPr>
            <w:r>
              <w:rPr>
                <w:rFonts w:ascii="Arial" w:cs="Arial" w:eastAsia="Arial" w:hAnsi="Arial"/>
                <w:sz w:val="18"/>
                <w:szCs w:val="18"/>
                <w:b w:val="1"/>
                <w:bCs w:val="1"/>
                <w:color w:val="auto"/>
              </w:rPr>
              <w:t>(1,286)</w:t>
            </w:r>
          </w:p>
        </w:tc>
        <w:tc>
          <w:tcPr>
            <w:tcW w:w="100" w:type="dxa"/>
            <w:vAlign w:val="bottom"/>
          </w:tcPr>
          <w:p>
            <w:pPr>
              <w:spacing w:after="0"/>
              <w:rPr>
                <w:sz w:val="17"/>
                <w:szCs w:val="17"/>
                <w:color w:val="auto"/>
              </w:rPr>
            </w:pPr>
          </w:p>
        </w:tc>
        <w:tc>
          <w:tcPr>
            <w:tcW w:w="820" w:type="dxa"/>
            <w:vAlign w:val="bottom"/>
            <w:gridSpan w:val="2"/>
          </w:tcPr>
          <w:p>
            <w:pPr>
              <w:jc w:val="right"/>
              <w:ind w:right="81"/>
              <w:spacing w:after="0" w:line="202" w:lineRule="exact"/>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03"/>
        </w:trPr>
        <w:tc>
          <w:tcPr>
            <w:tcW w:w="8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1"/>
              <w:spacing w:after="0" w:line="202" w:lineRule="exact"/>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7"/>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Cash flow from operations</w:t>
            </w: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1,938</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1,608</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
              <w:spacing w:after="0" w:line="202" w:lineRule="exact"/>
              <w:rPr>
                <w:sz w:val="20"/>
                <w:szCs w:val="20"/>
                <w:color w:val="auto"/>
              </w:rPr>
            </w:pPr>
            <w:r>
              <w:rPr>
                <w:rFonts w:ascii="Arial" w:cs="Arial" w:eastAsia="Arial" w:hAnsi="Arial"/>
                <w:sz w:val="18"/>
                <w:szCs w:val="18"/>
                <w:b w:val="1"/>
                <w:bCs w:val="1"/>
                <w:color w:val="auto"/>
              </w:rPr>
              <w:t>(881)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(471)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03"/>
        </w:trPr>
        <w:tc>
          <w:tcPr>
            <w:tcW w:w="8340" w:type="dxa"/>
            <w:vAlign w:val="bottom"/>
            <w:gridSpan w:val="2"/>
          </w:tcPr>
          <w:p>
            <w:pPr>
              <w:spacing w:after="0" w:line="202" w:lineRule="exact"/>
              <w:rPr>
                <w:sz w:val="20"/>
                <w:szCs w:val="20"/>
                <w:color w:val="auto"/>
              </w:rPr>
            </w:pPr>
            <w:r>
              <w:rPr>
                <w:rFonts w:ascii="Arial" w:cs="Arial" w:eastAsia="Arial" w:hAnsi="Arial"/>
                <w:sz w:val="18"/>
                <w:szCs w:val="18"/>
                <w:color w:val="auto"/>
              </w:rPr>
              <w:t>APS investments</w:t>
            </w:r>
          </w:p>
        </w:tc>
        <w:tc>
          <w:tcPr>
            <w:tcW w:w="100" w:type="dxa"/>
            <w:vAlign w:val="bottom"/>
          </w:tcPr>
          <w:p>
            <w:pPr>
              <w:spacing w:after="0"/>
              <w:rPr>
                <w:sz w:val="17"/>
                <w:szCs w:val="17"/>
                <w:color w:val="auto"/>
              </w:rPr>
            </w:pPr>
          </w:p>
        </w:tc>
        <w:tc>
          <w:tcPr>
            <w:tcW w:w="840" w:type="dxa"/>
            <w:vAlign w:val="bottom"/>
            <w:gridSpan w:val="4"/>
          </w:tcPr>
          <w:p>
            <w:pPr>
              <w:jc w:val="right"/>
              <w:ind w:right="160"/>
              <w:spacing w:after="0" w:line="202" w:lineRule="exact"/>
              <w:rPr>
                <w:sz w:val="20"/>
                <w:szCs w:val="20"/>
                <w:color w:val="auto"/>
              </w:rPr>
            </w:pPr>
            <w:r>
              <w:rPr>
                <w:rFonts w:ascii="Arial" w:cs="Arial" w:eastAsia="Arial" w:hAnsi="Arial"/>
                <w:sz w:val="18"/>
                <w:szCs w:val="18"/>
                <w:b w:val="1"/>
                <w:bCs w:val="1"/>
                <w:color w:val="auto"/>
              </w:rPr>
              <w:t>(253)</w:t>
            </w:r>
          </w:p>
        </w:tc>
        <w:tc>
          <w:tcPr>
            <w:tcW w:w="100" w:type="dxa"/>
            <w:vAlign w:val="bottom"/>
          </w:tcPr>
          <w:p>
            <w:pPr>
              <w:spacing w:after="0"/>
              <w:rPr>
                <w:sz w:val="17"/>
                <w:szCs w:val="17"/>
                <w:color w:val="auto"/>
              </w:rPr>
            </w:pPr>
          </w:p>
        </w:tc>
        <w:tc>
          <w:tcPr>
            <w:tcW w:w="820" w:type="dxa"/>
            <w:vAlign w:val="bottom"/>
            <w:gridSpan w:val="2"/>
          </w:tcPr>
          <w:p>
            <w:pPr>
              <w:jc w:val="right"/>
              <w:ind w:right="81"/>
              <w:spacing w:after="0" w:line="202" w:lineRule="exact"/>
              <w:rPr>
                <w:sz w:val="20"/>
                <w:szCs w:val="20"/>
                <w:color w:val="auto"/>
              </w:rPr>
            </w:pPr>
            <w:r>
              <w:rPr>
                <w:rFonts w:ascii="Arial" w:cs="Arial" w:eastAsia="Arial" w:hAnsi="Arial"/>
                <w:sz w:val="18"/>
                <w:szCs w:val="18"/>
                <w:b w:val="1"/>
                <w:bCs w:val="1"/>
                <w:color w:val="auto"/>
              </w:rPr>
              <w:t>(120)</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3"/>
        </w:trPr>
        <w:tc>
          <w:tcPr>
            <w:tcW w:w="8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Exploration data capitalized</w:t>
            </w:r>
          </w:p>
        </w:tc>
        <w:tc>
          <w:tcPr>
            <w:tcW w:w="10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(83)</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1"/>
              <w:spacing w:after="0" w:line="202" w:lineRule="exact"/>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line="230" w:lineRule="exact"/>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26"/>
                <w:szCs w:val="26"/>
                <w:color w:val="auto"/>
                <w:vertAlign w:val="superscript"/>
              </w:rPr>
              <w:t>(4)</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721</w:t>
            </w:r>
          </w:p>
        </w:tc>
        <w:tc>
          <w:tcPr>
            <w:tcW w:w="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986</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3"/>
        </w:trPr>
        <w:tc>
          <w:tcPr>
            <w:tcW w:w="8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
              <w:spacing w:after="0" w:line="202" w:lineRule="exact"/>
              <w:rPr>
                <w:sz w:val="20"/>
                <w:szCs w:val="20"/>
                <w:color w:val="auto"/>
              </w:rPr>
            </w:pPr>
            <w:r>
              <w:rPr>
                <w:rFonts w:ascii="Arial" w:cs="Arial" w:eastAsia="Arial" w:hAnsi="Arial"/>
                <w:sz w:val="18"/>
                <w:szCs w:val="18"/>
                <w:b w:val="1"/>
                <w:bCs w:val="1"/>
                <w:color w:val="auto"/>
              </w:rPr>
              <w:t>(605)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(356)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3"/>
        </w:trPr>
        <w:tc>
          <w:tcPr>
            <w:tcW w:w="8340" w:type="dxa"/>
            <w:vAlign w:val="bottom"/>
            <w:gridSpan w:val="2"/>
          </w:tcPr>
          <w:p>
            <w:pPr>
              <w:spacing w:after="0" w:line="202" w:lineRule="exact"/>
              <w:rPr>
                <w:sz w:val="20"/>
                <w:szCs w:val="20"/>
                <w:color w:val="auto"/>
              </w:rPr>
            </w:pPr>
            <w:r>
              <w:rPr>
                <w:rFonts w:ascii="Arial" w:cs="Arial" w:eastAsia="Arial" w:hAnsi="Arial"/>
                <w:sz w:val="18"/>
                <w:szCs w:val="18"/>
                <w:color w:val="auto"/>
              </w:rPr>
              <w:t>Stock repurchase program</w:t>
            </w:r>
          </w:p>
        </w:tc>
        <w:tc>
          <w:tcPr>
            <w:tcW w:w="100" w:type="dxa"/>
            <w:vAlign w:val="bottom"/>
          </w:tcPr>
          <w:p>
            <w:pPr>
              <w:spacing w:after="0"/>
              <w:rPr>
                <w:sz w:val="17"/>
                <w:szCs w:val="17"/>
                <w:color w:val="auto"/>
              </w:rPr>
            </w:pPr>
          </w:p>
        </w:tc>
        <w:tc>
          <w:tcPr>
            <w:tcW w:w="840" w:type="dxa"/>
            <w:vAlign w:val="bottom"/>
            <w:gridSpan w:val="4"/>
          </w:tcPr>
          <w:p>
            <w:pPr>
              <w:jc w:val="right"/>
              <w:ind w:right="160"/>
              <w:spacing w:after="0" w:line="202" w:lineRule="exact"/>
              <w:rPr>
                <w:sz w:val="20"/>
                <w:szCs w:val="20"/>
                <w:color w:val="auto"/>
              </w:rPr>
            </w:pPr>
            <w:r>
              <w:rPr>
                <w:rFonts w:ascii="Arial" w:cs="Arial" w:eastAsia="Arial" w:hAnsi="Arial"/>
                <w:sz w:val="18"/>
                <w:szCs w:val="18"/>
                <w:b w:val="1"/>
                <w:bCs w:val="1"/>
                <w:color w:val="auto"/>
              </w:rPr>
              <w:t>(443)</w:t>
            </w:r>
          </w:p>
        </w:tc>
        <w:tc>
          <w:tcPr>
            <w:tcW w:w="100" w:type="dxa"/>
            <w:vAlign w:val="bottom"/>
          </w:tcPr>
          <w:p>
            <w:pPr>
              <w:spacing w:after="0"/>
              <w:rPr>
                <w:sz w:val="17"/>
                <w:szCs w:val="17"/>
                <w:color w:val="auto"/>
              </w:rPr>
            </w:pPr>
          </w:p>
        </w:tc>
        <w:tc>
          <w:tcPr>
            <w:tcW w:w="820" w:type="dxa"/>
            <w:vAlign w:val="bottom"/>
            <w:gridSpan w:val="2"/>
          </w:tcPr>
          <w:p>
            <w:pPr>
              <w:jc w:val="right"/>
              <w:ind w:right="81"/>
              <w:spacing w:after="0" w:line="202" w:lineRule="exact"/>
              <w:rPr>
                <w:sz w:val="20"/>
                <w:szCs w:val="20"/>
                <w:color w:val="auto"/>
              </w:rPr>
            </w:pPr>
            <w:r>
              <w:rPr>
                <w:rFonts w:ascii="Arial" w:cs="Arial" w:eastAsia="Arial" w:hAnsi="Arial"/>
                <w:sz w:val="18"/>
                <w:szCs w:val="18"/>
                <w:b w:val="1"/>
                <w:bCs w:val="1"/>
                <w:color w:val="auto"/>
              </w:rPr>
              <w:t>(213)</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Proceeds from employee stock plans</w:t>
            </w: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
              <w:spacing w:after="0" w:line="202" w:lineRule="exact"/>
              <w:rPr>
                <w:sz w:val="20"/>
                <w:szCs w:val="20"/>
                <w:color w:val="auto"/>
              </w:rPr>
            </w:pPr>
            <w:r>
              <w:rPr>
                <w:rFonts w:ascii="Arial" w:cs="Arial" w:eastAsia="Arial" w:hAnsi="Arial"/>
                <w:sz w:val="18"/>
                <w:szCs w:val="18"/>
                <w:b w:val="1"/>
                <w:bCs w:val="1"/>
                <w:color w:val="auto"/>
              </w:rPr>
              <w:t>124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40" w:type="dxa"/>
            <w:vAlign w:val="bottom"/>
            <w:gridSpan w:val="2"/>
          </w:tcPr>
          <w:p>
            <w:pPr>
              <w:spacing w:after="0" w:line="202" w:lineRule="exact"/>
              <w:rPr>
                <w:sz w:val="20"/>
                <w:szCs w:val="20"/>
                <w:color w:val="auto"/>
              </w:rPr>
            </w:pPr>
            <w:r>
              <w:rPr>
                <w:rFonts w:ascii="Arial" w:cs="Arial" w:eastAsia="Arial" w:hAnsi="Arial"/>
                <w:sz w:val="18"/>
                <w:szCs w:val="18"/>
                <w:color w:val="auto"/>
              </w:rPr>
              <w:t>Business acquisitions and investments, net of cash acquired plus debt assumed</w:t>
            </w:r>
          </w:p>
        </w:tc>
        <w:tc>
          <w:tcPr>
            <w:tcW w:w="100" w:type="dxa"/>
            <w:vAlign w:val="bottom"/>
          </w:tcPr>
          <w:p>
            <w:pPr>
              <w:spacing w:after="0"/>
              <w:rPr>
                <w:sz w:val="17"/>
                <w:szCs w:val="17"/>
                <w:color w:val="auto"/>
              </w:rPr>
            </w:pPr>
          </w:p>
        </w:tc>
        <w:tc>
          <w:tcPr>
            <w:tcW w:w="840" w:type="dxa"/>
            <w:vAlign w:val="bottom"/>
            <w:gridSpan w:val="4"/>
          </w:tcPr>
          <w:p>
            <w:pPr>
              <w:jc w:val="right"/>
              <w:ind w:right="160"/>
              <w:spacing w:after="0" w:line="202" w:lineRule="exact"/>
              <w:rPr>
                <w:sz w:val="20"/>
                <w:szCs w:val="20"/>
                <w:color w:val="auto"/>
              </w:rPr>
            </w:pPr>
            <w:r>
              <w:rPr>
                <w:rFonts w:ascii="Arial" w:cs="Arial" w:eastAsia="Arial" w:hAnsi="Arial"/>
                <w:sz w:val="18"/>
                <w:szCs w:val="18"/>
                <w:b w:val="1"/>
                <w:bCs w:val="1"/>
                <w:color w:val="auto"/>
              </w:rPr>
              <w:t>(262)</w:t>
            </w:r>
          </w:p>
        </w:tc>
        <w:tc>
          <w:tcPr>
            <w:tcW w:w="100" w:type="dxa"/>
            <w:vAlign w:val="bottom"/>
          </w:tcPr>
          <w:p>
            <w:pPr>
              <w:spacing w:after="0"/>
              <w:rPr>
                <w:sz w:val="17"/>
                <w:szCs w:val="17"/>
                <w:color w:val="auto"/>
              </w:rPr>
            </w:pPr>
          </w:p>
        </w:tc>
        <w:tc>
          <w:tcPr>
            <w:tcW w:w="820" w:type="dxa"/>
            <w:vAlign w:val="bottom"/>
            <w:gridSpan w:val="2"/>
          </w:tcPr>
          <w:p>
            <w:pPr>
              <w:jc w:val="right"/>
              <w:ind w:right="81"/>
              <w:spacing w:after="0" w:line="202" w:lineRule="exact"/>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8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Liberty shares</w:t>
            </w: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
              <w:spacing w:after="0" w:line="202" w:lineRule="exact"/>
              <w:rPr>
                <w:sz w:val="20"/>
                <w:szCs w:val="20"/>
                <w:color w:val="auto"/>
              </w:rPr>
            </w:pPr>
            <w:r>
              <w:rPr>
                <w:rFonts w:ascii="Arial" w:cs="Arial" w:eastAsia="Arial" w:hAnsi="Arial"/>
                <w:sz w:val="18"/>
                <w:szCs w:val="18"/>
                <w:b w:val="1"/>
                <w:bCs w:val="1"/>
                <w:color w:val="auto"/>
              </w:rPr>
              <w:t>137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1"/>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40" w:type="dxa"/>
            <w:vAlign w:val="bottom"/>
            <w:gridSpan w:val="2"/>
          </w:tcPr>
          <w:p>
            <w:pPr>
              <w:spacing w:after="0" w:line="202" w:lineRule="exact"/>
              <w:rPr>
                <w:sz w:val="20"/>
                <w:szCs w:val="20"/>
                <w:color w:val="auto"/>
              </w:rPr>
            </w:pPr>
            <w:r>
              <w:rPr>
                <w:rFonts w:ascii="Arial" w:cs="Arial" w:eastAsia="Arial" w:hAnsi="Arial"/>
                <w:sz w:val="18"/>
                <w:szCs w:val="18"/>
                <w:color w:val="auto"/>
              </w:rPr>
              <w:t>Proceeds from sale of real estate</w:t>
            </w:r>
          </w:p>
        </w:tc>
        <w:tc>
          <w:tcPr>
            <w:tcW w:w="100" w:type="dxa"/>
            <w:vAlign w:val="bottom"/>
          </w:tcPr>
          <w:p>
            <w:pPr>
              <w:spacing w:after="0"/>
              <w:rPr>
                <w:sz w:val="17"/>
                <w:szCs w:val="17"/>
                <w:color w:val="auto"/>
              </w:rPr>
            </w:pPr>
          </w:p>
        </w:tc>
        <w:tc>
          <w:tcPr>
            <w:tcW w:w="840" w:type="dxa"/>
            <w:vAlign w:val="bottom"/>
            <w:gridSpan w:val="4"/>
          </w:tcPr>
          <w:p>
            <w:pPr>
              <w:jc w:val="right"/>
              <w:ind w:right="32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241"/>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Taxes paid on net settled stock-based compensation awards</w:t>
            </w:r>
          </w:p>
        </w:tc>
        <w:tc>
          <w:tcPr>
            <w:tcW w:w="10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(144)</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1"/>
              <w:spacing w:after="0" w:line="202" w:lineRule="exact"/>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9"/>
        </w:trPr>
        <w:tc>
          <w:tcPr>
            <w:tcW w:w="834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40" w:type="dxa"/>
            <w:vAlign w:val="bottom"/>
            <w:gridSpan w:val="4"/>
          </w:tcPr>
          <w:p>
            <w:pPr>
              <w:jc w:val="right"/>
              <w:ind w:right="160"/>
              <w:spacing w:after="0" w:line="202" w:lineRule="exact"/>
              <w:rPr>
                <w:sz w:val="20"/>
                <w:szCs w:val="20"/>
                <w:color w:val="auto"/>
              </w:rPr>
            </w:pPr>
            <w:r>
              <w:rPr>
                <w:rFonts w:ascii="Arial" w:cs="Arial" w:eastAsia="Arial" w:hAnsi="Arial"/>
                <w:sz w:val="18"/>
                <w:szCs w:val="18"/>
                <w:b w:val="1"/>
                <w:bCs w:val="1"/>
                <w:color w:val="auto"/>
              </w:rPr>
              <w:t>(167)</w:t>
            </w:r>
          </w:p>
        </w:tc>
        <w:tc>
          <w:tcPr>
            <w:tcW w:w="100" w:type="dxa"/>
            <w:vAlign w:val="bottom"/>
          </w:tcPr>
          <w:p>
            <w:pPr>
              <w:spacing w:after="0"/>
              <w:rPr>
                <w:sz w:val="18"/>
                <w:szCs w:val="18"/>
                <w:color w:val="auto"/>
              </w:rPr>
            </w:pPr>
          </w:p>
        </w:tc>
        <w:tc>
          <w:tcPr>
            <w:tcW w:w="820" w:type="dxa"/>
            <w:vAlign w:val="bottom"/>
            <w:gridSpan w:val="2"/>
          </w:tcPr>
          <w:p>
            <w:pPr>
              <w:jc w:val="right"/>
              <w:ind w:right="81"/>
              <w:spacing w:after="0" w:line="202" w:lineRule="exact"/>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3"/>
        </w:trPr>
        <w:tc>
          <w:tcPr>
            <w:tcW w:w="8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(Decrease) increase in net debt before impact of changes in foreign exchange rates</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(639)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263</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0"/>
        </w:trPr>
        <w:tc>
          <w:tcPr>
            <w:tcW w:w="8340" w:type="dxa"/>
            <w:vAlign w:val="bottom"/>
            <w:gridSpan w:val="2"/>
          </w:tcPr>
          <w:p>
            <w:pPr>
              <w:spacing w:after="0" w:line="202" w:lineRule="exact"/>
              <w:rPr>
                <w:sz w:val="20"/>
                <w:szCs w:val="20"/>
                <w:color w:val="auto"/>
              </w:rPr>
            </w:pPr>
            <w:r>
              <w:rPr>
                <w:rFonts w:ascii="Arial" w:cs="Arial" w:eastAsia="Arial" w:hAnsi="Arial"/>
                <w:sz w:val="18"/>
                <w:szCs w:val="18"/>
                <w:color w:val="auto"/>
              </w:rPr>
              <w:t>Impact of changes in foreign exchange rates on net debt</w:t>
            </w:r>
          </w:p>
        </w:tc>
        <w:tc>
          <w:tcPr>
            <w:tcW w:w="100" w:type="dxa"/>
            <w:vAlign w:val="bottom"/>
          </w:tcPr>
          <w:p>
            <w:pPr>
              <w:spacing w:after="0"/>
              <w:rPr>
                <w:sz w:val="18"/>
                <w:szCs w:val="18"/>
                <w:color w:val="auto"/>
              </w:rPr>
            </w:pPr>
          </w:p>
        </w:tc>
        <w:tc>
          <w:tcPr>
            <w:tcW w:w="840" w:type="dxa"/>
            <w:vAlign w:val="bottom"/>
            <w:gridSpan w:val="4"/>
          </w:tcPr>
          <w:p>
            <w:pPr>
              <w:jc w:val="right"/>
              <w:ind w:right="160"/>
              <w:spacing w:after="0" w:line="202" w:lineRule="exact"/>
              <w:rPr>
                <w:sz w:val="20"/>
                <w:szCs w:val="20"/>
                <w:color w:val="auto"/>
              </w:rPr>
            </w:pPr>
            <w:r>
              <w:rPr>
                <w:rFonts w:ascii="Arial" w:cs="Arial" w:eastAsia="Arial" w:hAnsi="Arial"/>
                <w:sz w:val="18"/>
                <w:szCs w:val="18"/>
                <w:b w:val="1"/>
                <w:bCs w:val="1"/>
                <w:color w:val="auto"/>
              </w:rPr>
              <w:t>(170)</w:t>
            </w:r>
          </w:p>
        </w:tc>
        <w:tc>
          <w:tcPr>
            <w:tcW w:w="100" w:type="dxa"/>
            <w:vAlign w:val="bottom"/>
          </w:tcPr>
          <w:p>
            <w:pPr>
              <w:spacing w:after="0"/>
              <w:rPr>
                <w:sz w:val="18"/>
                <w:szCs w:val="18"/>
                <w:color w:val="auto"/>
              </w:rPr>
            </w:pPr>
          </w:p>
        </w:tc>
        <w:tc>
          <w:tcPr>
            <w:tcW w:w="820" w:type="dxa"/>
            <w:vAlign w:val="bottom"/>
            <w:gridSpan w:val="2"/>
          </w:tcPr>
          <w:p>
            <w:pPr>
              <w:jc w:val="right"/>
              <w:ind w:right="81"/>
              <w:spacing w:after="0" w:line="202" w:lineRule="exact"/>
              <w:rPr>
                <w:sz w:val="20"/>
                <w:szCs w:val="20"/>
                <w:color w:val="auto"/>
              </w:rPr>
            </w:pPr>
            <w:r>
              <w:rPr>
                <w:rFonts w:ascii="Arial" w:cs="Arial" w:eastAsia="Arial" w:hAnsi="Arial"/>
                <w:sz w:val="18"/>
                <w:szCs w:val="18"/>
                <w:b w:val="1"/>
                <w:bCs w:val="1"/>
                <w:color w:val="auto"/>
              </w:rPr>
              <w:t>(70)</w:t>
            </w:r>
          </w:p>
        </w:tc>
        <w:tc>
          <w:tcPr>
            <w:tcW w:w="100" w:type="dxa"/>
            <w:vAlign w:val="bottom"/>
          </w:tcPr>
          <w:p>
            <w:pPr>
              <w:spacing w:after="0"/>
              <w:rPr>
                <w:sz w:val="18"/>
                <w:szCs w:val="18"/>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(Decrease) increase in Net Debt</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(809)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193</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40" w:type="dxa"/>
            <w:vAlign w:val="bottom"/>
            <w:gridSpan w:val="2"/>
          </w:tcPr>
          <w:p>
            <w:pPr>
              <w:spacing w:after="0" w:line="202" w:lineRule="exact"/>
              <w:rPr>
                <w:sz w:val="20"/>
                <w:szCs w:val="20"/>
                <w:color w:val="auto"/>
              </w:rPr>
            </w:pPr>
            <w:r>
              <w:rPr>
                <w:rFonts w:ascii="Arial" w:cs="Arial" w:eastAsia="Arial" w:hAnsi="Arial"/>
                <w:sz w:val="18"/>
                <w:szCs w:val="18"/>
                <w:color w:val="auto"/>
              </w:rPr>
              <w:t>Net Debt, beginning of period</w:t>
            </w:r>
          </w:p>
        </w:tc>
        <w:tc>
          <w:tcPr>
            <w:tcW w:w="100" w:type="dxa"/>
            <w:vAlign w:val="bottom"/>
          </w:tcPr>
          <w:p>
            <w:pPr>
              <w:spacing w:after="0"/>
              <w:rPr>
                <w:sz w:val="18"/>
                <w:szCs w:val="18"/>
                <w:color w:val="auto"/>
              </w:rPr>
            </w:pPr>
          </w:p>
        </w:tc>
        <w:tc>
          <w:tcPr>
            <w:tcW w:w="840" w:type="dxa"/>
            <w:vAlign w:val="bottom"/>
            <w:gridSpan w:val="4"/>
          </w:tcPr>
          <w:p>
            <w:pPr>
              <w:jc w:val="right"/>
              <w:ind w:right="160"/>
              <w:spacing w:after="0" w:line="202" w:lineRule="exact"/>
              <w:rPr>
                <w:sz w:val="20"/>
                <w:szCs w:val="20"/>
                <w:color w:val="auto"/>
              </w:rPr>
            </w:pPr>
            <w:r>
              <w:rPr>
                <w:rFonts w:ascii="Arial" w:cs="Arial" w:eastAsia="Arial" w:hAnsi="Arial"/>
                <w:sz w:val="18"/>
                <w:szCs w:val="18"/>
                <w:b w:val="1"/>
                <w:bCs w:val="1"/>
                <w:color w:val="auto"/>
              </w:rPr>
              <w:t>(9,332)</w:t>
            </w:r>
          </w:p>
        </w:tc>
        <w:tc>
          <w:tcPr>
            <w:tcW w:w="100" w:type="dxa"/>
            <w:vAlign w:val="bottom"/>
          </w:tcPr>
          <w:p>
            <w:pPr>
              <w:spacing w:after="0"/>
              <w:rPr>
                <w:sz w:val="18"/>
                <w:szCs w:val="18"/>
                <w:color w:val="auto"/>
              </w:rPr>
            </w:pPr>
          </w:p>
        </w:tc>
        <w:tc>
          <w:tcPr>
            <w:tcW w:w="820" w:type="dxa"/>
            <w:vAlign w:val="bottom"/>
            <w:gridSpan w:val="2"/>
          </w:tcPr>
          <w:p>
            <w:pPr>
              <w:jc w:val="right"/>
              <w:ind w:right="81"/>
              <w:spacing w:after="0" w:line="202" w:lineRule="exact"/>
              <w:rPr>
                <w:sz w:val="20"/>
                <w:szCs w:val="20"/>
                <w:color w:val="auto"/>
              </w:rPr>
            </w:pPr>
            <w:r>
              <w:rPr>
                <w:rFonts w:ascii="Arial" w:cs="Arial" w:eastAsia="Arial" w:hAnsi="Arial"/>
                <w:sz w:val="18"/>
                <w:szCs w:val="18"/>
                <w:b w:val="1"/>
                <w:bCs w:val="1"/>
                <w:color w:val="auto"/>
                <w:w w:val="95"/>
              </w:rPr>
              <w:t>(10,334)</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5"/>
              </w:rPr>
              <w:t>(11,056)</w:t>
            </w:r>
          </w:p>
        </w:tc>
        <w:tc>
          <w:tcPr>
            <w:tcW w:w="0" w:type="dxa"/>
            <w:vAlign w:val="bottom"/>
          </w:tcPr>
          <w:p>
            <w:pPr>
              <w:spacing w:after="0"/>
              <w:rPr>
                <w:sz w:val="1"/>
                <w:szCs w:val="1"/>
                <w:color w:val="auto"/>
              </w:rPr>
            </w:pPr>
          </w:p>
        </w:tc>
      </w:tr>
      <w:tr>
        <w:trPr>
          <w:trHeight w:val="203"/>
        </w:trPr>
        <w:tc>
          <w:tcPr>
            <w:tcW w:w="8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Debt, end of period</w:t>
            </w:r>
          </w:p>
        </w:tc>
        <w:tc>
          <w:tcPr>
            <w:tcW w:w="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640" w:type="dxa"/>
            <w:vAlign w:val="bottom"/>
            <w:tcBorders>
              <w:top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(10,141</w:t>
            </w:r>
          </w:p>
        </w:tc>
        <w:tc>
          <w:tcPr>
            <w:tcW w:w="20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4"/>
              </w:rPr>
              <w:t>(10,141</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5"/>
              </w:rPr>
              <w:t>(11,031)</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444" w:right="80" w:hanging="444"/>
        <w:spacing w:after="0" w:line="205" w:lineRule="auto"/>
        <w:tabs>
          <w:tab w:leader="none" w:pos="444"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“Net Debt” represents gross debt less cash and short-term investments. Management believes that Net Debt provides useful information regarding the level of SLB’s indebtedness by reflecting cash and investments that could be used to repay debt. Net Debt is a non-GAAP financial measure that should be considered in addition to, not as a substitute for or superior to, total debt.</w:t>
      </w:r>
    </w:p>
    <w:p>
      <w:pPr>
        <w:ind w:left="444" w:hanging="444"/>
        <w:spacing w:after="0" w:line="183" w:lineRule="auto"/>
        <w:tabs>
          <w:tab w:leader="none" w:pos="444" w:val="left"/>
        </w:tabs>
        <w:numPr>
          <w:ilvl w:val="0"/>
          <w:numId w:val="12"/>
        </w:numPr>
        <w:rPr>
          <w:rFonts w:ascii="Arial" w:cs="Arial" w:eastAsia="Arial" w:hAnsi="Arial"/>
          <w:sz w:val="23"/>
          <w:szCs w:val="23"/>
          <w:color w:val="auto"/>
          <w:vertAlign w:val="superscript"/>
        </w:rPr>
      </w:pPr>
      <w:r>
        <w:rPr>
          <w:rFonts w:ascii="Arial" w:cs="Arial" w:eastAsia="Arial" w:hAnsi="Arial"/>
          <w:sz w:val="16"/>
          <w:szCs w:val="16"/>
          <w:color w:val="auto"/>
        </w:rPr>
        <w:t>See section entitled “Charges &amp; Credits” for details.</w:t>
      </w:r>
    </w:p>
    <w:p>
      <w:pPr>
        <w:ind w:left="444" w:hanging="444"/>
        <w:spacing w:after="0" w:line="183" w:lineRule="auto"/>
        <w:tabs>
          <w:tab w:leader="none" w:pos="444" w:val="left"/>
        </w:tabs>
        <w:numPr>
          <w:ilvl w:val="0"/>
          <w:numId w:val="12"/>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fixed assets and amortization of intangible assets, exploration data costs, and APS investments.</w:t>
      </w:r>
    </w:p>
    <w:p>
      <w:pPr>
        <w:ind w:left="444" w:right="100" w:hanging="444"/>
        <w:spacing w:after="0" w:line="221" w:lineRule="auto"/>
        <w:tabs>
          <w:tab w:leader="none" w:pos="444"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SLB’s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481"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Charges &amp; Credits</w:t>
      </w:r>
    </w:p>
    <w:p>
      <w:pPr>
        <w:spacing w:after="0" w:line="1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second-quarter 2023 earnings release also includes non-GAAP financial measures (as defined under the SEC’s Regulation G). In addition to the non-GAAP financial measures discussed under “Liquidity”, SLB net income, excluding charges &amp; credits, as well as measures derived from it (including diluted EPS, excluding charges &amp; credits; effective tax rate, excluding charges &amp; credits; adjusted EBITDA; and adjusted EBITDA margin) are non-GAAP financial measures. Management believes that the exclusion of charges &amp; credits from these financial measures enables it to evaluate more effectively SLB’s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“Supplementary Information” (Question 9).</w:t>
      </w:r>
    </w:p>
    <w:p>
      <w:pPr>
        <w:sectPr>
          <w:pgSz w:w="11900" w:h="16838" w:orient="portrait"/>
          <w:cols w:equalWidth="0" w:num="1">
            <w:col w:w="10980"/>
          </w:cols>
          <w:pgMar w:left="440" w:top="48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SLB net income (GAAP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699516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Gain on sale of Liberty shares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SLB net income, excluding charges &amp;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699516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SLB net income (GAAP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699516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Gain on sale of Liberty shares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SLB net income, excluding charges &amp;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699516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SLB net income (GAAP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699516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Gain on sale of Liberty shares</w:t>
      </w:r>
    </w:p>
    <w:p>
      <w:pPr>
        <w:ind w:left="360"/>
        <w:spacing w:after="0"/>
        <w:rPr>
          <w:sz w:val="20"/>
          <w:szCs w:val="20"/>
          <w:color w:val="auto"/>
        </w:rPr>
      </w:pPr>
      <w:r>
        <w:rPr>
          <w:rFonts w:ascii="Arial" w:cs="Arial" w:eastAsia="Arial" w:hAnsi="Arial"/>
          <w:sz w:val="18"/>
          <w:szCs w:val="18"/>
          <w:color w:val="auto"/>
        </w:rPr>
        <w:t>Gain on sale of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SLB net income, excluding charges &amp; credits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SLB net income (GAAP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699516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Gain on sale of Liberty shares</w:t>
      </w:r>
    </w:p>
    <w:p>
      <w:pPr>
        <w:ind w:left="360"/>
        <w:spacing w:after="0"/>
        <w:rPr>
          <w:sz w:val="20"/>
          <w:szCs w:val="20"/>
          <w:color w:val="auto"/>
        </w:rPr>
      </w:pPr>
      <w:r>
        <w:rPr>
          <w:rFonts w:ascii="Arial" w:cs="Arial" w:eastAsia="Arial" w:hAnsi="Arial"/>
          <w:sz w:val="18"/>
          <w:szCs w:val="18"/>
          <w:color w:val="auto"/>
        </w:rPr>
        <w:t>Gain on sale of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SLB net income, excluding charges &amp; credits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There were no charges or credits during the second quarter of 2023.</w:t>
      </w:r>
    </w:p>
    <w:p>
      <w:pPr>
        <w:spacing w:after="0" w:line="129"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Does not add due to rounding.</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840"/>
        <w:spacing w:after="0"/>
        <w:rPr>
          <w:sz w:val="20"/>
          <w:szCs w:val="20"/>
          <w:color w:val="auto"/>
        </w:rPr>
      </w:pPr>
      <w:r>
        <w:rPr>
          <w:rFonts w:ascii="Arial" w:cs="Arial" w:eastAsia="Arial" w:hAnsi="Arial"/>
          <w:sz w:val="14"/>
          <w:szCs w:val="14"/>
          <w:color w:val="auto"/>
        </w:rPr>
        <w:t>(Stated in millions, except per share amounts)</w:t>
      </w:r>
    </w:p>
    <w:p>
      <w:pPr>
        <w:spacing w:after="0" w:line="10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Six Months 2023</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3"/>
          </w:tcPr>
          <w:p>
            <w:pPr>
              <w:ind w:left="240"/>
              <w:spacing w:after="0" w:line="151" w:lineRule="exact"/>
              <w:rPr>
                <w:sz w:val="20"/>
                <w:szCs w:val="20"/>
                <w:color w:val="auto"/>
              </w:rPr>
            </w:pPr>
            <w:r>
              <w:rPr>
                <w:rFonts w:ascii="Arial" w:cs="Arial" w:eastAsia="Arial" w:hAnsi="Arial"/>
                <w:sz w:val="14"/>
                <w:szCs w:val="14"/>
                <w:color w:val="auto"/>
                <w:w w:val="99"/>
              </w:rPr>
              <w:t>Noncont.</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color w:val="auto"/>
              </w:rPr>
              <w:t>Pretax</w:t>
            </w:r>
          </w:p>
        </w:tc>
        <w:tc>
          <w:tcPr>
            <w:tcW w:w="480" w:type="dxa"/>
            <w:vAlign w:val="bottom"/>
            <w:gridSpan w:val="2"/>
          </w:tcPr>
          <w:p>
            <w:pPr>
              <w:jc w:val="right"/>
              <w:ind w:right="88"/>
              <w:spacing w:after="0"/>
              <w:rPr>
                <w:sz w:val="20"/>
                <w:szCs w:val="20"/>
                <w:color w:val="auto"/>
              </w:rPr>
            </w:pPr>
            <w:r>
              <w:rPr>
                <w:rFonts w:ascii="Arial" w:cs="Arial" w:eastAsia="Arial" w:hAnsi="Arial"/>
                <w:sz w:val="14"/>
                <w:szCs w:val="14"/>
                <w:color w:val="auto"/>
              </w:rPr>
              <w:t>Tax</w:t>
            </w:r>
          </w:p>
        </w:tc>
        <w:tc>
          <w:tcPr>
            <w:tcW w:w="2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color w:val="auto"/>
              </w:rPr>
              <w:t>Interests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4"/>
                <w:szCs w:val="14"/>
                <w:color w:val="auto"/>
              </w:rPr>
              <w:t>Net</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EPS</w:t>
            </w:r>
          </w:p>
        </w:tc>
      </w:tr>
      <w:tr>
        <w:trPr>
          <w:trHeight w:val="183"/>
        </w:trPr>
        <w:tc>
          <w:tcPr>
            <w:tcW w:w="20" w:type="dxa"/>
            <w:vAlign w:val="bottom"/>
          </w:tcPr>
          <w:p>
            <w:pPr>
              <w:spacing w:after="0"/>
              <w:rPr>
                <w:sz w:val="15"/>
                <w:szCs w:val="15"/>
                <w:color w:val="auto"/>
              </w:rPr>
            </w:pPr>
          </w:p>
        </w:tc>
        <w:tc>
          <w:tcPr>
            <w:tcW w:w="5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90"/>
              </w:rPr>
              <w:t>$2,454</w:t>
            </w:r>
          </w:p>
        </w:tc>
        <w:tc>
          <w:tcPr>
            <w:tcW w:w="280" w:type="dxa"/>
            <w:vAlign w:val="bottom"/>
          </w:tcPr>
          <w:p>
            <w:pPr>
              <w:spacing w:after="0"/>
              <w:rPr>
                <w:sz w:val="15"/>
                <w:szCs w:val="15"/>
                <w:color w:val="auto"/>
              </w:rPr>
            </w:pPr>
          </w:p>
        </w:tc>
        <w:tc>
          <w:tcPr>
            <w:tcW w:w="4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$464</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line="18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23</w:t>
            </w:r>
          </w:p>
        </w:tc>
        <w:tc>
          <w:tcPr>
            <w:tcW w:w="240" w:type="dxa"/>
            <w:vAlign w:val="bottom"/>
          </w:tcPr>
          <w:p>
            <w:pPr>
              <w:spacing w:after="0"/>
              <w:rPr>
                <w:sz w:val="15"/>
                <w:szCs w:val="15"/>
                <w:color w:val="auto"/>
              </w:rPr>
            </w:pPr>
          </w:p>
        </w:tc>
        <w:tc>
          <w:tcPr>
            <w:tcW w:w="1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93"/>
              </w:rPr>
              <w:t>1,967</w:t>
            </w:r>
          </w:p>
        </w:tc>
        <w:tc>
          <w:tcPr>
            <w:tcW w:w="320" w:type="dxa"/>
            <w:vAlign w:val="bottom"/>
          </w:tcPr>
          <w:p>
            <w:pPr>
              <w:spacing w:after="0"/>
              <w:rPr>
                <w:sz w:val="15"/>
                <w:szCs w:val="15"/>
                <w:color w:val="auto"/>
              </w:rPr>
            </w:pPr>
          </w:p>
        </w:tc>
        <w:tc>
          <w:tcPr>
            <w:tcW w:w="5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95"/>
              </w:rPr>
              <w:t>$ 1.36</w:t>
            </w:r>
          </w:p>
        </w:tc>
        <w:tc>
          <w:tcPr>
            <w:tcW w:w="60" w:type="dxa"/>
            <w:vAlign w:val="bottom"/>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(0.02)</w:t>
            </w:r>
          </w:p>
        </w:tc>
      </w:tr>
      <w:tr>
        <w:trPr>
          <w:trHeight w:val="20"/>
        </w:trPr>
        <w:tc>
          <w:tcPr>
            <w:tcW w:w="2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2,418</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456</w:t>
            </w:r>
          </w:p>
        </w:tc>
        <w:tc>
          <w:tcPr>
            <w:tcW w:w="60" w:type="dxa"/>
            <w:vAlign w:val="bottom"/>
          </w:tcPr>
          <w:p>
            <w:pPr>
              <w:spacing w:after="0"/>
              <w:rPr>
                <w:sz w:val="18"/>
                <w:szCs w:val="18"/>
                <w:color w:val="auto"/>
              </w:rPr>
            </w:pP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1,939</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$ 1.34</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First Quarter 2023</w:t>
            </w:r>
          </w:p>
        </w:tc>
        <w:tc>
          <w:tcPr>
            <w:tcW w:w="4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150"/>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ind w:left="240"/>
              <w:spacing w:after="0" w:line="151" w:lineRule="exact"/>
              <w:rPr>
                <w:sz w:val="20"/>
                <w:szCs w:val="20"/>
                <w:color w:val="auto"/>
              </w:rPr>
            </w:pPr>
            <w:r>
              <w:rPr>
                <w:rFonts w:ascii="Arial" w:cs="Arial" w:eastAsia="Arial" w:hAnsi="Arial"/>
                <w:sz w:val="14"/>
                <w:szCs w:val="14"/>
                <w:color w:val="auto"/>
                <w:w w:val="99"/>
              </w:rPr>
              <w:t>Noncont.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jc w:val="center"/>
              <w:spacing w:after="0" w:line="151" w:lineRule="exact"/>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color w:val="auto"/>
              </w:rPr>
              <w:t>Pretax</w:t>
            </w:r>
          </w:p>
        </w:tc>
        <w:tc>
          <w:tcPr>
            <w:tcW w:w="480" w:type="dxa"/>
            <w:vAlign w:val="bottom"/>
            <w:gridSpan w:val="2"/>
          </w:tcPr>
          <w:p>
            <w:pPr>
              <w:jc w:val="right"/>
              <w:ind w:right="88"/>
              <w:spacing w:after="0"/>
              <w:rPr>
                <w:sz w:val="20"/>
                <w:szCs w:val="20"/>
                <w:color w:val="auto"/>
              </w:rPr>
            </w:pPr>
            <w:r>
              <w:rPr>
                <w:rFonts w:ascii="Arial" w:cs="Arial" w:eastAsia="Arial" w:hAnsi="Arial"/>
                <w:sz w:val="14"/>
                <w:szCs w:val="14"/>
                <w:color w:val="auto"/>
              </w:rPr>
              <w:t>Tax</w:t>
            </w:r>
          </w:p>
        </w:tc>
        <w:tc>
          <w:tcPr>
            <w:tcW w:w="2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color w:val="auto"/>
              </w:rPr>
              <w:t>Interests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4"/>
                <w:szCs w:val="14"/>
                <w:color w:val="auto"/>
              </w:rPr>
              <w:t>Net</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EPS</w:t>
            </w:r>
          </w:p>
        </w:tc>
      </w:tr>
      <w:tr>
        <w:trPr>
          <w:trHeight w:val="183"/>
        </w:trPr>
        <w:tc>
          <w:tcPr>
            <w:tcW w:w="20" w:type="dxa"/>
            <w:vAlign w:val="bottom"/>
          </w:tcPr>
          <w:p>
            <w:pPr>
              <w:spacing w:after="0"/>
              <w:rPr>
                <w:sz w:val="15"/>
                <w:szCs w:val="15"/>
                <w:color w:val="auto"/>
              </w:rPr>
            </w:pPr>
          </w:p>
        </w:tc>
        <w:tc>
          <w:tcPr>
            <w:tcW w:w="5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90"/>
              </w:rPr>
              <w:t>$1,161</w:t>
            </w:r>
          </w:p>
        </w:tc>
        <w:tc>
          <w:tcPr>
            <w:tcW w:w="280" w:type="dxa"/>
            <w:vAlign w:val="bottom"/>
          </w:tcPr>
          <w:p>
            <w:pPr>
              <w:spacing w:after="0"/>
              <w:rPr>
                <w:sz w:val="15"/>
                <w:szCs w:val="15"/>
                <w:color w:val="auto"/>
              </w:rPr>
            </w:pPr>
          </w:p>
        </w:tc>
        <w:tc>
          <w:tcPr>
            <w:tcW w:w="4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$217</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line="18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10</w:t>
            </w:r>
          </w:p>
        </w:tc>
        <w:tc>
          <w:tcPr>
            <w:tcW w:w="240" w:type="dxa"/>
            <w:vAlign w:val="bottom"/>
          </w:tcPr>
          <w:p>
            <w:pPr>
              <w:spacing w:after="0"/>
              <w:rPr>
                <w:sz w:val="15"/>
                <w:szCs w:val="15"/>
                <w:color w:val="auto"/>
              </w:rPr>
            </w:pPr>
          </w:p>
        </w:tc>
        <w:tc>
          <w:tcPr>
            <w:tcW w:w="1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934</w:t>
            </w:r>
          </w:p>
        </w:tc>
        <w:tc>
          <w:tcPr>
            <w:tcW w:w="320" w:type="dxa"/>
            <w:vAlign w:val="bottom"/>
          </w:tcPr>
          <w:p>
            <w:pPr>
              <w:spacing w:after="0"/>
              <w:rPr>
                <w:sz w:val="15"/>
                <w:szCs w:val="15"/>
                <w:color w:val="auto"/>
              </w:rPr>
            </w:pPr>
          </w:p>
        </w:tc>
        <w:tc>
          <w:tcPr>
            <w:tcW w:w="5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95"/>
              </w:rPr>
              <w:t>$ 0.65</w:t>
            </w:r>
          </w:p>
        </w:tc>
        <w:tc>
          <w:tcPr>
            <w:tcW w:w="60" w:type="dxa"/>
            <w:vAlign w:val="bottom"/>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(0.02)</w:t>
            </w:r>
          </w:p>
        </w:tc>
      </w:tr>
      <w:tr>
        <w:trPr>
          <w:trHeight w:val="20"/>
        </w:trPr>
        <w:tc>
          <w:tcPr>
            <w:tcW w:w="2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1,125</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209</w:t>
            </w:r>
          </w:p>
        </w:tc>
        <w:tc>
          <w:tcPr>
            <w:tcW w:w="60" w:type="dxa"/>
            <w:vAlign w:val="bottom"/>
          </w:tcPr>
          <w:p>
            <w:pPr>
              <w:spacing w:after="0"/>
              <w:rPr>
                <w:sz w:val="18"/>
                <w:szCs w:val="18"/>
                <w:color w:val="auto"/>
              </w:rPr>
            </w:pP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906</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$ 0.63</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9"/>
          </w:tcPr>
          <w:p>
            <w:pPr>
              <w:jc w:val="right"/>
              <w:ind w:right="700"/>
              <w:spacing w:after="0"/>
              <w:rPr>
                <w:sz w:val="20"/>
                <w:szCs w:val="20"/>
                <w:color w:val="auto"/>
              </w:rPr>
            </w:pPr>
            <w:r>
              <w:rPr>
                <w:rFonts w:ascii="Arial" w:cs="Arial" w:eastAsia="Arial" w:hAnsi="Arial"/>
                <w:sz w:val="14"/>
                <w:szCs w:val="14"/>
                <w:color w:val="auto"/>
              </w:rPr>
              <w:t>Second Quarter 2022</w:t>
            </w:r>
          </w:p>
        </w:tc>
        <w:tc>
          <w:tcPr>
            <w:tcW w:w="5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150"/>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ind w:left="240"/>
              <w:spacing w:after="0" w:line="151" w:lineRule="exact"/>
              <w:rPr>
                <w:sz w:val="20"/>
                <w:szCs w:val="20"/>
                <w:color w:val="auto"/>
              </w:rPr>
            </w:pPr>
            <w:r>
              <w:rPr>
                <w:rFonts w:ascii="Arial" w:cs="Arial" w:eastAsia="Arial" w:hAnsi="Arial"/>
                <w:sz w:val="14"/>
                <w:szCs w:val="14"/>
                <w:color w:val="auto"/>
                <w:w w:val="99"/>
              </w:rPr>
              <w:t>Noncont.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jc w:val="center"/>
              <w:spacing w:after="0" w:line="151" w:lineRule="exact"/>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color w:val="auto"/>
              </w:rPr>
              <w:t>Pretax</w:t>
            </w:r>
          </w:p>
        </w:tc>
        <w:tc>
          <w:tcPr>
            <w:tcW w:w="480" w:type="dxa"/>
            <w:vAlign w:val="bottom"/>
            <w:gridSpan w:val="2"/>
          </w:tcPr>
          <w:p>
            <w:pPr>
              <w:jc w:val="right"/>
              <w:ind w:right="88"/>
              <w:spacing w:after="0"/>
              <w:rPr>
                <w:sz w:val="20"/>
                <w:szCs w:val="20"/>
                <w:color w:val="auto"/>
              </w:rPr>
            </w:pPr>
            <w:r>
              <w:rPr>
                <w:rFonts w:ascii="Arial" w:cs="Arial" w:eastAsia="Arial" w:hAnsi="Arial"/>
                <w:sz w:val="14"/>
                <w:szCs w:val="14"/>
                <w:color w:val="auto"/>
              </w:rPr>
              <w:t>Tax</w:t>
            </w:r>
          </w:p>
        </w:tc>
        <w:tc>
          <w:tcPr>
            <w:tcW w:w="2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color w:val="auto"/>
              </w:rPr>
              <w:t>Interests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4"/>
                <w:szCs w:val="14"/>
                <w:color w:val="auto"/>
              </w:rPr>
              <w:t>Net</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EPS</w:t>
            </w:r>
          </w:p>
        </w:tc>
      </w:tr>
      <w:tr>
        <w:trPr>
          <w:trHeight w:val="183"/>
        </w:trPr>
        <w:tc>
          <w:tcPr>
            <w:tcW w:w="20" w:type="dxa"/>
            <w:vAlign w:val="bottom"/>
          </w:tcPr>
          <w:p>
            <w:pPr>
              <w:spacing w:after="0"/>
              <w:rPr>
                <w:sz w:val="15"/>
                <w:szCs w:val="15"/>
                <w:color w:val="auto"/>
              </w:rPr>
            </w:pPr>
          </w:p>
        </w:tc>
        <w:tc>
          <w:tcPr>
            <w:tcW w:w="5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90"/>
              </w:rPr>
              <w:t>$1,152</w:t>
            </w:r>
          </w:p>
        </w:tc>
        <w:tc>
          <w:tcPr>
            <w:tcW w:w="280" w:type="dxa"/>
            <w:vAlign w:val="bottom"/>
          </w:tcPr>
          <w:p>
            <w:pPr>
              <w:spacing w:after="0"/>
              <w:rPr>
                <w:sz w:val="15"/>
                <w:szCs w:val="15"/>
                <w:color w:val="auto"/>
              </w:rPr>
            </w:pPr>
          </w:p>
        </w:tc>
        <w:tc>
          <w:tcPr>
            <w:tcW w:w="4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$182</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line="18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11</w:t>
            </w:r>
          </w:p>
        </w:tc>
        <w:tc>
          <w:tcPr>
            <w:tcW w:w="240" w:type="dxa"/>
            <w:vAlign w:val="bottom"/>
          </w:tcPr>
          <w:p>
            <w:pPr>
              <w:spacing w:after="0"/>
              <w:rPr>
                <w:sz w:val="15"/>
                <w:szCs w:val="15"/>
                <w:color w:val="auto"/>
              </w:rPr>
            </w:pPr>
          </w:p>
        </w:tc>
        <w:tc>
          <w:tcPr>
            <w:tcW w:w="1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959</w:t>
            </w:r>
          </w:p>
        </w:tc>
        <w:tc>
          <w:tcPr>
            <w:tcW w:w="320" w:type="dxa"/>
            <w:vAlign w:val="bottom"/>
          </w:tcPr>
          <w:p>
            <w:pPr>
              <w:spacing w:after="0"/>
              <w:rPr>
                <w:sz w:val="15"/>
                <w:szCs w:val="15"/>
                <w:color w:val="auto"/>
              </w:rPr>
            </w:pPr>
          </w:p>
        </w:tc>
        <w:tc>
          <w:tcPr>
            <w:tcW w:w="5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95"/>
              </w:rPr>
              <w:t>$ 0.67</w:t>
            </w:r>
          </w:p>
        </w:tc>
        <w:tc>
          <w:tcPr>
            <w:tcW w:w="60" w:type="dxa"/>
            <w:vAlign w:val="bottom"/>
          </w:tcPr>
          <w:p>
            <w:pPr>
              <w:spacing w:after="0"/>
              <w:rPr>
                <w:sz w:val="15"/>
                <w:szCs w:val="15"/>
                <w:color w:val="auto"/>
              </w:rPr>
            </w:pPr>
          </w:p>
        </w:tc>
      </w:tr>
      <w:tr>
        <w:trPr>
          <w:trHeight w:val="203"/>
        </w:trPr>
        <w:tc>
          <w:tcPr>
            <w:tcW w:w="84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(216)</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(203)</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(0.14)</w:t>
            </w:r>
          </w:p>
        </w:tc>
      </w:tr>
      <w:tr>
        <w:trPr>
          <w:trHeight w:val="215"/>
        </w:trPr>
        <w:tc>
          <w:tcPr>
            <w:tcW w:w="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(0.03)</w:t>
            </w:r>
          </w:p>
        </w:tc>
      </w:tr>
      <w:tr>
        <w:trPr>
          <w:trHeight w:val="20"/>
        </w:trPr>
        <w:tc>
          <w:tcPr>
            <w:tcW w:w="2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  893</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167</w:t>
            </w:r>
          </w:p>
        </w:tc>
        <w:tc>
          <w:tcPr>
            <w:tcW w:w="60" w:type="dxa"/>
            <w:vAlign w:val="bottom"/>
          </w:tcPr>
          <w:p>
            <w:pPr>
              <w:spacing w:after="0"/>
              <w:rPr>
                <w:sz w:val="18"/>
                <w:szCs w:val="18"/>
                <w:color w:val="auto"/>
              </w:rPr>
            </w:pP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715</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$ 0.50</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Six Months 2022</w:t>
            </w:r>
          </w:p>
        </w:tc>
        <w:tc>
          <w:tcPr>
            <w:tcW w:w="4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150"/>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ind w:left="240"/>
              <w:spacing w:after="0" w:line="151" w:lineRule="exact"/>
              <w:rPr>
                <w:sz w:val="20"/>
                <w:szCs w:val="20"/>
                <w:color w:val="auto"/>
              </w:rPr>
            </w:pPr>
            <w:r>
              <w:rPr>
                <w:rFonts w:ascii="Arial" w:cs="Arial" w:eastAsia="Arial" w:hAnsi="Arial"/>
                <w:sz w:val="14"/>
                <w:szCs w:val="14"/>
                <w:color w:val="auto"/>
                <w:w w:val="99"/>
              </w:rPr>
              <w:t>Noncont.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jc w:val="center"/>
              <w:spacing w:after="0" w:line="151" w:lineRule="exact"/>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color w:val="auto"/>
              </w:rPr>
              <w:t>Pretax</w:t>
            </w:r>
          </w:p>
        </w:tc>
        <w:tc>
          <w:tcPr>
            <w:tcW w:w="480" w:type="dxa"/>
            <w:vAlign w:val="bottom"/>
            <w:gridSpan w:val="2"/>
          </w:tcPr>
          <w:p>
            <w:pPr>
              <w:jc w:val="right"/>
              <w:ind w:right="88"/>
              <w:spacing w:after="0"/>
              <w:rPr>
                <w:sz w:val="20"/>
                <w:szCs w:val="20"/>
                <w:color w:val="auto"/>
              </w:rPr>
            </w:pPr>
            <w:r>
              <w:rPr>
                <w:rFonts w:ascii="Arial" w:cs="Arial" w:eastAsia="Arial" w:hAnsi="Arial"/>
                <w:sz w:val="14"/>
                <w:szCs w:val="14"/>
                <w:color w:val="auto"/>
              </w:rPr>
              <w:t>Tax</w:t>
            </w:r>
          </w:p>
        </w:tc>
        <w:tc>
          <w:tcPr>
            <w:tcW w:w="2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color w:val="auto"/>
              </w:rPr>
              <w:t>Interests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4"/>
                <w:szCs w:val="14"/>
                <w:color w:val="auto"/>
              </w:rPr>
              <w:t>Net</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EPS *</w:t>
            </w:r>
          </w:p>
        </w:tc>
      </w:tr>
      <w:tr>
        <w:trPr>
          <w:trHeight w:val="183"/>
        </w:trPr>
        <w:tc>
          <w:tcPr>
            <w:tcW w:w="20" w:type="dxa"/>
            <w:vAlign w:val="bottom"/>
          </w:tcPr>
          <w:p>
            <w:pPr>
              <w:spacing w:after="0"/>
              <w:rPr>
                <w:sz w:val="15"/>
                <w:szCs w:val="15"/>
                <w:color w:val="auto"/>
              </w:rPr>
            </w:pPr>
          </w:p>
        </w:tc>
        <w:tc>
          <w:tcPr>
            <w:tcW w:w="5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90"/>
              </w:rPr>
              <w:t>$1,790</w:t>
            </w:r>
          </w:p>
        </w:tc>
        <w:tc>
          <w:tcPr>
            <w:tcW w:w="280" w:type="dxa"/>
            <w:vAlign w:val="bottom"/>
          </w:tcPr>
          <w:p>
            <w:pPr>
              <w:spacing w:after="0"/>
              <w:rPr>
                <w:sz w:val="15"/>
                <w:szCs w:val="15"/>
                <w:color w:val="auto"/>
              </w:rPr>
            </w:pPr>
          </w:p>
        </w:tc>
        <w:tc>
          <w:tcPr>
            <w:tcW w:w="4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$300</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line="18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21</w:t>
            </w:r>
          </w:p>
        </w:tc>
        <w:tc>
          <w:tcPr>
            <w:tcW w:w="240" w:type="dxa"/>
            <w:vAlign w:val="bottom"/>
          </w:tcPr>
          <w:p>
            <w:pPr>
              <w:spacing w:after="0"/>
              <w:rPr>
                <w:sz w:val="15"/>
                <w:szCs w:val="15"/>
                <w:color w:val="auto"/>
              </w:rPr>
            </w:pPr>
          </w:p>
        </w:tc>
        <w:tc>
          <w:tcPr>
            <w:tcW w:w="1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93"/>
              </w:rPr>
              <w:t>1,469</w:t>
            </w:r>
          </w:p>
        </w:tc>
        <w:tc>
          <w:tcPr>
            <w:tcW w:w="320" w:type="dxa"/>
            <w:vAlign w:val="bottom"/>
          </w:tcPr>
          <w:p>
            <w:pPr>
              <w:spacing w:after="0"/>
              <w:rPr>
                <w:sz w:val="15"/>
                <w:szCs w:val="15"/>
                <w:color w:val="auto"/>
              </w:rPr>
            </w:pPr>
          </w:p>
        </w:tc>
        <w:tc>
          <w:tcPr>
            <w:tcW w:w="5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95"/>
              </w:rPr>
              <w:t>$ 1.02</w:t>
            </w:r>
          </w:p>
        </w:tc>
        <w:tc>
          <w:tcPr>
            <w:tcW w:w="60" w:type="dxa"/>
            <w:vAlign w:val="bottom"/>
          </w:tcPr>
          <w:p>
            <w:pPr>
              <w:spacing w:after="0"/>
              <w:rPr>
                <w:sz w:val="15"/>
                <w:szCs w:val="15"/>
                <w:color w:val="auto"/>
              </w:rPr>
            </w:pPr>
          </w:p>
        </w:tc>
      </w:tr>
      <w:tr>
        <w:trPr>
          <w:trHeight w:val="203"/>
        </w:trPr>
        <w:tc>
          <w:tcPr>
            <w:tcW w:w="84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(242)</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(225)</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(0.16)</w:t>
            </w:r>
          </w:p>
        </w:tc>
      </w:tr>
      <w:tr>
        <w:trPr>
          <w:trHeight w:val="215"/>
        </w:trPr>
        <w:tc>
          <w:tcPr>
            <w:tcW w:w="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(0.03)</w:t>
            </w:r>
          </w:p>
        </w:tc>
      </w:tr>
      <w:tr>
        <w:trPr>
          <w:trHeight w:val="20"/>
        </w:trPr>
        <w:tc>
          <w:tcPr>
            <w:tcW w:w="2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1,505</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281</w:t>
            </w:r>
          </w:p>
        </w:tc>
        <w:tc>
          <w:tcPr>
            <w:tcW w:w="60" w:type="dxa"/>
            <w:vAlign w:val="bottom"/>
          </w:tcPr>
          <w:p>
            <w:pPr>
              <w:spacing w:after="0"/>
              <w:rPr>
                <w:sz w:val="18"/>
                <w:szCs w:val="18"/>
                <w:color w:val="auto"/>
              </w:rPr>
            </w:pP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1,203</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$ 0.84</w:t>
            </w:r>
          </w:p>
        </w:tc>
        <w:tc>
          <w:tcPr>
            <w:tcW w:w="60" w:type="dxa"/>
            <w:vAlign w:val="bottom"/>
          </w:tcPr>
          <w:p>
            <w:pPr>
              <w:spacing w:after="0"/>
              <w:rPr>
                <w:sz w:val="18"/>
                <w:szCs w:val="18"/>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47" w:lineRule="exact"/>
        <w:rPr>
          <w:sz w:val="20"/>
          <w:szCs w:val="20"/>
          <w:color w:val="auto"/>
        </w:rPr>
      </w:pPr>
    </w:p>
    <w:p>
      <w:pPr>
        <w:sectPr>
          <w:pgSz w:w="11900" w:h="16838" w:orient="portrait"/>
          <w:cols w:equalWidth="0" w:num="2">
            <w:col w:w="6420" w:space="720"/>
            <w:col w:w="3840"/>
          </w:cols>
          <w:pgMar w:left="440" w:top="481" w:right="479" w:bottom="1440" w:gutter="0" w:footer="0" w:header="0"/>
          <w:type w:val="continuous"/>
        </w:sectPr>
      </w:pPr>
    </w:p>
    <w:p>
      <w:pPr>
        <w:spacing w:after="0" w:line="6" w:lineRule="exact"/>
        <w:rPr>
          <w:sz w:val="20"/>
          <w:szCs w:val="20"/>
          <w:color w:val="auto"/>
        </w:rPr>
      </w:pPr>
    </w:p>
    <w:p>
      <w:pPr>
        <w:jc w:val="center"/>
        <w:spacing w:after="0" w:line="439" w:lineRule="auto"/>
        <w:rPr>
          <w:sz w:val="20"/>
          <w:szCs w:val="20"/>
          <w:color w:val="auto"/>
        </w:rPr>
      </w:pPr>
      <w:r>
        <w:rPr>
          <w:rFonts w:ascii="Arial" w:cs="Arial" w:eastAsia="Arial" w:hAnsi="Arial"/>
          <w:sz w:val="18"/>
          <w:szCs w:val="18"/>
          <w:color w:val="auto"/>
        </w:rPr>
        <w:t xml:space="preserve">All Charges &amp; Credits for the periods above are classified in </w:t>
      </w:r>
      <w:r>
        <w:rPr>
          <w:rFonts w:ascii="Arial" w:cs="Arial" w:eastAsia="Arial" w:hAnsi="Arial"/>
          <w:sz w:val="18"/>
          <w:szCs w:val="18"/>
          <w:i w:val="1"/>
          <w:iCs w:val="1"/>
          <w:color w:val="auto"/>
        </w:rPr>
        <w:t>Interest &amp;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w:t>
      </w:r>
      <w:r>
        <w:rPr>
          <w:rFonts w:ascii="Arial" w:cs="Arial" w:eastAsia="Arial" w:hAnsi="Arial"/>
          <w:sz w:val="18"/>
          <w:szCs w:val="18"/>
          <w:color w:val="auto"/>
        </w:rPr>
        <w:t xml:space="preserve"> 14</w:t>
      </w:r>
    </w:p>
    <w:p>
      <w:pPr>
        <w:sectPr>
          <w:pgSz w:w="11900" w:h="16838" w:orient="portrait"/>
          <w:cols w:equalWidth="0" w:num="1">
            <w:col w:w="10980"/>
          </w:cols>
          <w:pgMar w:left="440" w:top="481" w:right="479" w:bottom="1440" w:gutter="0" w:footer="0" w:header="0"/>
          <w:type w:val="continuous"/>
        </w:sectPr>
      </w:pPr>
    </w:p>
    <w:bookmarkStart w:id="17" w:name="page18"/>
    <w:bookmarkEnd w:id="1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Divisions</w:t>
      </w:r>
    </w:p>
    <w:p>
      <w:pPr>
        <w:spacing w:after="0" w:line="256" w:lineRule="exact"/>
        <w:rPr>
          <w:sz w:val="20"/>
          <w:szCs w:val="20"/>
          <w:color w:val="auto"/>
        </w:rPr>
      </w:pPr>
    </w:p>
    <w:tbl>
      <w:tblPr>
        <w:tblLayout w:type="fixed"/>
        <w:tblInd w:w="4" w:type="dxa"/>
        <w:tblCellMar>
          <w:top w:w="0" w:type="dxa"/>
          <w:left w:w="0" w:type="dxa"/>
          <w:bottom w:w="0" w:type="dxa"/>
          <w:right w:w="0" w:type="dxa"/>
        </w:tblCellMar>
      </w:tblPr>
      <w:tr>
        <w:trPr>
          <w:trHeight w:val="182"/>
        </w:trPr>
        <w:tc>
          <w:tcPr>
            <w:tcW w:w="44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gridSpan w:val="9"/>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9"/>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7"/>
        </w:trPr>
        <w:tc>
          <w:tcPr>
            <w:tcW w:w="4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9"/>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40" w:type="dxa"/>
            <w:vAlign w:val="bottom"/>
            <w:gridSpan w:val="8"/>
          </w:tcPr>
          <w:p>
            <w:pPr>
              <w:jc w:val="right"/>
              <w:ind w:right="320"/>
              <w:spacing w:after="0" w:line="155" w:lineRule="exact"/>
              <w:rPr>
                <w:sz w:val="20"/>
                <w:szCs w:val="20"/>
                <w:color w:val="auto"/>
              </w:rPr>
            </w:pPr>
            <w:r>
              <w:rPr>
                <w:rFonts w:ascii="Arial" w:cs="Arial" w:eastAsia="Arial" w:hAnsi="Arial"/>
                <w:sz w:val="14"/>
                <w:szCs w:val="14"/>
                <w:b w:val="1"/>
                <w:bCs w:val="1"/>
                <w:color w:val="auto"/>
              </w:rPr>
              <w:t>Jun. 30, 2023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7"/>
          </w:tcPr>
          <w:p>
            <w:pPr>
              <w:jc w:val="center"/>
              <w:ind w:right="300"/>
              <w:spacing w:after="0" w:line="155" w:lineRule="exact"/>
              <w:rPr>
                <w:sz w:val="20"/>
                <w:szCs w:val="20"/>
                <w:color w:val="auto"/>
              </w:rPr>
            </w:pPr>
            <w:r>
              <w:rPr>
                <w:rFonts w:ascii="Arial" w:cs="Arial" w:eastAsia="Arial" w:hAnsi="Arial"/>
                <w:sz w:val="14"/>
                <w:szCs w:val="14"/>
                <w:color w:val="auto"/>
              </w:rPr>
              <w:t>Mar. 31, 2023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8"/>
          </w:tcPr>
          <w:p>
            <w:pPr>
              <w:jc w:val="right"/>
              <w:ind w:right="240"/>
              <w:spacing w:after="0" w:line="155" w:lineRule="exact"/>
              <w:rPr>
                <w:sz w:val="20"/>
                <w:szCs w:val="20"/>
                <w:color w:val="auto"/>
              </w:rPr>
            </w:pPr>
            <w:r>
              <w:rPr>
                <w:rFonts w:ascii="Arial" w:cs="Arial" w:eastAsia="Arial" w:hAnsi="Arial"/>
                <w:sz w:val="14"/>
                <w:szCs w:val="14"/>
                <w:color w:val="auto"/>
              </w:rPr>
              <w:t>Jun. 30, 2022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ind w:left="40"/>
              <w:spacing w:after="0" w:line="143" w:lineRule="exact"/>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color w:val="auto"/>
              </w:rPr>
              <w:t>Income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4"/>
          </w:tcPr>
          <w:p>
            <w:pPr>
              <w:jc w:val="center"/>
              <w:spacing w:after="0" w:line="143"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4"/>
          </w:tcPr>
          <w:p>
            <w:pPr>
              <w:ind w:left="60"/>
              <w:spacing w:after="0"/>
              <w:rPr>
                <w:sz w:val="20"/>
                <w:szCs w:val="20"/>
                <w:color w:val="auto"/>
              </w:rPr>
            </w:pPr>
            <w:r>
              <w:rPr>
                <w:rFonts w:ascii="Arial" w:cs="Arial" w:eastAsia="Arial" w:hAnsi="Arial"/>
                <w:sz w:val="14"/>
                <w:szCs w:val="14"/>
                <w:b w:val="1"/>
                <w:bCs w:val="1"/>
                <w:color w:val="auto"/>
              </w:rPr>
              <w:t>Before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4"/>
                <w:szCs w:val="14"/>
                <w:color w:val="auto"/>
              </w:rPr>
              <w:t>Before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5"/>
          </w:tcPr>
          <w:p>
            <w:pPr>
              <w:jc w:val="center"/>
              <w:ind w:right="120"/>
              <w:spacing w:after="0"/>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160" w:type="dxa"/>
            <w:vAlign w:val="bottom"/>
            <w:gridSpan w:val="4"/>
          </w:tcPr>
          <w:p>
            <w:pPr>
              <w:ind w:left="148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5"/>
                <w:szCs w:val="15"/>
                <w:color w:val="auto"/>
              </w:rPr>
            </w:pPr>
          </w:p>
        </w:tc>
        <w:tc>
          <w:tcPr>
            <w:tcW w:w="640" w:type="dxa"/>
            <w:vAlign w:val="bottom"/>
            <w:gridSpan w:val="4"/>
          </w:tcPr>
          <w:p>
            <w:pPr>
              <w:ind w:left="80"/>
              <w:spacing w:after="0"/>
              <w:rPr>
                <w:sz w:val="20"/>
                <w:szCs w:val="20"/>
                <w:color w:val="auto"/>
              </w:rPr>
            </w:pPr>
            <w:r>
              <w:rPr>
                <w:rFonts w:ascii="Arial" w:cs="Arial" w:eastAsia="Arial" w:hAnsi="Arial"/>
                <w:sz w:val="14"/>
                <w:szCs w:val="14"/>
                <w:b w:val="1"/>
                <w:bCs w:val="1"/>
                <w:color w:val="auto"/>
              </w:rPr>
              <w:t>Taxes</w:t>
            </w:r>
          </w:p>
        </w:tc>
        <w:tc>
          <w:tcPr>
            <w:tcW w:w="40" w:type="dxa"/>
            <w:vAlign w:val="bottom"/>
          </w:tcPr>
          <w:p>
            <w:pPr>
              <w:spacing w:after="0"/>
              <w:rPr>
                <w:sz w:val="15"/>
                <w:szCs w:val="15"/>
                <w:color w:val="auto"/>
              </w:rPr>
            </w:pPr>
          </w:p>
        </w:tc>
        <w:tc>
          <w:tcPr>
            <w:tcW w:w="880" w:type="dxa"/>
            <w:vAlign w:val="bottom"/>
            <w:gridSpan w:val="5"/>
          </w:tcPr>
          <w:p>
            <w:pPr>
              <w:ind w:left="100"/>
              <w:spacing w:after="0"/>
              <w:rPr>
                <w:sz w:val="20"/>
                <w:szCs w:val="20"/>
                <w:color w:val="auto"/>
              </w:rPr>
            </w:pPr>
            <w:r>
              <w:rPr>
                <w:rFonts w:ascii="Arial" w:cs="Arial" w:eastAsia="Arial" w:hAnsi="Arial"/>
                <w:sz w:val="14"/>
                <w:szCs w:val="14"/>
                <w:color w:val="auto"/>
              </w:rPr>
              <w:t>Revenue</w:t>
            </w:r>
          </w:p>
        </w:tc>
        <w:tc>
          <w:tcPr>
            <w:tcW w:w="740" w:type="dxa"/>
            <w:vAlign w:val="bottom"/>
            <w:gridSpan w:val="4"/>
          </w:tcPr>
          <w:p>
            <w:pPr>
              <w:ind w:left="80"/>
              <w:spacing w:after="0"/>
              <w:rPr>
                <w:sz w:val="20"/>
                <w:szCs w:val="20"/>
                <w:color w:val="auto"/>
              </w:rPr>
            </w:pPr>
            <w:r>
              <w:rPr>
                <w:rFonts w:ascii="Arial" w:cs="Arial" w:eastAsia="Arial" w:hAnsi="Arial"/>
                <w:sz w:val="14"/>
                <w:szCs w:val="14"/>
                <w:color w:val="auto"/>
              </w:rPr>
              <w:t>Taxes</w:t>
            </w:r>
          </w:p>
        </w:tc>
        <w:tc>
          <w:tcPr>
            <w:tcW w:w="620" w:type="dxa"/>
            <w:vAlign w:val="bottom"/>
            <w:gridSpan w:val="5"/>
          </w:tcPr>
          <w:p>
            <w:pPr>
              <w:ind w:left="20"/>
              <w:spacing w:after="0"/>
              <w:rPr>
                <w:sz w:val="20"/>
                <w:szCs w:val="20"/>
                <w:color w:val="auto"/>
              </w:rPr>
            </w:pPr>
            <w:r>
              <w:rPr>
                <w:rFonts w:ascii="Arial" w:cs="Arial" w:eastAsia="Arial" w:hAnsi="Arial"/>
                <w:sz w:val="14"/>
                <w:szCs w:val="14"/>
                <w:color w:val="auto"/>
              </w:rPr>
              <w:t>Revenue</w:t>
            </w:r>
          </w:p>
        </w:tc>
        <w:tc>
          <w:tcPr>
            <w:tcW w:w="200" w:type="dxa"/>
            <w:vAlign w:val="bottom"/>
          </w:tcPr>
          <w:p>
            <w:pPr>
              <w:spacing w:after="0"/>
              <w:rPr>
                <w:sz w:val="15"/>
                <w:szCs w:val="15"/>
                <w:color w:val="auto"/>
              </w:rPr>
            </w:pPr>
          </w:p>
        </w:tc>
        <w:tc>
          <w:tcPr>
            <w:tcW w:w="660" w:type="dxa"/>
            <w:vAlign w:val="bottom"/>
            <w:gridSpan w:val="5"/>
          </w:tcPr>
          <w:p>
            <w:pPr>
              <w:jc w:val="center"/>
              <w:ind w:right="120"/>
              <w:spacing w:after="0"/>
              <w:rPr>
                <w:sz w:val="20"/>
                <w:szCs w:val="20"/>
                <w:color w:val="auto"/>
              </w:rPr>
            </w:pPr>
            <w:r>
              <w:rPr>
                <w:rFonts w:ascii="Arial" w:cs="Arial" w:eastAsia="Arial" w:hAnsi="Arial"/>
                <w:sz w:val="14"/>
                <w:szCs w:val="14"/>
                <w:color w:val="auto"/>
                <w:w w:val="99"/>
              </w:rPr>
              <w:t>Taxes</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2160" w:type="dxa"/>
            <w:vAlign w:val="bottom"/>
            <w:gridSpan w:val="4"/>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rPr>
              <w:t>$  947</w:t>
            </w:r>
          </w:p>
        </w:tc>
        <w:tc>
          <w:tcPr>
            <w:tcW w:w="220" w:type="dxa"/>
            <w:vAlign w:val="bottom"/>
            <w:gridSpan w:val="2"/>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322</w:t>
            </w:r>
          </w:p>
        </w:tc>
        <w:tc>
          <w:tcPr>
            <w:tcW w:w="80" w:type="dxa"/>
            <w:vAlign w:val="bottom"/>
            <w:shd w:val="clear" w:color="auto" w:fill="CCEEFF"/>
          </w:tcPr>
          <w:p>
            <w:pPr>
              <w:spacing w:after="0"/>
              <w:rPr>
                <w:sz w:val="17"/>
                <w:szCs w:val="17"/>
                <w:color w:val="auto"/>
              </w:rPr>
            </w:pPr>
          </w:p>
        </w:tc>
        <w:tc>
          <w:tcPr>
            <w:tcW w:w="240" w:type="dxa"/>
            <w:vAlign w:val="bottom"/>
            <w:gridSpan w:val="3"/>
            <w:shd w:val="clear" w:color="auto" w:fill="CCEEFF"/>
          </w:tcPr>
          <w:p>
            <w:pPr>
              <w:ind w:left="14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894</w:t>
            </w:r>
          </w:p>
        </w:tc>
        <w:tc>
          <w:tcPr>
            <w:tcW w:w="180" w:type="dxa"/>
            <w:vAlign w:val="bottom"/>
            <w:tcBorders>
              <w:lef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955</w:t>
            </w:r>
          </w:p>
        </w:tc>
        <w:tc>
          <w:tcPr>
            <w:tcW w:w="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Reservoir Performance</w:t>
            </w:r>
          </w:p>
        </w:tc>
        <w:tc>
          <w:tcPr>
            <w:tcW w:w="2160" w:type="dxa"/>
            <w:vAlign w:val="bottom"/>
            <w:gridSpan w:val="4"/>
          </w:tcPr>
          <w:p>
            <w:pPr>
              <w:jc w:val="right"/>
              <w:ind w:right="80"/>
              <w:spacing w:after="0" w:line="202" w:lineRule="exact"/>
              <w:rPr>
                <w:sz w:val="20"/>
                <w:szCs w:val="20"/>
                <w:color w:val="auto"/>
              </w:rPr>
            </w:pPr>
            <w:r>
              <w:rPr>
                <w:rFonts w:ascii="Arial" w:cs="Arial" w:eastAsia="Arial" w:hAnsi="Arial"/>
                <w:sz w:val="18"/>
                <w:szCs w:val="18"/>
                <w:b w:val="1"/>
                <w:bCs w:val="1"/>
                <w:color w:val="auto"/>
              </w:rPr>
              <w:t>1,643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306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w w:val="97"/>
              </w:rPr>
              <w:t>1,503</w:t>
            </w:r>
          </w:p>
        </w:tc>
        <w:tc>
          <w:tcPr>
            <w:tcW w:w="18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242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w w:val="97"/>
              </w:rPr>
              <w:t>1,333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216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3,362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731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7"/>
              </w:rPr>
              <w:t>3,261</w:t>
            </w:r>
          </w:p>
        </w:tc>
        <w:tc>
          <w:tcPr>
            <w:tcW w:w="18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7"/>
              </w:rPr>
              <w:t>2,686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Production Systems</w:t>
            </w:r>
          </w:p>
        </w:tc>
        <w:tc>
          <w:tcPr>
            <w:tcW w:w="2160" w:type="dxa"/>
            <w:vAlign w:val="bottom"/>
            <w:gridSpan w:val="4"/>
          </w:tcPr>
          <w:p>
            <w:pPr>
              <w:jc w:val="right"/>
              <w:ind w:right="80"/>
              <w:spacing w:after="0" w:line="202" w:lineRule="exact"/>
              <w:rPr>
                <w:sz w:val="20"/>
                <w:szCs w:val="20"/>
                <w:color w:val="auto"/>
              </w:rPr>
            </w:pPr>
            <w:r>
              <w:rPr>
                <w:rFonts w:ascii="Arial" w:cs="Arial" w:eastAsia="Arial" w:hAnsi="Arial"/>
                <w:sz w:val="18"/>
                <w:szCs w:val="18"/>
                <w:b w:val="1"/>
                <w:bCs w:val="1"/>
                <w:color w:val="auto"/>
              </w:rPr>
              <w:t>2,313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278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w w:val="97"/>
              </w:rPr>
              <w:t>2,207</w:t>
            </w:r>
          </w:p>
        </w:tc>
        <w:tc>
          <w:tcPr>
            <w:tcW w:w="18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205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w w:val="97"/>
              </w:rPr>
              <w:t>1,893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171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216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(166)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(56)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(129)</w:t>
            </w:r>
          </w:p>
        </w:tc>
        <w:tc>
          <w:tcPr>
            <w:tcW w:w="18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4960" w:type="dxa"/>
            <w:vAlign w:val="bottom"/>
            <w:gridSpan w:val="2"/>
          </w:tcPr>
          <w:p>
            <w:pPr>
              <w:ind w:left="360"/>
              <w:spacing w:after="0"/>
              <w:rPr>
                <w:sz w:val="20"/>
                <w:szCs w:val="20"/>
                <w:color w:val="auto"/>
              </w:rPr>
            </w:pPr>
            <w:r>
              <w:rPr>
                <w:rFonts w:ascii="Arial" w:cs="Arial" w:eastAsia="Arial" w:hAnsi="Arial"/>
                <w:sz w:val="18"/>
                <w:szCs w:val="18"/>
                <w:color w:val="auto"/>
              </w:rPr>
              <w:t>Pretax segment operating income</w:t>
            </w: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1,581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1,391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3"/>
              </w:rPr>
              <w:t>1,159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1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(183)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5"/>
              </w:rPr>
              <w:t>(169)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6"/>
                <w:szCs w:val="16"/>
                <w:color w:val="auto"/>
              </w:rPr>
              <w:t>Interest income</w:t>
            </w:r>
            <w:r>
              <w:rPr>
                <w:rFonts w:ascii="Arial" w:cs="Arial" w:eastAsia="Arial" w:hAnsi="Arial"/>
                <w:sz w:val="23"/>
                <w:szCs w:val="23"/>
                <w:color w:val="auto"/>
                <w:vertAlign w:val="superscript"/>
              </w:rPr>
              <w:t>(1)</w:t>
            </w: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Interest expense</w:t>
            </w:r>
            <w:r>
              <w:rPr>
                <w:rFonts w:ascii="Arial" w:cs="Arial" w:eastAsia="Arial" w:hAnsi="Arial"/>
                <w:sz w:val="23"/>
                <w:szCs w:val="23"/>
                <w:color w:val="auto"/>
                <w:vertAlign w:val="superscript"/>
              </w:rPr>
              <w:t>(1)</w:t>
            </w:r>
          </w:p>
        </w:tc>
        <w:tc>
          <w:tcPr>
            <w:tcW w:w="1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(124)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5"/>
              </w:rPr>
              <w:t>(114)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9"/>
        </w:trPr>
        <w:tc>
          <w:tcPr>
            <w:tcW w:w="4960" w:type="dxa"/>
            <w:vAlign w:val="bottom"/>
            <w:gridSpan w:val="2"/>
          </w:tcPr>
          <w:p>
            <w:pPr>
              <w:spacing w:after="0" w:line="202" w:lineRule="exact"/>
              <w:rPr>
                <w:sz w:val="20"/>
                <w:szCs w:val="20"/>
                <w:color w:val="auto"/>
              </w:rPr>
            </w:pPr>
            <w:r>
              <w:rPr>
                <w:rFonts w:ascii="Arial" w:cs="Arial" w:eastAsia="Arial" w:hAnsi="Arial"/>
                <w:sz w:val="16"/>
                <w:szCs w:val="16"/>
                <w:color w:val="auto"/>
              </w:rPr>
              <w:t>Charges &amp; credits</w:t>
            </w:r>
            <w:r>
              <w:rPr>
                <w:rFonts w:ascii="Arial" w:cs="Arial" w:eastAsia="Arial" w:hAnsi="Arial"/>
                <w:sz w:val="23"/>
                <w:szCs w:val="23"/>
                <w:color w:val="auto"/>
                <w:vertAlign w:val="superscript"/>
              </w:rPr>
              <w:t>(2)</w:t>
            </w:r>
          </w:p>
        </w:tc>
        <w:tc>
          <w:tcPr>
            <w:tcW w:w="14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259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 w:type="dxa"/>
            <w:vAlign w:val="bottom"/>
            <w:shd w:val="clear" w:color="auto" w:fill="CCEEFF"/>
          </w:tcPr>
          <w:p>
            <w:pPr>
              <w:spacing w:after="0"/>
              <w:rPr>
                <w:sz w:val="17"/>
                <w:szCs w:val="17"/>
                <w:color w:val="auto"/>
              </w:rPr>
            </w:pPr>
          </w:p>
        </w:tc>
        <w:tc>
          <w:tcPr>
            <w:tcW w:w="45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3"/>
              </w:rPr>
              <w:t>$ 8,099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1,293</w:t>
            </w:r>
          </w:p>
        </w:tc>
        <w:tc>
          <w:tcPr>
            <w:tcW w:w="80" w:type="dxa"/>
            <w:vAlign w:val="bottom"/>
            <w:shd w:val="clear" w:color="auto" w:fill="CCEEFF"/>
          </w:tcPr>
          <w:p>
            <w:pPr>
              <w:spacing w:after="0"/>
              <w:rPr>
                <w:sz w:val="17"/>
                <w:szCs w:val="17"/>
                <w:color w:val="auto"/>
              </w:rPr>
            </w:pPr>
          </w:p>
        </w:tc>
        <w:tc>
          <w:tcPr>
            <w:tcW w:w="920" w:type="dxa"/>
            <w:vAlign w:val="bottom"/>
            <w:gridSpan w:val="6"/>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$ 7,736</w:t>
            </w:r>
          </w:p>
        </w:tc>
        <w:tc>
          <w:tcPr>
            <w:tcW w:w="560" w:type="dxa"/>
            <w:vAlign w:val="bottom"/>
            <w:tcBorders>
              <w:lef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1,161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6"/>
              </w:rPr>
              <w:t>$ 6,773</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1,152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14"/>
          </w:tcPr>
          <w:p>
            <w:pPr>
              <w:jc w:val="right"/>
              <w:ind w:right="5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11"/>
          </w:tcPr>
          <w:p>
            <w:pPr>
              <w:jc w:val="right"/>
              <w:ind w:right="680"/>
              <w:spacing w:after="0" w:line="155" w:lineRule="exact"/>
              <w:rPr>
                <w:sz w:val="20"/>
                <w:szCs w:val="20"/>
                <w:color w:val="auto"/>
              </w:rPr>
            </w:pPr>
            <w:r>
              <w:rPr>
                <w:rFonts w:ascii="Arial" w:cs="Arial" w:eastAsia="Arial" w:hAnsi="Arial"/>
                <w:sz w:val="14"/>
                <w:szCs w:val="14"/>
                <w:b w:val="1"/>
                <w:bCs w:val="1"/>
                <w:color w:val="auto"/>
              </w:rPr>
              <w:t>Jun. 30, 2023</w:t>
            </w:r>
          </w:p>
        </w:tc>
        <w:tc>
          <w:tcPr>
            <w:tcW w:w="180" w:type="dxa"/>
            <w:vAlign w:val="bottom"/>
          </w:tcPr>
          <w:p>
            <w:pPr>
              <w:spacing w:after="0"/>
              <w:rPr>
                <w:sz w:val="13"/>
                <w:szCs w:val="13"/>
                <w:color w:val="auto"/>
              </w:rPr>
            </w:pPr>
          </w:p>
        </w:tc>
        <w:tc>
          <w:tcPr>
            <w:tcW w:w="1180" w:type="dxa"/>
            <w:vAlign w:val="bottom"/>
            <w:gridSpan w:val="8"/>
          </w:tcPr>
          <w:p>
            <w:pPr>
              <w:ind w:left="240"/>
              <w:spacing w:after="0" w:line="155" w:lineRule="exact"/>
              <w:rPr>
                <w:sz w:val="20"/>
                <w:szCs w:val="20"/>
                <w:color w:val="auto"/>
              </w:rPr>
            </w:pPr>
            <w:r>
              <w:rPr>
                <w:rFonts w:ascii="Arial" w:cs="Arial" w:eastAsia="Arial" w:hAnsi="Arial"/>
                <w:sz w:val="14"/>
                <w:szCs w:val="14"/>
                <w:color w:val="auto"/>
              </w:rPr>
              <w:t>Jun. 30, 2022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ind w:left="20"/>
              <w:spacing w:after="0" w:line="143" w:lineRule="exact"/>
              <w:rPr>
                <w:sz w:val="20"/>
                <w:szCs w:val="20"/>
                <w:color w:val="auto"/>
              </w:rPr>
            </w:pPr>
            <w:r>
              <w:rPr>
                <w:rFonts w:ascii="Arial" w:cs="Arial" w:eastAsia="Arial" w:hAnsi="Arial"/>
                <w:sz w:val="14"/>
                <w:szCs w:val="14"/>
                <w:b w:val="1"/>
                <w:bCs w:val="1"/>
                <w:color w:val="auto"/>
              </w:rPr>
              <w:t>Income</w:t>
            </w:r>
          </w:p>
        </w:tc>
        <w:tc>
          <w:tcPr>
            <w:tcW w:w="320" w:type="dxa"/>
            <w:vAlign w:val="bottom"/>
            <w:gridSpan w:val="2"/>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4"/>
          </w:tcPr>
          <w:p>
            <w:pPr>
              <w:jc w:val="center"/>
              <w:spacing w:after="0" w:line="143" w:lineRule="exact"/>
              <w:rPr>
                <w:sz w:val="20"/>
                <w:szCs w:val="20"/>
                <w:color w:val="auto"/>
              </w:rPr>
            </w:pPr>
            <w:r>
              <w:rPr>
                <w:rFonts w:ascii="Arial" w:cs="Arial" w:eastAsia="Arial" w:hAnsi="Arial"/>
                <w:sz w:val="14"/>
                <w:szCs w:val="14"/>
                <w:color w:val="auto"/>
              </w:rPr>
              <w:t>Income</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5"/>
          </w:tcPr>
          <w:p>
            <w:pPr>
              <w:ind w:left="40"/>
              <w:spacing w:after="0"/>
              <w:rPr>
                <w:sz w:val="20"/>
                <w:szCs w:val="20"/>
                <w:color w:val="auto"/>
              </w:rPr>
            </w:pPr>
            <w:r>
              <w:rPr>
                <w:rFonts w:ascii="Arial" w:cs="Arial" w:eastAsia="Arial" w:hAnsi="Arial"/>
                <w:sz w:val="14"/>
                <w:szCs w:val="14"/>
                <w:b w:val="1"/>
                <w:bCs w:val="1"/>
                <w:color w:val="auto"/>
              </w:rPr>
              <w:t>Before</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gridSpan w:val="4"/>
          </w:tcPr>
          <w:p>
            <w:pPr>
              <w:jc w:val="center"/>
              <w:spacing w:after="0"/>
              <w:rPr>
                <w:sz w:val="20"/>
                <w:szCs w:val="20"/>
                <w:color w:val="auto"/>
              </w:rPr>
            </w:pPr>
            <w:r>
              <w:rPr>
                <w:rFonts w:ascii="Arial" w:cs="Arial" w:eastAsia="Arial" w:hAnsi="Arial"/>
                <w:sz w:val="14"/>
                <w:szCs w:val="14"/>
                <w:color w:val="auto"/>
              </w:rPr>
              <w:t>Before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Revenue</w:t>
            </w:r>
          </w:p>
        </w:tc>
        <w:tc>
          <w:tcPr>
            <w:tcW w:w="3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Taxes</w:t>
            </w:r>
          </w:p>
        </w:tc>
        <w:tc>
          <w:tcPr>
            <w:tcW w:w="320" w:type="dxa"/>
            <w:vAlign w:val="bottom"/>
            <w:gridSpan w:val="2"/>
          </w:tcPr>
          <w:p>
            <w:pPr>
              <w:spacing w:after="0"/>
              <w:rPr>
                <w:sz w:val="15"/>
                <w:szCs w:val="15"/>
                <w:color w:val="auto"/>
              </w:rPr>
            </w:pPr>
          </w:p>
        </w:tc>
        <w:tc>
          <w:tcPr>
            <w:tcW w:w="7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Revenue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9"/>
              </w:rPr>
              <w:t>Taxes</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2560" w:type="dxa"/>
            <w:vAlign w:val="bottom"/>
            <w:gridSpan w:val="7"/>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$ 1,840</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ind w:right="28"/>
              <w:spacing w:after="0" w:line="196" w:lineRule="exact"/>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587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1,813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4"/>
              <w:spacing w:after="0" w:line="19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400" w:type="dxa"/>
            <w:vAlign w:val="bottom"/>
            <w:gridSpan w:val="4"/>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3"/>
              </w:rPr>
              <w:t>671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52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2560" w:type="dxa"/>
            <w:vAlign w:val="bottom"/>
            <w:gridSpan w:val="7"/>
          </w:tcPr>
          <w:p>
            <w:pPr>
              <w:jc w:val="right"/>
              <w:spacing w:after="0" w:line="202" w:lineRule="exact"/>
              <w:rPr>
                <w:sz w:val="20"/>
                <w:szCs w:val="20"/>
                <w:color w:val="auto"/>
              </w:rPr>
            </w:pPr>
            <w:r>
              <w:rPr>
                <w:rFonts w:ascii="Arial" w:cs="Arial" w:eastAsia="Arial" w:hAnsi="Arial"/>
                <w:sz w:val="18"/>
                <w:szCs w:val="18"/>
                <w:b w:val="1"/>
                <w:bCs w:val="1"/>
                <w:color w:val="auto"/>
              </w:rPr>
              <w:t>3,146</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548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2,543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w w:val="93"/>
              </w:rPr>
              <w:t>355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2560" w:type="dxa"/>
            <w:vAlign w:val="bottom"/>
            <w:gridSpan w:val="7"/>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6,623</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1,403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5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5,083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3"/>
              </w:rPr>
              <w:t>858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52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2560" w:type="dxa"/>
            <w:vAlign w:val="bottom"/>
            <w:gridSpan w:val="7"/>
          </w:tcPr>
          <w:p>
            <w:pPr>
              <w:jc w:val="right"/>
              <w:spacing w:after="0" w:line="202" w:lineRule="exact"/>
              <w:rPr>
                <w:sz w:val="20"/>
                <w:szCs w:val="20"/>
                <w:color w:val="auto"/>
              </w:rPr>
            </w:pPr>
            <w:r>
              <w:rPr>
                <w:rFonts w:ascii="Arial" w:cs="Arial" w:eastAsia="Arial" w:hAnsi="Arial"/>
                <w:sz w:val="18"/>
                <w:szCs w:val="18"/>
                <w:b w:val="1"/>
                <w:bCs w:val="1"/>
                <w:color w:val="auto"/>
              </w:rPr>
              <w:t>4,520</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483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3,497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w w:val="93"/>
              </w:rPr>
              <w:t>285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1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(294)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(49)</w:t>
            </w:r>
          </w:p>
        </w:tc>
        <w:tc>
          <w:tcPr>
            <w:tcW w:w="2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700" w:type="dxa"/>
            <w:vAlign w:val="bottom"/>
            <w:gridSpan w:val="5"/>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(201)</w:t>
            </w:r>
          </w:p>
        </w:tc>
        <w:tc>
          <w:tcPr>
            <w:tcW w:w="880" w:type="dxa"/>
            <w:vAlign w:val="bottom"/>
            <w:gridSpan w:val="7"/>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520" w:type="dxa"/>
            <w:vAlign w:val="bottom"/>
          </w:tcPr>
          <w:p>
            <w:pPr>
              <w:ind w:left="360"/>
              <w:spacing w:after="0"/>
              <w:rPr>
                <w:sz w:val="20"/>
                <w:szCs w:val="20"/>
                <w:color w:val="auto"/>
              </w:rPr>
            </w:pPr>
            <w:r>
              <w:rPr>
                <w:rFonts w:ascii="Arial" w:cs="Arial" w:eastAsia="Arial" w:hAnsi="Arial"/>
                <w:sz w:val="18"/>
                <w:szCs w:val="18"/>
                <w:color w:val="auto"/>
              </w:rPr>
              <w:t>Pretax segment operating income</w:t>
            </w: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2,972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2,054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1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w w:val="95"/>
              </w:rPr>
              <w:t>(353)</w:t>
            </w:r>
          </w:p>
        </w:tc>
        <w:tc>
          <w:tcPr>
            <w:tcW w:w="2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7"/>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520" w:type="dxa"/>
            <w:vAlign w:val="bottom"/>
          </w:tcPr>
          <w:p>
            <w:pPr>
              <w:spacing w:after="0" w:line="202" w:lineRule="exact"/>
              <w:rPr>
                <w:sz w:val="20"/>
                <w:szCs w:val="20"/>
                <w:color w:val="auto"/>
              </w:rPr>
            </w:pPr>
            <w:r>
              <w:rPr>
                <w:rFonts w:ascii="Arial" w:cs="Arial" w:eastAsia="Arial" w:hAnsi="Arial"/>
                <w:sz w:val="16"/>
                <w:szCs w:val="16"/>
                <w:color w:val="auto"/>
              </w:rPr>
              <w:t>Interest income</w:t>
            </w:r>
            <w:r>
              <w:rPr>
                <w:rFonts w:ascii="Arial" w:cs="Arial" w:eastAsia="Arial" w:hAnsi="Arial"/>
                <w:sz w:val="23"/>
                <w:szCs w:val="23"/>
                <w:color w:val="auto"/>
                <w:vertAlign w:val="superscript"/>
              </w:rPr>
              <w:t>(1)</w:t>
            </w: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52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Interest expense</w:t>
            </w:r>
            <w:r>
              <w:rPr>
                <w:rFonts w:ascii="Arial" w:cs="Arial" w:eastAsia="Arial" w:hAnsi="Arial"/>
                <w:sz w:val="23"/>
                <w:szCs w:val="23"/>
                <w:color w:val="auto"/>
                <w:vertAlign w:val="superscript"/>
              </w:rPr>
              <w:t>(1)</w:t>
            </w:r>
          </w:p>
        </w:tc>
        <w:tc>
          <w:tcPr>
            <w:tcW w:w="1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w w:val="95"/>
              </w:rPr>
              <w:t>(237)</w:t>
            </w:r>
          </w:p>
        </w:tc>
        <w:tc>
          <w:tcPr>
            <w:tcW w:w="2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7"/>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(241)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520" w:type="dxa"/>
            <w:vAlign w:val="bottom"/>
          </w:tcPr>
          <w:p>
            <w:pPr>
              <w:spacing w:after="0" w:line="202" w:lineRule="exact"/>
              <w:rPr>
                <w:sz w:val="20"/>
                <w:szCs w:val="20"/>
                <w:color w:val="auto"/>
              </w:rPr>
            </w:pPr>
            <w:r>
              <w:rPr>
                <w:rFonts w:ascii="Arial" w:cs="Arial" w:eastAsia="Arial" w:hAnsi="Arial"/>
                <w:sz w:val="16"/>
                <w:szCs w:val="16"/>
                <w:color w:val="auto"/>
              </w:rPr>
              <w:t>Charges &amp; credits</w:t>
            </w:r>
            <w:r>
              <w:rPr>
                <w:rFonts w:ascii="Arial" w:cs="Arial" w:eastAsia="Arial" w:hAnsi="Arial"/>
                <w:sz w:val="23"/>
                <w:szCs w:val="23"/>
                <w:color w:val="auto"/>
                <w:vertAlign w:val="superscript"/>
              </w:rPr>
              <w:t>(2)</w:t>
            </w: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w w:val="93"/>
              </w:rPr>
              <w:t>285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5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15,835</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2,454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tcBorders>
              <w:left w:val="single" w:sz="8" w:color="CCEEFF"/>
            </w:tcBorders>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12,735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7"/>
            <w:shd w:val="clear" w:color="auto" w:fill="CCEEFF"/>
          </w:tcPr>
          <w:p>
            <w:pPr>
              <w:jc w:val="right"/>
              <w:ind w:right="1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1,790</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224" w:hanging="224"/>
        <w:spacing w:after="0"/>
        <w:tabs>
          <w:tab w:leader="none" w:pos="224"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Excludes amounts which are included in the segments’ results.</w:t>
      </w:r>
    </w:p>
    <w:p>
      <w:pPr>
        <w:ind w:left="224" w:hanging="224"/>
        <w:spacing w:after="0" w:line="181" w:lineRule="auto"/>
        <w:tabs>
          <w:tab w:leader="none" w:pos="224" w:val="left"/>
        </w:tabs>
        <w:numPr>
          <w:ilvl w:val="0"/>
          <w:numId w:val="13"/>
        </w:numPr>
        <w:rPr>
          <w:rFonts w:ascii="Arial" w:cs="Arial" w:eastAsia="Arial" w:hAnsi="Arial"/>
          <w:sz w:val="25"/>
          <w:szCs w:val="25"/>
          <w:color w:val="auto"/>
          <w:vertAlign w:val="superscript"/>
        </w:rPr>
      </w:pPr>
      <w:r>
        <w:rPr>
          <w:rFonts w:ascii="Arial" w:cs="Arial" w:eastAsia="Arial" w:hAnsi="Arial"/>
          <w:sz w:val="17"/>
          <w:szCs w:val="17"/>
          <w:color w:val="auto"/>
        </w:rPr>
        <w:t>See section entitled “Charges &amp; Credits” for details.</w:t>
      </w:r>
    </w:p>
    <w:p>
      <w:pPr>
        <w:spacing w:after="0" w:line="1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4"/>
          </w:cols>
          <w:pgMar w:left="436" w:top="481" w:right="439" w:bottom="1440" w:gutter="0" w:footer="0" w:header="0"/>
        </w:sectPr>
      </w:pPr>
    </w:p>
    <w:bookmarkStart w:id="18" w:name="page19"/>
    <w:bookmarkEnd w:id="1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Supplementary Information</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Frequently Asked Questions</w:t>
      </w:r>
    </w:p>
    <w:p>
      <w:pPr>
        <w:spacing w:after="0" w:line="95" w:lineRule="exact"/>
        <w:rPr>
          <w:sz w:val="20"/>
          <w:szCs w:val="20"/>
          <w:color w:val="auto"/>
        </w:rPr>
      </w:pPr>
    </w:p>
    <w:p>
      <w:pPr>
        <w:ind w:left="444" w:hanging="444"/>
        <w:spacing w:after="0"/>
        <w:tabs>
          <w:tab w:leader="none" w:pos="44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capital investment guidance for the full-year 2023?</w:t>
      </w:r>
    </w:p>
    <w:p>
      <w:pPr>
        <w:spacing w:after="0" w:line="113" w:lineRule="exact"/>
        <w:rPr>
          <w:rFonts w:ascii="Arial" w:cs="Arial" w:eastAsia="Arial" w:hAnsi="Arial"/>
          <w:sz w:val="18"/>
          <w:szCs w:val="18"/>
          <w:b w:val="1"/>
          <w:bCs w:val="1"/>
          <w:color w:val="auto"/>
        </w:rPr>
      </w:pPr>
    </w:p>
    <w:p>
      <w:pPr>
        <w:ind w:left="444" w:right="56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Capital investment (composed of capex, exploration data costs, and APS investments) for the full-year 2023 is expected to be approximately $2.50 to $2.60 billion. Capital investment for the full-year 2022 was $2.30 billion.</w:t>
      </w:r>
    </w:p>
    <w:p>
      <w:pPr>
        <w:spacing w:after="0" w:line="68" w:lineRule="exact"/>
        <w:rPr>
          <w:rFonts w:ascii="Arial" w:cs="Arial" w:eastAsia="Arial" w:hAnsi="Arial"/>
          <w:sz w:val="18"/>
          <w:szCs w:val="18"/>
          <w:b w:val="1"/>
          <w:bCs w:val="1"/>
          <w:color w:val="auto"/>
        </w:rPr>
      </w:pPr>
    </w:p>
    <w:p>
      <w:pPr>
        <w:ind w:left="444" w:hanging="444"/>
        <w:spacing w:after="0"/>
        <w:tabs>
          <w:tab w:leader="none" w:pos="44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cash flow from operations and free cash flow for the second quarter of 2023?</w:t>
      </w:r>
    </w:p>
    <w:p>
      <w:pPr>
        <w:spacing w:after="0" w:line="11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Cash flow from operations for the second quarter of 2023 was $1.61 billion, and free cash flow was $986 million.</w:t>
      </w:r>
    </w:p>
    <w:p>
      <w:pPr>
        <w:spacing w:after="0" w:line="107" w:lineRule="exact"/>
        <w:rPr>
          <w:rFonts w:ascii="Arial" w:cs="Arial" w:eastAsia="Arial" w:hAnsi="Arial"/>
          <w:sz w:val="18"/>
          <w:szCs w:val="18"/>
          <w:b w:val="1"/>
          <w:bCs w:val="1"/>
          <w:color w:val="auto"/>
        </w:rPr>
      </w:pPr>
    </w:p>
    <w:p>
      <w:pPr>
        <w:ind w:left="444" w:hanging="444"/>
        <w:spacing w:after="0"/>
        <w:tabs>
          <w:tab w:leader="none" w:pos="44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&amp; other income” for the second quarter of 2023?</w:t>
      </w:r>
    </w:p>
    <w:p>
      <w:pPr>
        <w:spacing w:after="0" w:line="113" w:lineRule="exact"/>
        <w:rPr>
          <w:rFonts w:ascii="Arial" w:cs="Arial" w:eastAsia="Arial" w:hAnsi="Arial"/>
          <w:sz w:val="18"/>
          <w:szCs w:val="18"/>
          <w:b w:val="1"/>
          <w:bCs w:val="1"/>
          <w:color w:val="auto"/>
        </w:rPr>
      </w:pPr>
    </w:p>
    <w:p>
      <w:pPr>
        <w:ind w:left="444" w:right="64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“Interest &amp; other income” for the second quarter of 2023 was $82 million. This consisted of interest income of $19 million and earnings of equity method investments of $63 million.</w:t>
      </w:r>
    </w:p>
    <w:p>
      <w:pPr>
        <w:spacing w:after="0" w:line="68" w:lineRule="exact"/>
        <w:rPr>
          <w:rFonts w:ascii="Arial" w:cs="Arial" w:eastAsia="Arial" w:hAnsi="Arial"/>
          <w:sz w:val="18"/>
          <w:szCs w:val="18"/>
          <w:b w:val="1"/>
          <w:bCs w:val="1"/>
          <w:color w:val="auto"/>
        </w:rPr>
      </w:pPr>
    </w:p>
    <w:p>
      <w:pPr>
        <w:ind w:left="444" w:hanging="444"/>
        <w:spacing w:after="0"/>
        <w:tabs>
          <w:tab w:leader="none" w:pos="44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second quarter of 2023?</w:t>
      </w:r>
    </w:p>
    <w:p>
      <w:pPr>
        <w:spacing w:after="0" w:line="113" w:lineRule="exact"/>
        <w:rPr>
          <w:rFonts w:ascii="Arial" w:cs="Arial" w:eastAsia="Arial" w:hAnsi="Arial"/>
          <w:sz w:val="18"/>
          <w:szCs w:val="18"/>
          <w:b w:val="1"/>
          <w:bCs w:val="1"/>
          <w:color w:val="auto"/>
        </w:rPr>
      </w:pPr>
    </w:p>
    <w:p>
      <w:pPr>
        <w:ind w:left="444" w:right="48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Interest income of $19 million for the second quarter of 2023 increased $2 million sequentially. Interest expense of $127 million increased $10 million sequentially.</w:t>
      </w:r>
    </w:p>
    <w:p>
      <w:pPr>
        <w:spacing w:after="0" w:line="68" w:lineRule="exact"/>
        <w:rPr>
          <w:rFonts w:ascii="Arial" w:cs="Arial" w:eastAsia="Arial" w:hAnsi="Arial"/>
          <w:sz w:val="18"/>
          <w:szCs w:val="18"/>
          <w:b w:val="1"/>
          <w:bCs w:val="1"/>
          <w:color w:val="auto"/>
        </w:rPr>
      </w:pPr>
    </w:p>
    <w:p>
      <w:pPr>
        <w:ind w:left="444" w:hanging="444"/>
        <w:spacing w:after="0"/>
        <w:tabs>
          <w:tab w:leader="none" w:pos="44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SLB’s consolidated income before taxes and pretax segment operating income?</w:t>
      </w:r>
    </w:p>
    <w:p>
      <w:pPr>
        <w:spacing w:after="0" w:line="113" w:lineRule="exact"/>
        <w:rPr>
          <w:rFonts w:ascii="Arial" w:cs="Arial" w:eastAsia="Arial" w:hAnsi="Arial"/>
          <w:sz w:val="18"/>
          <w:szCs w:val="18"/>
          <w:b w:val="1"/>
          <w:bCs w:val="1"/>
          <w:color w:val="auto"/>
        </w:rPr>
      </w:pPr>
    </w:p>
    <w:p>
      <w:pPr>
        <w:ind w:left="444" w:right="30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The difference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79" w:lineRule="exact"/>
        <w:rPr>
          <w:rFonts w:ascii="Arial" w:cs="Arial" w:eastAsia="Arial" w:hAnsi="Arial"/>
          <w:sz w:val="18"/>
          <w:szCs w:val="18"/>
          <w:b w:val="1"/>
          <w:bCs w:val="1"/>
          <w:color w:val="auto"/>
        </w:rPr>
      </w:pPr>
    </w:p>
    <w:p>
      <w:pPr>
        <w:ind w:left="444" w:hanging="444"/>
        <w:spacing w:after="0"/>
        <w:tabs>
          <w:tab w:leader="none" w:pos="44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second quarter of 2023?</w:t>
      </w:r>
    </w:p>
    <w:p>
      <w:pPr>
        <w:spacing w:after="0" w:line="113" w:lineRule="exact"/>
        <w:rPr>
          <w:rFonts w:ascii="Arial" w:cs="Arial" w:eastAsia="Arial" w:hAnsi="Arial"/>
          <w:sz w:val="18"/>
          <w:szCs w:val="18"/>
          <w:b w:val="1"/>
          <w:bCs w:val="1"/>
          <w:color w:val="auto"/>
        </w:rPr>
      </w:pPr>
    </w:p>
    <w:p>
      <w:pPr>
        <w:jc w:val="both"/>
        <w:ind w:left="444"/>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The ETR for the second quarter of 2023, calculated in accordance with GAAP, was 19.0% as compared to 18.7% for the first quarter of 2023. Excluding charges and credits, the ETR for the first quarter of 2023 was 18.6%. There were no charges or credits during the second quarter of 2023.</w:t>
      </w:r>
    </w:p>
    <w:p>
      <w:pPr>
        <w:spacing w:after="0" w:line="79" w:lineRule="exact"/>
        <w:rPr>
          <w:rFonts w:ascii="Arial" w:cs="Arial" w:eastAsia="Arial" w:hAnsi="Arial"/>
          <w:sz w:val="18"/>
          <w:szCs w:val="18"/>
          <w:b w:val="1"/>
          <w:bCs w:val="1"/>
          <w:color w:val="auto"/>
        </w:rPr>
      </w:pPr>
    </w:p>
    <w:p>
      <w:pPr>
        <w:ind w:left="444" w:right="360" w:hanging="444"/>
        <w:spacing w:after="0" w:line="285" w:lineRule="auto"/>
        <w:tabs>
          <w:tab w:leader="none" w:pos="44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of common stock were outstanding as of June 30, 2023, and how did this change from the end of the previous quarter?</w:t>
      </w:r>
    </w:p>
    <w:p>
      <w:pPr>
        <w:spacing w:after="0" w:line="31" w:lineRule="exact"/>
        <w:rPr>
          <w:rFonts w:ascii="Arial" w:cs="Arial" w:eastAsia="Arial" w:hAnsi="Arial"/>
          <w:sz w:val="18"/>
          <w:szCs w:val="18"/>
          <w:b w:val="1"/>
          <w:bCs w:val="1"/>
          <w:color w:val="auto"/>
        </w:rPr>
      </w:pPr>
    </w:p>
    <w:p>
      <w:pPr>
        <w:ind w:left="444" w:right="60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There were 1.421 billion shares of common stock outstanding as of June 30, 2023, and 1.425 billion shares outstanding as of March 31, 2023.</w:t>
      </w:r>
    </w:p>
    <w:p>
      <w:pPr>
        <w:spacing w:after="0" w:line="207" w:lineRule="exact"/>
        <w:rPr>
          <w:sz w:val="20"/>
          <w:szCs w:val="20"/>
          <w:color w:val="auto"/>
        </w:rPr>
      </w:pPr>
    </w:p>
    <w:tbl>
      <w:tblPr>
        <w:tblLayout w:type="fixed"/>
        <w:tblInd w:w="1764"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320" w:type="dxa"/>
            <w:vAlign w:val="bottom"/>
            <w:gridSpan w:val="4"/>
          </w:tcPr>
          <w:p>
            <w:pPr>
              <w:jc w:val="right"/>
              <w:ind w:right="100"/>
              <w:spacing w:after="0"/>
              <w:rPr>
                <w:sz w:val="20"/>
                <w:szCs w:val="20"/>
                <w:color w:val="auto"/>
              </w:rPr>
            </w:pPr>
            <w:r>
              <w:rPr>
                <w:rFonts w:ascii="Arial" w:cs="Arial" w:eastAsia="Arial" w:hAnsi="Arial"/>
                <w:sz w:val="14"/>
                <w:szCs w:val="14"/>
                <w:color w:val="auto"/>
              </w:rPr>
              <w:t>(Stated in millions)</w:t>
            </w: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outstanding at March 31, 2023</w:t>
            </w:r>
          </w:p>
        </w:tc>
        <w:tc>
          <w:tcPr>
            <w:tcW w:w="22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1,425</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Shares issued to optionees, less shares exchanged</w:t>
            </w:r>
          </w:p>
        </w:tc>
        <w:tc>
          <w:tcPr>
            <w:tcW w:w="1720" w:type="dxa"/>
            <w:vAlign w:val="bottom"/>
          </w:tcPr>
          <w:p>
            <w:pPr>
              <w:spacing w:after="0"/>
              <w:rPr>
                <w:sz w:val="17"/>
                <w:szCs w:val="17"/>
                <w:color w:val="auto"/>
              </w:rPr>
            </w:pPr>
          </w:p>
        </w:tc>
        <w:tc>
          <w:tcPr>
            <w:tcW w:w="6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Vesting of restricted stock</w:t>
            </w:r>
          </w:p>
        </w:tc>
        <w:tc>
          <w:tcPr>
            <w:tcW w:w="17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Stock repurchase program</w:t>
            </w:r>
          </w:p>
        </w:tc>
        <w:tc>
          <w:tcPr>
            <w:tcW w:w="23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(4)</w:t>
            </w: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outstanding at June 30, 2023</w:t>
            </w:r>
          </w:p>
        </w:tc>
        <w:tc>
          <w:tcPr>
            <w:tcW w:w="2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1,421</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2" w:lineRule="exact"/>
        <w:rPr>
          <w:sz w:val="20"/>
          <w:szCs w:val="20"/>
          <w:color w:val="auto"/>
        </w:rPr>
      </w:pPr>
    </w:p>
    <w:p>
      <w:pPr>
        <w:jc w:val="both"/>
        <w:ind w:left="444" w:right="40" w:hanging="444"/>
        <w:spacing w:after="0" w:line="260" w:lineRule="auto"/>
        <w:tabs>
          <w:tab w:leader="none" w:pos="44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weighted average number of shares outstanding during the second quarter of 2023 and first quarter of 2023? How does this reconcile to the average number of shares outstanding, assuming dilution, used in the calculation of diluted earnings per share?</w:t>
      </w:r>
    </w:p>
    <w:p>
      <w:pPr>
        <w:spacing w:after="0" w:line="52" w:lineRule="exact"/>
        <w:rPr>
          <w:rFonts w:ascii="Arial" w:cs="Arial" w:eastAsia="Arial" w:hAnsi="Arial"/>
          <w:sz w:val="18"/>
          <w:szCs w:val="18"/>
          <w:b w:val="1"/>
          <w:bCs w:val="1"/>
          <w:color w:val="auto"/>
        </w:rPr>
      </w:pPr>
    </w:p>
    <w:p>
      <w:pPr>
        <w:ind w:left="444"/>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1.423 billion during the second quarter of 2023 and 1.426 billion during the first quarter of 2023. The following is a reconciliation of the weighted average shares outstanding to the average number of shares outstanding, assuming dilution, used in the calculation of diluted earnings per share.</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4"/>
          </w:cols>
          <w:pgMar w:left="436" w:top="481" w:right="479" w:bottom="1440" w:gutter="0" w:footer="0" w:header="0"/>
        </w:sectPr>
      </w:pPr>
    </w:p>
    <w:bookmarkStart w:id="19" w:name="page20"/>
    <w:bookmarkEnd w:id="19"/>
    <w:tbl>
      <w:tblPr>
        <w:tblLayout w:type="fixed"/>
        <w:tblInd w:w="1324"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2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Second Quarter</w:t>
            </w:r>
          </w:p>
        </w:tc>
        <w:tc>
          <w:tcPr>
            <w:tcW w:w="1540" w:type="dxa"/>
            <w:vAlign w:val="bottom"/>
            <w:gridSpan w:val="3"/>
          </w:tcPr>
          <w:p>
            <w:pPr>
              <w:jc w:val="right"/>
              <w:ind w:right="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54"/>
        </w:trPr>
        <w:tc>
          <w:tcPr>
            <w:tcW w:w="4720" w:type="dxa"/>
            <w:vAlign w:val="bottom"/>
          </w:tcPr>
          <w:p>
            <w:pPr>
              <w:spacing w:after="0"/>
              <w:rPr>
                <w:sz w:val="13"/>
                <w:szCs w:val="13"/>
                <w:color w:val="auto"/>
              </w:rPr>
            </w:pPr>
          </w:p>
        </w:tc>
        <w:tc>
          <w:tcPr>
            <w:tcW w:w="2100" w:type="dxa"/>
            <w:vAlign w:val="bottom"/>
            <w:gridSpan w:val="2"/>
            <w:vMerge w:val="continue"/>
          </w:tcPr>
          <w:p>
            <w:pPr>
              <w:spacing w:after="0"/>
              <w:rPr>
                <w:sz w:val="13"/>
                <w:szCs w:val="13"/>
                <w:color w:val="auto"/>
              </w:rPr>
            </w:pPr>
          </w:p>
        </w:tc>
        <w:tc>
          <w:tcPr>
            <w:tcW w:w="1540" w:type="dxa"/>
            <w:vAlign w:val="bottom"/>
            <w:gridSpan w:val="3"/>
          </w:tcPr>
          <w:p>
            <w:pPr>
              <w:jc w:val="right"/>
              <w:ind w:right="40"/>
              <w:spacing w:after="0" w:line="154" w:lineRule="exact"/>
              <w:rPr>
                <w:sz w:val="20"/>
                <w:szCs w:val="20"/>
                <w:color w:val="auto"/>
              </w:rPr>
            </w:pPr>
            <w:r>
              <w:rPr>
                <w:rFonts w:ascii="Arial" w:cs="Arial" w:eastAsia="Arial" w:hAnsi="Arial"/>
                <w:sz w:val="14"/>
                <w:szCs w:val="14"/>
                <w:color w:val="auto"/>
              </w:rPr>
              <w:t>First Quarter</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2023</w:t>
            </w:r>
          </w:p>
        </w:tc>
        <w:tc>
          <w:tcPr>
            <w:tcW w:w="700" w:type="dxa"/>
            <w:vAlign w:val="bottom"/>
          </w:tcPr>
          <w:p>
            <w:pPr>
              <w:spacing w:after="0"/>
              <w:rPr>
                <w:sz w:val="15"/>
                <w:szCs w:val="15"/>
                <w:color w:val="auto"/>
              </w:rPr>
            </w:pP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2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1,423</w:t>
            </w:r>
          </w:p>
        </w:tc>
        <w:tc>
          <w:tcPr>
            <w:tcW w:w="1540" w:type="dxa"/>
            <w:vAlign w:val="bottom"/>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Unvested restricted stock</w:t>
            </w:r>
          </w:p>
        </w:tc>
        <w:tc>
          <w:tcPr>
            <w:tcW w:w="21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17</w:t>
            </w:r>
          </w:p>
        </w:tc>
        <w:tc>
          <w:tcPr>
            <w:tcW w:w="15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 exercise of stock options</w:t>
            </w:r>
          </w:p>
        </w:tc>
        <w:tc>
          <w:tcPr>
            <w:tcW w:w="102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7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10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1,442</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ind w:left="444" w:hanging="444"/>
        <w:spacing w:after="0"/>
        <w:tabs>
          <w:tab w:leader="none" w:pos="44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SLB’s adjusted EBITDA in the second quarter of 2023, the first quarter of 2023, and the second quarter of 2022?</w:t>
      </w:r>
    </w:p>
    <w:p>
      <w:pPr>
        <w:spacing w:after="0" w:line="113" w:lineRule="exact"/>
        <w:rPr>
          <w:rFonts w:ascii="Arial" w:cs="Arial" w:eastAsia="Arial" w:hAnsi="Arial"/>
          <w:sz w:val="18"/>
          <w:szCs w:val="18"/>
          <w:b w:val="1"/>
          <w:bCs w:val="1"/>
          <w:color w:val="auto"/>
        </w:rPr>
      </w:pPr>
    </w:p>
    <w:p>
      <w:pPr>
        <w:ind w:left="444" w:right="12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SLB’s adjusted EBITDA was $1.96 billion in the second quarter of 2023, $1.79 billion in the first quarter of 2023, and $1.53 billion in the second quarter of 2022, and was calculated as follows:</w:t>
      </w:r>
    </w:p>
    <w:p>
      <w:pPr>
        <w:spacing w:after="0" w:line="199" w:lineRule="exact"/>
        <w:rPr>
          <w:sz w:val="20"/>
          <w:szCs w:val="20"/>
          <w:color w:val="auto"/>
        </w:rPr>
      </w:pPr>
    </w:p>
    <w:tbl>
      <w:tblPr>
        <w:tblLayout w:type="fixed"/>
        <w:tblInd w:w="884" w:type="dxa"/>
        <w:tblCellMar>
          <w:top w:w="0" w:type="dxa"/>
          <w:left w:w="0" w:type="dxa"/>
          <w:bottom w:w="0" w:type="dxa"/>
          <w:right w:w="0" w:type="dxa"/>
        </w:tblCellMar>
      </w:tblPr>
      <w:tr>
        <w:trPr>
          <w:trHeight w:val="170"/>
        </w:trPr>
        <w:tc>
          <w:tcPr>
            <w:tcW w:w="4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4"/>
          </w:tcPr>
          <w:p>
            <w:pPr>
              <w:ind w:left="100"/>
              <w:spacing w:after="0"/>
              <w:rPr>
                <w:sz w:val="20"/>
                <w:szCs w:val="20"/>
                <w:color w:val="auto"/>
              </w:rPr>
            </w:pPr>
            <w:r>
              <w:rPr>
                <w:rFonts w:ascii="Arial" w:cs="Arial" w:eastAsia="Arial" w:hAnsi="Arial"/>
                <w:sz w:val="14"/>
                <w:szCs w:val="14"/>
                <w:color w:val="auto"/>
              </w:rPr>
              <w:t>(Stated in mi</w:t>
            </w:r>
            <w:r>
              <w:rPr>
                <w:rFonts w:ascii="Arial" w:cs="Arial" w:eastAsia="Arial" w:hAnsi="Arial"/>
                <w:sz w:val="14"/>
                <w:szCs w:val="14"/>
                <w:b w:val="1"/>
                <w:bCs w:val="1"/>
                <w:color w:val="auto"/>
              </w:rPr>
              <w:t>ll</w:t>
            </w:r>
            <w:r>
              <w:rPr>
                <w:rFonts w:ascii="Arial" w:cs="Arial" w:eastAsia="Arial" w:hAnsi="Arial"/>
                <w:sz w:val="14"/>
                <w:szCs w:val="14"/>
                <w:color w:val="auto"/>
              </w:rPr>
              <w:t>ions)</w:t>
            </w:r>
          </w:p>
        </w:tc>
        <w:tc>
          <w:tcPr>
            <w:tcW w:w="0" w:type="dxa"/>
            <w:vAlign w:val="bottom"/>
          </w:tcPr>
          <w:p>
            <w:pPr>
              <w:spacing w:after="0"/>
              <w:rPr>
                <w:sz w:val="1"/>
                <w:szCs w:val="1"/>
                <w:color w:val="auto"/>
              </w:rPr>
            </w:pPr>
          </w:p>
        </w:tc>
      </w:tr>
      <w:tr>
        <w:trPr>
          <w:trHeight w:val="154"/>
        </w:trPr>
        <w:tc>
          <w:tcPr>
            <w:tcW w:w="4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460"/>
              <w:spacing w:after="0" w:line="154" w:lineRule="exact"/>
              <w:rPr>
                <w:sz w:val="20"/>
                <w:szCs w:val="20"/>
                <w:color w:val="auto"/>
              </w:rPr>
            </w:pPr>
            <w:r>
              <w:rPr>
                <w:rFonts w:ascii="Arial" w:cs="Arial" w:eastAsia="Arial" w:hAnsi="Arial"/>
                <w:sz w:val="14"/>
                <w:szCs w:val="14"/>
                <w:color w:val="auto"/>
              </w:rPr>
              <w:t>First</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300"/>
              <w:spacing w:after="0" w:line="154" w:lineRule="exact"/>
              <w:rPr>
                <w:sz w:val="20"/>
                <w:szCs w:val="20"/>
                <w:color w:val="auto"/>
              </w:rPr>
            </w:pPr>
            <w:r>
              <w:rPr>
                <w:rFonts w:ascii="Arial" w:cs="Arial" w:eastAsia="Arial" w:hAnsi="Arial"/>
                <w:sz w:val="14"/>
                <w:szCs w:val="14"/>
                <w:color w:val="auto"/>
              </w:rPr>
              <w:t>Second</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2200" w:type="dxa"/>
            <w:vAlign w:val="bottom"/>
            <w:gridSpan w:val="4"/>
          </w:tcPr>
          <w:p>
            <w:pPr>
              <w:jc w:val="center"/>
              <w:spacing w:after="0"/>
              <w:rPr>
                <w:sz w:val="20"/>
                <w:szCs w:val="20"/>
                <w:color w:val="auto"/>
              </w:rPr>
            </w:pPr>
            <w:r>
              <w:rPr>
                <w:rFonts w:ascii="Arial" w:cs="Arial" w:eastAsia="Arial" w:hAnsi="Arial"/>
                <w:sz w:val="14"/>
                <w:szCs w:val="14"/>
                <w:b w:val="1"/>
                <w:bCs w:val="1"/>
                <w:color w:val="auto"/>
              </w:rPr>
              <w:t>Quarter 2023</w:t>
            </w:r>
          </w:p>
        </w:tc>
        <w:tc>
          <w:tcPr>
            <w:tcW w:w="1020" w:type="dxa"/>
            <w:vAlign w:val="bottom"/>
            <w:gridSpan w:val="3"/>
          </w:tcPr>
          <w:p>
            <w:pPr>
              <w:spacing w:after="0"/>
              <w:rPr>
                <w:sz w:val="20"/>
                <w:szCs w:val="20"/>
                <w:color w:val="auto"/>
              </w:rPr>
            </w:pPr>
            <w:r>
              <w:rPr>
                <w:rFonts w:ascii="Arial" w:cs="Arial" w:eastAsia="Arial" w:hAnsi="Arial"/>
                <w:sz w:val="14"/>
                <w:szCs w:val="14"/>
                <w:color w:val="auto"/>
              </w:rPr>
              <w:t>Quarter 2023</w:t>
            </w:r>
          </w:p>
        </w:tc>
        <w:tc>
          <w:tcPr>
            <w:tcW w:w="1420" w:type="dxa"/>
            <w:vAlign w:val="bottom"/>
            <w:gridSpan w:val="4"/>
          </w:tcPr>
          <w:p>
            <w:pPr>
              <w:ind w:left="460"/>
              <w:spacing w:after="0"/>
              <w:rPr>
                <w:sz w:val="20"/>
                <w:szCs w:val="20"/>
                <w:color w:val="auto"/>
              </w:rPr>
            </w:pPr>
            <w:r>
              <w:rPr>
                <w:rFonts w:ascii="Arial" w:cs="Arial" w:eastAsia="Arial" w:hAnsi="Arial"/>
                <w:sz w:val="14"/>
                <w:szCs w:val="14"/>
                <w:color w:val="auto"/>
              </w:rPr>
              <w:t>Quarter 2022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w:t>
            </w:r>
          </w:p>
        </w:tc>
        <w:tc>
          <w:tcPr>
            <w:tcW w:w="8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1,033</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934</w:t>
            </w:r>
          </w:p>
        </w:tc>
        <w:tc>
          <w:tcPr>
            <w:tcW w:w="600" w:type="dxa"/>
            <w:vAlign w:val="bottom"/>
            <w:gridSpan w:val="2"/>
            <w:shd w:val="clear" w:color="auto" w:fill="CCEEFF"/>
          </w:tcPr>
          <w:p>
            <w:pPr>
              <w:ind w:left="46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expense</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246</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217</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Income before taxes</w:t>
            </w:r>
          </w:p>
        </w:tc>
        <w:tc>
          <w:tcPr>
            <w:tcW w:w="7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1,293</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1,161</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Charges &amp; credits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561</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563</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127</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117</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480"/>
              <w:spacing w:after="0" w:line="202" w:lineRule="exact"/>
              <w:rPr>
                <w:sz w:val="20"/>
                <w:szCs w:val="20"/>
                <w:color w:val="auto"/>
              </w:rPr>
            </w:pPr>
            <w:r>
              <w:rPr>
                <w:rFonts w:ascii="Arial" w:cs="Arial" w:eastAsia="Arial" w:hAnsi="Arial"/>
                <w:sz w:val="18"/>
                <w:szCs w:val="18"/>
                <w:b w:val="1"/>
                <w:bCs w:val="1"/>
                <w:color w:val="auto"/>
              </w:rPr>
              <w:t>(19)</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7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1,962</w:t>
            </w:r>
          </w:p>
        </w:tc>
        <w:tc>
          <w:tcPr>
            <w:tcW w:w="6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1,788</w:t>
            </w:r>
          </w:p>
        </w:tc>
        <w:tc>
          <w:tcPr>
            <w:tcW w:w="60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1,530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444"/>
        <w:spacing w:after="0" w:line="239" w:lineRule="auto"/>
        <w:rPr>
          <w:sz w:val="20"/>
          <w:szCs w:val="20"/>
          <w:color w:val="auto"/>
        </w:rPr>
      </w:pPr>
      <w:r>
        <w:rPr>
          <w:rFonts w:ascii="Arial" w:cs="Arial" w:eastAsia="Arial" w:hAnsi="Arial"/>
          <w:sz w:val="18"/>
          <w:szCs w:val="18"/>
          <w:color w:val="auto"/>
        </w:rPr>
        <w:t>Adjusted EBITDA represents income before taxes, excluding charges &amp; credits, depreciation and amortization, interest expense, and interest income. Management believes that adjusted EBITDA is an important profitability measure for SLB and that it allows investors and management to more efficiently evaluate SLB’s operations period over period and to identify operating trends that could otherwise be masked. Adjusted EBITDA is also used by management as a performance measure in determining certain incentive compensation. Adjusted EBITDA should be considered in addition to, not as a substitute for or superior to, other measures of financial performance prepared in accordance with GAAP.</w:t>
      </w:r>
    </w:p>
    <w:p>
      <w:pPr>
        <w:spacing w:after="0" w:line="90" w:lineRule="exact"/>
        <w:rPr>
          <w:sz w:val="20"/>
          <w:szCs w:val="20"/>
          <w:color w:val="auto"/>
        </w:rPr>
      </w:pPr>
    </w:p>
    <w:p>
      <w:pPr>
        <w:ind w:left="444" w:right="320" w:hanging="444"/>
        <w:spacing w:after="0" w:line="285" w:lineRule="auto"/>
        <w:tabs>
          <w:tab w:leader="none" w:pos="44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components of depreciation and amortization expense for the second quarter of 2023, the first quarter of 2023, and the second quarter of 2022?</w:t>
      </w:r>
    </w:p>
    <w:p>
      <w:pPr>
        <w:spacing w:after="0" w:line="31" w:lineRule="exact"/>
        <w:rPr>
          <w:rFonts w:ascii="Arial" w:cs="Arial" w:eastAsia="Arial" w:hAnsi="Arial"/>
          <w:sz w:val="18"/>
          <w:szCs w:val="18"/>
          <w:b w:val="1"/>
          <w:bCs w:val="1"/>
          <w:color w:val="auto"/>
        </w:rPr>
      </w:pPr>
    </w:p>
    <w:p>
      <w:pPr>
        <w:ind w:left="444" w:right="12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 components of depreciation and amortization expense for the second quarter of 2023, the first quarter of 2023, and the second quarter of 2022 were as follows:</w:t>
      </w:r>
    </w:p>
    <w:p>
      <w:pPr>
        <w:spacing w:after="0" w:line="10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499" w:right="479" w:bottom="1440" w:gutter="0" w:footer="0" w:header="0"/>
        </w:sectPr>
      </w:pPr>
    </w:p>
    <w:bookmarkStart w:id="20" w:name="page21"/>
    <w:bookmarkEnd w:id="20"/>
    <w:tbl>
      <w:tblPr>
        <w:tblLayout w:type="fixed"/>
        <w:tblInd w:w="4" w:type="dxa"/>
        <w:tblCellMar>
          <w:top w:w="0" w:type="dxa"/>
          <w:left w:w="0" w:type="dxa"/>
          <w:bottom w:w="0" w:type="dxa"/>
          <w:right w:w="0" w:type="dxa"/>
        </w:tblCellMar>
      </w:tblPr>
      <w:tr>
        <w:trPr>
          <w:trHeight w:val="170"/>
        </w:trPr>
        <w:tc>
          <w:tcPr>
            <w:tcW w:w="6740" w:type="dxa"/>
            <w:vAlign w:val="bottom"/>
          </w:tcPr>
          <w:p>
            <w:pPr>
              <w:spacing w:after="0"/>
              <w:rPr>
                <w:sz w:val="14"/>
                <w:szCs w:val="14"/>
                <w:color w:val="auto"/>
              </w:rPr>
            </w:pPr>
          </w:p>
        </w:tc>
        <w:tc>
          <w:tcPr>
            <w:tcW w:w="1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Second Quarter</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4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w:t>
            </w:r>
            <w:r>
              <w:rPr>
                <w:rFonts w:ascii="Arial" w:cs="Arial" w:eastAsia="Arial" w:hAnsi="Arial"/>
                <w:sz w:val="14"/>
                <w:szCs w:val="14"/>
                <w:b w:val="1"/>
                <w:bCs w:val="1"/>
                <w:color w:val="auto"/>
              </w:rPr>
              <w:t>l</w:t>
            </w:r>
            <w:r>
              <w:rPr>
                <w:rFonts w:ascii="Arial" w:cs="Arial" w:eastAsia="Arial" w:hAnsi="Arial"/>
                <w:sz w:val="14"/>
                <w:szCs w:val="14"/>
                <w:color w:val="auto"/>
              </w:rPr>
              <w:t>lions)</w:t>
            </w:r>
          </w:p>
        </w:tc>
        <w:tc>
          <w:tcPr>
            <w:tcW w:w="0" w:type="dxa"/>
            <w:vAlign w:val="bottom"/>
          </w:tcPr>
          <w:p>
            <w:pPr>
              <w:spacing w:after="0"/>
              <w:rPr>
                <w:sz w:val="1"/>
                <w:szCs w:val="1"/>
                <w:color w:val="auto"/>
              </w:rPr>
            </w:pPr>
          </w:p>
        </w:tc>
      </w:tr>
      <w:tr>
        <w:trPr>
          <w:trHeight w:val="154"/>
        </w:trPr>
        <w:tc>
          <w:tcPr>
            <w:tcW w:w="6740" w:type="dxa"/>
            <w:vAlign w:val="bottom"/>
          </w:tcPr>
          <w:p>
            <w:pPr>
              <w:spacing w:after="0"/>
              <w:rPr>
                <w:sz w:val="13"/>
                <w:szCs w:val="13"/>
                <w:color w:val="auto"/>
              </w:rPr>
            </w:pPr>
          </w:p>
        </w:tc>
        <w:tc>
          <w:tcPr>
            <w:tcW w:w="1740" w:type="dxa"/>
            <w:vAlign w:val="bottom"/>
            <w:gridSpan w:val="3"/>
            <w:vMerge w:val="continue"/>
          </w:tcPr>
          <w:p>
            <w:pPr>
              <w:spacing w:after="0"/>
              <w:rPr>
                <w:sz w:val="13"/>
                <w:szCs w:val="13"/>
                <w:color w:val="auto"/>
              </w:rPr>
            </w:pPr>
          </w:p>
        </w:tc>
        <w:tc>
          <w:tcPr>
            <w:tcW w:w="800" w:type="dxa"/>
            <w:vAlign w:val="bottom"/>
            <w:gridSpan w:val="2"/>
          </w:tcPr>
          <w:p>
            <w:pPr>
              <w:spacing w:after="0" w:line="154" w:lineRule="exact"/>
              <w:rPr>
                <w:sz w:val="20"/>
                <w:szCs w:val="20"/>
                <w:color w:val="auto"/>
              </w:rPr>
            </w:pPr>
            <w:r>
              <w:rPr>
                <w:rFonts w:ascii="Arial" w:cs="Arial" w:eastAsia="Arial" w:hAnsi="Arial"/>
                <w:sz w:val="14"/>
                <w:szCs w:val="14"/>
                <w:color w:val="auto"/>
                <w:w w:val="99"/>
              </w:rPr>
              <w:t>First Quarter</w:t>
            </w:r>
          </w:p>
        </w:tc>
        <w:tc>
          <w:tcPr>
            <w:tcW w:w="660" w:type="dxa"/>
            <w:vAlign w:val="bottom"/>
          </w:tcPr>
          <w:p>
            <w:pPr>
              <w:spacing w:after="0"/>
              <w:rPr>
                <w:sz w:val="13"/>
                <w:szCs w:val="13"/>
                <w:color w:val="auto"/>
              </w:rPr>
            </w:pPr>
          </w:p>
        </w:tc>
        <w:tc>
          <w:tcPr>
            <w:tcW w:w="1080" w:type="dxa"/>
            <w:vAlign w:val="bottom"/>
            <w:gridSpan w:val="3"/>
          </w:tcPr>
          <w:p>
            <w:pPr>
              <w:spacing w:after="0" w:line="154" w:lineRule="exact"/>
              <w:rPr>
                <w:sz w:val="20"/>
                <w:szCs w:val="20"/>
                <w:color w:val="auto"/>
              </w:rPr>
            </w:pPr>
            <w:r>
              <w:rPr>
                <w:rFonts w:ascii="Arial" w:cs="Arial" w:eastAsia="Arial" w:hAnsi="Arial"/>
                <w:sz w:val="14"/>
                <w:szCs w:val="14"/>
                <w:color w:val="auto"/>
              </w:rPr>
              <w:t>Second Quarter</w:t>
            </w:r>
          </w:p>
        </w:tc>
        <w:tc>
          <w:tcPr>
            <w:tcW w:w="0" w:type="dxa"/>
            <w:vAlign w:val="bottom"/>
          </w:tcPr>
          <w:p>
            <w:pPr>
              <w:spacing w:after="0"/>
              <w:rPr>
                <w:sz w:val="1"/>
                <w:szCs w:val="1"/>
                <w:color w:val="auto"/>
              </w:rPr>
            </w:pPr>
          </w:p>
        </w:tc>
      </w:tr>
      <w:tr>
        <w:trPr>
          <w:trHeight w:val="175"/>
        </w:trPr>
        <w:tc>
          <w:tcPr>
            <w:tcW w:w="6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2023</w:t>
            </w:r>
          </w:p>
        </w:tc>
        <w:tc>
          <w:tcPr>
            <w:tcW w:w="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Depreciation of fixed assets</w:t>
            </w: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353</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347</w:t>
            </w:r>
          </w:p>
        </w:tc>
        <w:tc>
          <w:tcPr>
            <w:tcW w:w="900" w:type="dxa"/>
            <w:vAlign w:val="bottom"/>
            <w:gridSpan w:val="2"/>
            <w:shd w:val="clear" w:color="auto" w:fill="CCEEFF"/>
          </w:tcPr>
          <w:p>
            <w:pPr>
              <w:ind w:left="660"/>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7"/>
                <w:szCs w:val="17"/>
                <w:color w:val="auto"/>
              </w:rPr>
            </w:pPr>
          </w:p>
        </w:tc>
        <w:tc>
          <w:tcPr>
            <w:tcW w:w="150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77</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APS investments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101</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9"/>
        </w:trPr>
        <w:tc>
          <w:tcPr>
            <w:tcW w:w="6740" w:type="dxa"/>
            <w:vAlign w:val="bottom"/>
          </w:tcPr>
          <w:p>
            <w:pPr>
              <w:spacing w:after="0" w:line="202" w:lineRule="exact"/>
              <w:rPr>
                <w:sz w:val="20"/>
                <w:szCs w:val="20"/>
                <w:color w:val="auto"/>
              </w:rPr>
            </w:pPr>
            <w:r>
              <w:rPr>
                <w:rFonts w:ascii="Arial" w:cs="Arial" w:eastAsia="Arial" w:hAnsi="Arial"/>
                <w:sz w:val="18"/>
                <w:szCs w:val="18"/>
                <w:color w:val="auto"/>
              </w:rPr>
              <w:t>Amortization of exploration data costs capitalized</w:t>
            </w:r>
          </w:p>
        </w:tc>
        <w:tc>
          <w:tcPr>
            <w:tcW w:w="240" w:type="dxa"/>
            <w:vAlign w:val="bottom"/>
          </w:tcPr>
          <w:p>
            <w:pPr>
              <w:spacing w:after="0"/>
              <w:rPr>
                <w:sz w:val="18"/>
                <w:szCs w:val="18"/>
                <w:color w:val="auto"/>
              </w:rPr>
            </w:pPr>
          </w:p>
        </w:tc>
        <w:tc>
          <w:tcPr>
            <w:tcW w:w="150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30</w:t>
            </w:r>
          </w:p>
        </w:tc>
        <w:tc>
          <w:tcPr>
            <w:tcW w:w="160" w:type="dxa"/>
            <w:vAlign w:val="bottom"/>
          </w:tcPr>
          <w:p>
            <w:pPr>
              <w:spacing w:after="0"/>
              <w:rPr>
                <w:sz w:val="18"/>
                <w:szCs w:val="18"/>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561</w:t>
            </w:r>
          </w:p>
        </w:tc>
        <w:tc>
          <w:tcPr>
            <w:tcW w:w="6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563</w:t>
            </w:r>
          </w:p>
        </w:tc>
        <w:tc>
          <w:tcPr>
            <w:tcW w:w="9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b w:val="1"/>
          <w:bCs w:val="1"/>
          <w:color w:val="auto"/>
        </w:rPr>
        <w:t>About SLB</w:t>
      </w:r>
    </w:p>
    <w:p>
      <w:pPr>
        <w:spacing w:after="0" w:line="114" w:lineRule="exact"/>
        <w:rPr>
          <w:sz w:val="20"/>
          <w:szCs w:val="20"/>
          <w:color w:val="auto"/>
        </w:rPr>
      </w:pPr>
    </w:p>
    <w:p>
      <w:pPr>
        <w:ind w:left="4" w:right="220"/>
        <w:spacing w:after="0" w:line="243" w:lineRule="auto"/>
        <w:rPr>
          <w:sz w:val="20"/>
          <w:szCs w:val="20"/>
          <w:color w:val="auto"/>
        </w:rPr>
      </w:pPr>
      <w:r>
        <w:rPr>
          <w:rFonts w:ascii="Arial" w:cs="Arial" w:eastAsia="Arial" w:hAnsi="Arial"/>
          <w:sz w:val="18"/>
          <w:szCs w:val="18"/>
          <w:color w:val="auto"/>
        </w:rPr>
        <w:t>SLB (NYSE: SLB) is a global technology company driving energy innovation for a balanced planet.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w:t>
      </w:r>
    </w:p>
    <w:p>
      <w:pPr>
        <w:spacing w:after="0" w:line="28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Conference Call Information</w:t>
      </w:r>
    </w:p>
    <w:p>
      <w:pPr>
        <w:spacing w:after="0" w:line="114" w:lineRule="exact"/>
        <w:rPr>
          <w:sz w:val="20"/>
          <w:szCs w:val="20"/>
          <w:color w:val="auto"/>
        </w:rPr>
      </w:pPr>
    </w:p>
    <w:p>
      <w:pPr>
        <w:ind w:left="4" w:right="80"/>
        <w:spacing w:after="0" w:line="255" w:lineRule="auto"/>
        <w:rPr>
          <w:sz w:val="20"/>
          <w:szCs w:val="20"/>
          <w:color w:val="auto"/>
        </w:rPr>
      </w:pPr>
      <w:r>
        <w:rPr>
          <w:rFonts w:ascii="Arial" w:cs="Arial" w:eastAsia="Arial" w:hAnsi="Arial"/>
          <w:sz w:val="17"/>
          <w:szCs w:val="17"/>
          <w:color w:val="auto"/>
        </w:rPr>
        <w:t>SLB will hold a conference call to discuss the earnings press release and business outlook on Friday, July 21, 2023. The call is scheduled to begin at 9:30 a.m. US Eastern Time. To access the call, which is open to the public, please contact the conference call operator at +1</w:t>
      </w:r>
    </w:p>
    <w:p>
      <w:pPr>
        <w:spacing w:after="0" w:line="2" w:lineRule="exact"/>
        <w:rPr>
          <w:sz w:val="20"/>
          <w:szCs w:val="20"/>
          <w:color w:val="auto"/>
        </w:rPr>
      </w:pPr>
    </w:p>
    <w:p>
      <w:pPr>
        <w:ind w:left="4" w:right="20" w:hanging="4"/>
        <w:spacing w:after="0" w:line="238" w:lineRule="auto"/>
        <w:tabs>
          <w:tab w:leader="none" w:pos="474" w:val="left"/>
        </w:tabs>
        <w:numPr>
          <w:ilvl w:val="0"/>
          <w:numId w:val="18"/>
        </w:numPr>
        <w:rPr>
          <w:rFonts w:ascii="Arial" w:cs="Arial" w:eastAsia="Arial" w:hAnsi="Arial"/>
          <w:sz w:val="18"/>
          <w:szCs w:val="18"/>
          <w:color w:val="auto"/>
        </w:rPr>
      </w:pPr>
      <w:r>
        <w:rPr>
          <w:rFonts w:ascii="Arial" w:cs="Arial" w:eastAsia="Arial" w:hAnsi="Arial"/>
          <w:sz w:val="18"/>
          <w:szCs w:val="18"/>
          <w:color w:val="auto"/>
        </w:rPr>
        <w:t>721-7241 within North America, or +1 (409) 207-6955 outside North America, approximately 10 minutes prior to the call’s scheduled start time, and provide the access code 8858313. At the conclusion of the conference call, an audio replay will be available until August 21, 2023, by dialing +1 (866) 207-1041 within North America, or +1 (402) 970-0847 outside North America, and providing the access code 4620397. The conference call will be webcast simultaneously at www.slb.com/irwebcast on a listen-only basis. A replay of the webcast will also be available at the same website until August 21, 2023.</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 Relations Contacts:</w:t>
      </w:r>
    </w:p>
    <w:p>
      <w:pPr>
        <w:spacing w:after="0" w:line="18" w:lineRule="exact"/>
        <w:rPr>
          <w:sz w:val="20"/>
          <w:szCs w:val="20"/>
          <w:color w:val="auto"/>
        </w:rPr>
      </w:pPr>
    </w:p>
    <w:p>
      <w:pPr>
        <w:ind w:left="4" w:right="4380"/>
        <w:spacing w:after="0"/>
        <w:rPr>
          <w:sz w:val="20"/>
          <w:szCs w:val="20"/>
          <w:color w:val="auto"/>
        </w:rPr>
      </w:pPr>
      <w:r>
        <w:rPr>
          <w:rFonts w:ascii="Arial" w:cs="Arial" w:eastAsia="Arial" w:hAnsi="Arial"/>
          <w:sz w:val="18"/>
          <w:szCs w:val="18"/>
          <w:color w:val="auto"/>
        </w:rPr>
        <w:t>James R. McDonald – Senior Vice President of Investor Relations &amp; Industry Affairs Joy V. Domingo – Director of Investor Relations Office +1 (713) 375-3535</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investor-relations@slb.com</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Media Contacts:</w:t>
      </w:r>
    </w:p>
    <w:p>
      <w:pPr>
        <w:spacing w:after="0" w:line="13" w:lineRule="exact"/>
        <w:rPr>
          <w:sz w:val="20"/>
          <w:szCs w:val="20"/>
          <w:color w:val="auto"/>
        </w:rPr>
      </w:pPr>
    </w:p>
    <w:p>
      <w:pPr>
        <w:ind w:left="4"/>
        <w:spacing w:after="0"/>
        <w:rPr>
          <w:sz w:val="20"/>
          <w:szCs w:val="20"/>
          <w:color w:val="auto"/>
        </w:rPr>
      </w:pPr>
      <w:r>
        <w:rPr>
          <w:rFonts w:ascii="Arial" w:cs="Arial" w:eastAsia="Arial" w:hAnsi="Arial"/>
          <w:sz w:val="18"/>
          <w:szCs w:val="18"/>
          <w:color w:val="auto"/>
        </w:rPr>
        <w:t>Josh Byerly – Vice President of Communications</w:t>
      </w:r>
    </w:p>
    <w:p>
      <w:pPr>
        <w:ind w:left="4"/>
        <w:spacing w:after="0" w:line="234" w:lineRule="auto"/>
        <w:rPr>
          <w:sz w:val="20"/>
          <w:szCs w:val="20"/>
          <w:color w:val="auto"/>
        </w:rPr>
      </w:pPr>
      <w:r>
        <w:rPr>
          <w:rFonts w:ascii="Arial" w:cs="Arial" w:eastAsia="Arial" w:hAnsi="Arial"/>
          <w:sz w:val="18"/>
          <w:szCs w:val="18"/>
          <w:color w:val="auto"/>
        </w:rPr>
        <w:t>Moira Duff – Director of External Communications</w:t>
      </w:r>
    </w:p>
    <w:p>
      <w:pPr>
        <w:ind w:left="4"/>
        <w:spacing w:after="0" w:line="235" w:lineRule="auto"/>
        <w:rPr>
          <w:sz w:val="20"/>
          <w:szCs w:val="20"/>
          <w:color w:val="auto"/>
        </w:rPr>
      </w:pPr>
      <w:r>
        <w:rPr>
          <w:rFonts w:ascii="Arial" w:cs="Arial" w:eastAsia="Arial" w:hAnsi="Arial"/>
          <w:sz w:val="18"/>
          <w:szCs w:val="18"/>
          <w:color w:val="auto"/>
        </w:rPr>
        <w:t>Office +1 (713) 375-3407</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media@slb.com</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4"/>
          </w:cols>
          <w:pgMar w:left="436" w:top="531" w:right="439" w:bottom="1440" w:gutter="0" w:footer="0" w:header="0"/>
        </w:sectPr>
      </w:pPr>
    </w:p>
    <w:bookmarkStart w:id="21" w:name="page22"/>
    <w:bookmarkEnd w:id="21"/>
    <w:p>
      <w:pPr>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This second-quarter 2023 earnings press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our business strategies, including digital and “fit for basin,” as well as the strategies of our customers; our APS projects, joint ventures, and other alliances; our response to the COVID-19 pandemic and our preparedness for other widespread health emergencies;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our financial and performance targets and other forecasts and expectations; the inability to achieve our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SLB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press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press release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press release are made as of the date of this release, and SLB disclaims any intention or obligation to update publicly or revise such statements, whether as a result of new information, future events, or otherwise.</w:t>
      </w:r>
    </w:p>
    <w:p>
      <w:pPr>
        <w:spacing w:after="0" w:line="21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19</w:t>
      </w:r>
    </w:p>
    <w:sectPr>
      <w:pgSz w:w="11900" w:h="16838" w:orient="portrait"/>
      <w:cols w:equalWidth="0" w:num="1">
        <w:col w:w="11000"/>
      </w:cols>
      <w:pgMar w:left="440" w:top="49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lowerLetter"/>
      <w:start w:val="4"/>
    </w:lvl>
  </w:abstractNum>
  <w:abstractNum w:abstractNumId="2">
    <w:nsid w:val="216231B"/>
    <w:multiLevelType w:val="hybridMultilevel"/>
    <w:lvl w:ilvl="0">
      <w:lvlJc w:val="left"/>
      <w:lvlText w:val="%1"/>
      <w:numFmt w:val="decimal"/>
      <w:start w:val="99"/>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8"/>
    </w:lvl>
  </w:abstractNum>
  <w:abstractNum w:abstractNumId="15">
    <w:nsid w:val="25E45D32"/>
    <w:multiLevelType w:val="hybridMultilevel"/>
    <w:lvl w:ilvl="0">
      <w:lvlJc w:val="left"/>
      <w:lvlText w:val="%1)"/>
      <w:numFmt w:val="decimal"/>
      <w:start w:val="9"/>
    </w:lvl>
  </w:abstractNum>
  <w:abstractNum w:abstractNumId="16">
    <w:nsid w:val="519B500D"/>
    <w:multiLevelType w:val="hybridMultilevel"/>
    <w:lvl w:ilvl="0">
      <w:lvlJc w:val="left"/>
      <w:lvlText w:val="%1)"/>
      <w:numFmt w:val="decimal"/>
      <w:start w:val="10"/>
    </w:lvl>
  </w:abstractNum>
  <w:abstractNum w:abstractNumId="17">
    <w:nsid w:val="431BD7B7"/>
    <w:multiLevelType w:val="hybridMultilevel"/>
    <w:lvl w:ilvl="0">
      <w:lvlJc w:val="left"/>
      <w:lvlText w:val="(%1)"/>
      <w:numFmt w:val="decimal"/>
      <w:start w:val="84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2023-07-21T06:37:02Z</dcterms:created>
  <dcterms:modified xsi:type="dcterms:W3CDTF">2023-07-21T06:37:02Z</dcterms:modified>
</cp:coreProperties>
</file>