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4017645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07" w:lineRule="exact"/>
        <w:tabs>
          <w:tab w:leader="none" w:pos="201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9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1"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2"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108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26" w:lineRule="auto"/>
        <w:rPr>
          <w:sz w:val="20"/>
          <w:szCs w:val="20"/>
          <w:color w:val="auto"/>
        </w:rPr>
      </w:pPr>
      <w:r>
        <w:rPr>
          <w:rFonts w:ascii="Arial" w:cs="Arial" w:eastAsia="Arial" w:hAnsi="Arial"/>
          <w:sz w:val="18"/>
          <w:szCs w:val="18"/>
          <w:color w:val="auto"/>
        </w:rPr>
        <w:t>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10022-4624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75007 Paris, France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To Be Held April 13, 2005</w:t>
      </w:r>
    </w:p>
    <w:p>
      <w:pPr>
        <w:spacing w:after="0" w:line="151" w:lineRule="exact"/>
        <w:rPr>
          <w:sz w:val="20"/>
          <w:szCs w:val="20"/>
          <w:color w:val="auto"/>
        </w:rPr>
      </w:pPr>
    </w:p>
    <w:p>
      <w:pPr>
        <w:ind w:left="10300"/>
        <w:spacing w:after="0"/>
        <w:tabs>
          <w:tab w:leader="none" w:pos="10960" w:val="left"/>
        </w:tabs>
        <w:rPr>
          <w:sz w:val="20"/>
          <w:szCs w:val="20"/>
          <w:color w:val="auto"/>
        </w:rPr>
      </w:pPr>
      <w:r>
        <w:rPr>
          <w:rFonts w:ascii="Arial" w:cs="Arial" w:eastAsia="Arial" w:hAnsi="Arial"/>
          <w:sz w:val="15"/>
          <w:szCs w:val="15"/>
          <w:color w:val="auto"/>
        </w:rPr>
        <w:t>March</w:t>
        <w:tab/>
        <w:t>, 2005</w:t>
      </w:r>
    </w:p>
    <w:p>
      <w:pPr>
        <w:spacing w:after="0" w:line="192"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13, 2005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12 directors.</w:t>
      </w:r>
    </w:p>
    <w:p>
      <w:pPr>
        <w:spacing w:after="0" w:line="76"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2004, to adopt and approve the Company’s Consolidated Balance Sheet as at December 31, 2004, its Consolidated Statement of Income for the year ended December 31, 2004, and the declaration of dividends by the Board of Directors as reflected in the Company’s 2004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amendments to the Articles of Incorporation of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the Schlumberger 2005 Stock Option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adoption of an amendment to the Schlumberger Discounted Stock Purchase Plan.</w:t>
      </w:r>
    </w:p>
    <w:p>
      <w:pPr>
        <w:spacing w:after="0" w:line="76"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the independent registered public accounting firm to audit the accounts of the Company for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close of business on March 2, 2005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jc w:val="center"/>
        <w:ind w:left="260" w:right="2040"/>
        <w:spacing w:after="0" w:line="326" w:lineRule="auto"/>
        <w:rPr>
          <w:sz w:val="20"/>
          <w:szCs w:val="20"/>
          <w:color w:val="auto"/>
        </w:rPr>
      </w:pPr>
      <w:r>
        <w:rPr>
          <w:rFonts w:ascii="Arial" w:cs="Arial" w:eastAsia="Arial" w:hAnsi="Arial"/>
          <w:sz w:val="15"/>
          <w:szCs w:val="15"/>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 Brokers cannot vote for items 3, 4 and 5 without your instructions.</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both"/>
        <w:ind w:left="10300"/>
        <w:spacing w:after="0"/>
        <w:tabs>
          <w:tab w:leader="none" w:pos="10960" w:val="left"/>
        </w:tabs>
        <w:rPr>
          <w:sz w:val="20"/>
          <w:szCs w:val="20"/>
          <w:color w:val="auto"/>
        </w:rPr>
      </w:pPr>
      <w:r>
        <w:rPr>
          <w:rFonts w:ascii="Arial" w:cs="Arial" w:eastAsia="Arial" w:hAnsi="Arial"/>
          <w:sz w:val="18"/>
          <w:szCs w:val="18"/>
          <w:color w:val="auto"/>
        </w:rPr>
        <w:t>March</w:t>
        <w:tab/>
        <w:t>,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2005 Annual General Meeting of Stockholders. The approximate mailing date of this proxy statement is March 15, 2005.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jc w:val="both"/>
        <w:ind w:right="60" w:firstLine="228"/>
        <w:spacing w:after="0" w:line="281" w:lineRule="auto"/>
        <w:rPr>
          <w:sz w:val="20"/>
          <w:szCs w:val="20"/>
          <w:color w:val="auto"/>
        </w:rPr>
      </w:pPr>
      <w:r>
        <w:rPr>
          <w:rFonts w:ascii="Arial" w:cs="Arial" w:eastAsia="Arial" w:hAnsi="Arial"/>
          <w:sz w:val="16"/>
          <w:szCs w:val="16"/>
          <w:color w:val="auto"/>
        </w:rPr>
        <w:t>The Schlumberger 2004 Annual Report to Stockholders will be included in this package as a separate document. The Company’s Consolidated Balance Sheet as at December 31, 2004, its Consolidated Statement of Income for the year ended December 31, 2004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Proxies and Voting Procedures</w:t>
      </w:r>
    </w:p>
    <w:p>
      <w:pPr>
        <w:spacing w:after="0" w:line="83"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 xml:space="preserve">Each stockholder of record at the close of business on March 2, 2005 is entitled to one vote for each share registered in the stockholder’s name. A stockholder of record is a person or entity who held shares on that date </w:t>
      </w:r>
      <w:r>
        <w:rPr>
          <w:rFonts w:ascii="Arial" w:cs="Arial" w:eastAsia="Arial" w:hAnsi="Arial"/>
          <w:sz w:val="15"/>
          <w:szCs w:val="15"/>
          <w:i w:val="1"/>
          <w:iCs w:val="1"/>
          <w:color w:val="auto"/>
        </w:rPr>
        <w:t>registered</w:t>
      </w:r>
      <w:r>
        <w:rPr>
          <w:rFonts w:ascii="Arial" w:cs="Arial" w:eastAsia="Arial" w:hAnsi="Arial"/>
          <w:sz w:val="15"/>
          <w:szCs w:val="15"/>
          <w:color w:val="auto"/>
        </w:rPr>
        <w:t xml:space="preserve"> in its name on the records of EquiServe Trust Company, N.A. (“EquiServe”), Schlumberger’s stock transfer agent. Persons who held shares on the record date through a broker, bank or other nominee are considered </w:t>
      </w:r>
      <w:r>
        <w:rPr>
          <w:rFonts w:ascii="Arial" w:cs="Arial" w:eastAsia="Arial" w:hAnsi="Arial"/>
          <w:sz w:val="15"/>
          <w:szCs w:val="15"/>
          <w:i w:val="1"/>
          <w:iCs w:val="1"/>
          <w:color w:val="auto"/>
        </w:rPr>
        <w:t>beneficial</w:t>
      </w:r>
      <w:r>
        <w:rPr>
          <w:rFonts w:ascii="Arial" w:cs="Arial" w:eastAsia="Arial" w:hAnsi="Arial"/>
          <w:sz w:val="15"/>
          <w:szCs w:val="15"/>
          <w:color w:val="auto"/>
        </w:rPr>
        <w:t xml:space="preserve"> owners. On March 2, 2005,</w:t>
      </w:r>
    </w:p>
    <w:p>
      <w:pPr>
        <w:spacing w:after="0" w:line="1" w:lineRule="exact"/>
        <w:rPr>
          <w:sz w:val="20"/>
          <w:szCs w:val="20"/>
          <w:color w:val="auto"/>
        </w:rPr>
      </w:pPr>
    </w:p>
    <w:p>
      <w:pPr>
        <w:spacing w:after="0"/>
        <w:tabs>
          <w:tab w:leader="none" w:pos="1680" w:val="left"/>
          <w:tab w:leader="none" w:pos="7200" w:val="left"/>
        </w:tabs>
        <w:rPr>
          <w:sz w:val="20"/>
          <w:szCs w:val="20"/>
          <w:color w:val="auto"/>
        </w:rPr>
      </w:pPr>
      <w:r>
        <w:rPr>
          <w:rFonts w:ascii="Arial" w:cs="Arial" w:eastAsia="Arial" w:hAnsi="Arial"/>
          <w:sz w:val="18"/>
          <w:szCs w:val="18"/>
          <w:color w:val="auto"/>
        </w:rPr>
        <w:t>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 xml:space="preserve">Fifty percent of the outstanding shares, exclusive of shares held in treasury, must be present in person or by proxy to constitute a quorum for the taking of any action at the meeting. Abstentions and broker non-votes are counted for determining the presence of a quorum. Broker non-votes occur when brokers who hold their customer’s shares submit proxies and vote on “routine” items, which include election of directors and Items 2 and 6. Brokers cannot vote on Items 3, 4 and 5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If a quorum is not present at the meeting, the Board may call a second General Meeting at which the quorum requirement will not apply.</w:t>
      </w:r>
    </w:p>
    <w:p>
      <w:pPr>
        <w:spacing w:after="0" w:line="2"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 xml:space="preserve">Stockholders with shares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in their names with EquiServe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at the following internet address: http://www.eproxyvote.com/slb;</w:t>
      </w:r>
    </w:p>
    <w:p>
      <w:pPr>
        <w:spacing w:after="0" w:line="29" w:lineRule="exact"/>
        <w:rPr>
          <w:rFonts w:ascii="Arial" w:cs="Arial" w:eastAsia="Arial" w:hAnsi="Arial"/>
          <w:sz w:val="18"/>
          <w:szCs w:val="18"/>
          <w:color w:val="auto"/>
        </w:rPr>
      </w:pPr>
    </w:p>
    <w:p>
      <w:pPr>
        <w:ind w:left="780" w:right="80" w:hanging="326"/>
        <w:spacing w:after="0" w:line="25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in the United States by calling toll-free 1-877-779-8683 or outside the United States by calling collect on a touch tone phone, 201-536-8073; or</w:t>
      </w: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30"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April 12, 2004. The internet and telephone voting procedures have been designed to authenticate stockholders and to allow you to vote your shares and to confirm that your instructions have been properly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both"/>
        <w:ind w:right="260" w:firstLine="228"/>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ind w:right="240" w:firstLine="228"/>
        <w:spacing w:after="0" w:line="281" w:lineRule="auto"/>
        <w:rPr>
          <w:sz w:val="20"/>
          <w:szCs w:val="20"/>
          <w:color w:val="auto"/>
        </w:rPr>
      </w:pPr>
      <w:r>
        <w:rPr>
          <w:rFonts w:ascii="Arial" w:cs="Arial" w:eastAsia="Arial" w:hAnsi="Arial"/>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Arial" w:cs="Arial" w:eastAsia="Arial" w:hAnsi="Arial"/>
          <w:sz w:val="18"/>
          <w:szCs w:val="18"/>
          <w:color w:val="auto"/>
        </w:rPr>
        <w:t>All shares entitled to vote and represented by properly executed proxies received prior to the meeting and not revoked will be voted at the meeting in accordance with your instructions.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1. Election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It is intended to fix the number of directors at 12 and to elect a Board of Directors of 12 members, each to hold office until the next Annual General Meeting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until a director’s successor is elected and qualified or until a director’s death, resignation or removal. Each of the nominees, except</w:t>
      </w:r>
    </w:p>
    <w:p>
      <w:pPr>
        <w:spacing w:after="0" w:line="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Michael E. Marks and Rana Talwar,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ind w:left="240"/>
              <w:spacing w:after="0"/>
              <w:rPr>
                <w:sz w:val="20"/>
                <w:szCs w:val="20"/>
                <w:color w:val="auto"/>
              </w:rPr>
            </w:pPr>
            <w:r>
              <w:rPr>
                <w:rFonts w:ascii="Arial" w:cs="Arial" w:eastAsia="Arial" w:hAnsi="Arial"/>
                <w:sz w:val="18"/>
                <w:szCs w:val="18"/>
                <w:b w:val="1"/>
                <w:bCs w:val="1"/>
                <w:color w:val="344274"/>
                <w:w w:val="79"/>
              </w:rPr>
              <w:t>Since</w:t>
            </w:r>
          </w:p>
        </w:tc>
      </w:tr>
      <w:tr>
        <w:trPr>
          <w:trHeight w:val="110"/>
        </w:trPr>
        <w:tc>
          <w:tcPr>
            <w:tcW w:w="4460" w:type="dxa"/>
            <w:vAlign w:val="bottom"/>
            <w:tcBorders>
              <w:bottom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JOHN DEUTCH, 66; Institute Professor, Massachusetts Institute of Technology, Cambridge, Massachusetts. (1)</w:t>
            </w:r>
          </w:p>
        </w:tc>
        <w:tc>
          <w:tcPr>
            <w:tcW w:w="640" w:type="dxa"/>
            <w:vAlign w:val="bottom"/>
          </w:tcPr>
          <w:p>
            <w:pPr>
              <w:spacing w:after="0"/>
              <w:rPr>
                <w:sz w:val="24"/>
                <w:szCs w:val="24"/>
                <w:color w:val="auto"/>
              </w:rPr>
            </w:pPr>
          </w:p>
        </w:tc>
      </w:tr>
      <w:tr>
        <w:trPr>
          <w:trHeight w:val="358"/>
        </w:trPr>
        <w:tc>
          <w:tcPr>
            <w:tcW w:w="4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1997</w:t>
            </w:r>
          </w:p>
        </w:tc>
      </w:tr>
      <w:tr>
        <w:trPr>
          <w:trHeight w:val="216"/>
        </w:trPr>
        <w:tc>
          <w:tcPr>
            <w:tcW w:w="44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r>
      <w:tr>
        <w:trPr>
          <w:trHeight w:val="222"/>
        </w:trPr>
        <w:tc>
          <w:tcPr>
            <w:tcW w:w="44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w w:val="94"/>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JAMIE S. GORELICK, 54; Partner, Wilmer Cutler Pickering Hale and Dorr LLP, an international law firm, since July 2003, Vice Chair of</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Fannie Mae, financing of U.S. home mortgages, from May 1997 to July 2003, Washington, D.C. (2)</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58; Chairman and Chief Executive Officer since February 2003, President and Chief Operating Officer, March 2002 to</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February 2003, Executive Vice President Oilfield Services from January 1999 to March 2002. (3)</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TONY ISAAC, 63; Chief Executive, The BOC Group plc, an international group with four business segments consisting of Gases and Related</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Products, Vacuum Technology, Supply Chain Solutions and Healthcare, since September 1999, Surrey, U.K. (4)</w:t>
            </w:r>
          </w:p>
        </w:tc>
        <w:tc>
          <w:tcPr>
            <w:tcW w:w="64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61; Senior Energy Advisor, McKinsey &amp; Company, Houston, Texas, and President of Petrométrica, an energy consulting</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company, Mexico City, since January 2001; Special Advisor to the President of Mexico (international oil matters), January 2000 to</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November 2000; Director and CEO, Pemex, Mexico’s national oil company, from 1995 to 1999. (5)</w:t>
            </w:r>
          </w:p>
        </w:tc>
        <w:tc>
          <w:tcPr>
            <w:tcW w:w="640" w:type="dxa"/>
            <w:vAlign w:val="bottom"/>
          </w:tcPr>
          <w:p>
            <w:pPr>
              <w:jc w:val="right"/>
              <w:spacing w:after="0"/>
              <w:rPr>
                <w:sz w:val="20"/>
                <w:szCs w:val="20"/>
                <w:color w:val="auto"/>
              </w:rPr>
            </w:pPr>
            <w:r>
              <w:rPr>
                <w:rFonts w:ascii="Arial" w:cs="Arial" w:eastAsia="Arial" w:hAnsi="Arial"/>
                <w:sz w:val="18"/>
                <w:szCs w:val="18"/>
                <w:color w:val="auto"/>
              </w:rPr>
              <w:t>2002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67; Independent Investor since November 1999; Chairman of the Executive Board of Paribas, an international banking</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group, May 1998 to August 1999, Paris. (6)</w:t>
            </w:r>
          </w:p>
        </w:tc>
        <w:tc>
          <w:tcPr>
            <w:tcW w:w="640" w:type="dxa"/>
            <w:vAlign w:val="bottom"/>
          </w:tcPr>
          <w:p>
            <w:pPr>
              <w:jc w:val="right"/>
              <w:spacing w:after="0"/>
              <w:rPr>
                <w:sz w:val="20"/>
                <w:szCs w:val="20"/>
                <w:color w:val="auto"/>
              </w:rPr>
            </w:pPr>
            <w:r>
              <w:rPr>
                <w:rFonts w:ascii="Arial" w:cs="Arial" w:eastAsia="Arial" w:hAnsi="Arial"/>
                <w:sz w:val="18"/>
                <w:szCs w:val="18"/>
                <w:color w:val="auto"/>
              </w:rPr>
              <w:t>1992</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rPr>
              <w:t>MICHAEL E. MARKS, 54; Chief Executive Officer of Flextronics, an electronics manufacturing services company, since January 1994;</w:t>
            </w:r>
          </w:p>
        </w:tc>
        <w:tc>
          <w:tcPr>
            <w:tcW w:w="640" w:type="dxa"/>
            <w:vAlign w:val="bottom"/>
          </w:tcPr>
          <w:p>
            <w:pPr>
              <w:spacing w:after="0"/>
              <w:rPr>
                <w:sz w:val="24"/>
                <w:szCs w:val="24"/>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Chairman of the Board from July 1993 to January 2003; Singapore. (7)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4460" w:type="dxa"/>
            <w:vAlign w:val="bottom"/>
            <w:tcBorders>
              <w:bottom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4"/>
        </w:trPr>
        <w:tc>
          <w:tcPr>
            <w:tcW w:w="10780" w:type="dxa"/>
            <w:vAlign w:val="bottom"/>
            <w:gridSpan w:val="2"/>
          </w:tcPr>
          <w:p>
            <w:pPr>
              <w:spacing w:after="0"/>
              <w:rPr>
                <w:sz w:val="20"/>
                <w:szCs w:val="20"/>
                <w:color w:val="auto"/>
              </w:rPr>
            </w:pPr>
            <w:r>
              <w:rPr>
                <w:rFonts w:ascii="Arial" w:cs="Arial" w:eastAsia="Arial" w:hAnsi="Arial"/>
                <w:sz w:val="18"/>
                <w:szCs w:val="18"/>
                <w:color w:val="auto"/>
              </w:rPr>
              <w:t>DIDIER PRIMAT, 60; President, Primwest Holding N.V., an investment management company, Curaçao, N.A. (8)</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1988</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TORE I. SANDVOLD, 57; Chairman, Sandvold Energy AS, an advisory company in the energy business, since September 2002, Chairman of</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6"/>
              </w:rPr>
              <w:t>the Board of Petoro AS, a Norwegian state-owned oil company, from May 2001 to September 2002, Director General, Norwegian Ministry</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of Oil &amp; Energy from 1990 to May 2001, Oslo, Norway. (9)</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2004</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NICOLAS SEYDOUX, 65; Chairman, Gaumont, a French filmmaking enterprise, Paris. (8) (10)</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LINDA GILLESPIE STUNTZ, 50; Partner, Stuntz, Davis &amp; Staffier P.C., a law firm, Washington, D. C. (11)</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1993</w:t>
            </w:r>
          </w:p>
        </w:tc>
      </w:tr>
      <w:tr>
        <w:trPr>
          <w:trHeight w:val="318"/>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RANA TALWAR, 56; Chairman, Sabre Capital Worldwide Inc., Tortola, BVI, a private equity and management firm focused on investing in</w:t>
            </w:r>
          </w:p>
        </w:tc>
        <w:tc>
          <w:tcPr>
            <w:tcW w:w="640" w:type="dxa"/>
            <w:vAlign w:val="bottom"/>
          </w:tcPr>
          <w:p>
            <w:pPr>
              <w:spacing w:after="0"/>
              <w:rPr>
                <w:sz w:val="24"/>
                <w:szCs w:val="24"/>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7"/>
              </w:rPr>
              <w:t>financial institutions in emerging markets with an emphasis on Asia, since December 2002; Group Chief Executive, Standard Chartered</w:t>
            </w:r>
          </w:p>
        </w:tc>
        <w:tc>
          <w:tcPr>
            <w:tcW w:w="640" w:type="dxa"/>
            <w:vAlign w:val="bottom"/>
          </w:tcPr>
          <w:p>
            <w:pPr>
              <w:spacing w:after="0"/>
              <w:rPr>
                <w:sz w:val="18"/>
                <w:szCs w:val="18"/>
                <w:color w:val="auto"/>
              </w:rPr>
            </w:pPr>
          </w:p>
        </w:tc>
      </w:tr>
      <w:tr>
        <w:trPr>
          <w:trHeight w:val="222"/>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PLC, a global bank in London, from June 1997 to December 2001. (12)</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right="160" w:hanging="332"/>
        <w:spacing w:after="0" w:line="230"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Deutch is a director of Citigroup, a banking and insurance organization, where he serves on its Audit, Public Affairs and Governance and Nominating Committees; Cummins Inc., a manufacturer of diesel engines and components, where he serves on its Technology, Finance and Governance and Nominating Committees; and Raytheon Corporation, a defense technology company, where he serves on its Governance and Nominating and Public Affairs Committees. Mr. Deutch’s adult son, Paul Deutch, is employed by a unit of Schlumberger. The employment of Mr. Deutch’s son was not influenced by John Deutch’s position as a director of the Company.</w:t>
      </w:r>
    </w:p>
    <w:p>
      <w:pPr>
        <w:spacing w:after="0" w:line="44" w:lineRule="exact"/>
        <w:rPr>
          <w:rFonts w:ascii="Arial" w:cs="Arial" w:eastAsia="Arial" w:hAnsi="Arial"/>
          <w:sz w:val="14"/>
          <w:szCs w:val="14"/>
          <w:color w:val="auto"/>
        </w:rPr>
      </w:pPr>
    </w:p>
    <w:p>
      <w:pPr>
        <w:ind w:left="340" w:right="36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Ms. Gorelick is a director of United Technologies Corporation, a provider of high technology products and services, where she serves on its Audit, Finance and Public Issues Review Committees and serves on the boards of the John D. and Catherine T. MacArthur Foundation and the Carnegie Endowment for International Peace. She is a member of the Council on Foreign Relations.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a member of its Audit and Remuneration Committees.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8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Lajous is Chairman of Oxford Institute for Energy Studies, Oxford, U.K.; Senior Energy Advisor at Morgan Stanley, London; and was a Senior Fellow at the Kennedy School of Government, Harvard University, 2003 – 2004.</w:t>
      </w:r>
    </w:p>
    <w:p>
      <w:pPr>
        <w:spacing w:after="0" w:line="43"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 director and member of the Nominating Committee of Dexia, a Belgian financial services company, and a director of Paris-Orleans, a holding company for the Rothschild Group of Companies.</w:t>
      </w:r>
    </w:p>
    <w:p>
      <w:pPr>
        <w:spacing w:after="0" w:line="44"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Marks is a director at SanDisk, a memory products company headquartered in California, and a member of its Compensation and Corporate Governance Committees and a director of KLA Tencor, a semiconductor fabrication equipment company headquartered in California, where he serves on its Compensation and Corporate Governance Committees.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18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Seydoux is a director of Arte, a Franco-German TV company.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Mrs. Stuntz is a director of Raytheon Company, a defense technology company, where she is a member of its Audit Committee.</w:t>
      </w:r>
    </w:p>
    <w:p>
      <w:pPr>
        <w:spacing w:after="0" w:line="55" w:lineRule="exact"/>
        <w:rPr>
          <w:rFonts w:ascii="Arial" w:cs="Arial" w:eastAsia="Arial" w:hAnsi="Arial"/>
          <w:sz w:val="14"/>
          <w:szCs w:val="14"/>
          <w:color w:val="auto"/>
        </w:rPr>
      </w:pPr>
    </w:p>
    <w:p>
      <w:pPr>
        <w:ind w:left="340" w:right="4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Risk and Capital Committees; Chairman of Centurion Bank, India, a director of Moscow Bank for Reconstruction and Development, a member of the Governing Body of the London Business School and the Indian School of Business and a director of the National Society for the Prevention of Cruelty to Children in the U.K.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Beneficial Ownership of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60325</wp:posOffset>
            </wp:positionV>
            <wp:extent cx="1586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r>
      <w:tr>
        <w:trPr>
          <w:trHeight w:val="174"/>
        </w:trPr>
        <w:tc>
          <w:tcPr>
            <w:tcW w:w="1500" w:type="dxa"/>
            <w:vAlign w:val="bottom"/>
          </w:tcPr>
          <w:p>
            <w:pPr>
              <w:spacing w:after="0"/>
              <w:rPr>
                <w:sz w:val="20"/>
                <w:szCs w:val="20"/>
                <w:color w:val="auto"/>
              </w:rPr>
            </w:pPr>
            <w:r>
              <w:rPr>
                <w:rFonts w:ascii="Arial" w:cs="Arial" w:eastAsia="Arial" w:hAnsi="Arial"/>
                <w:sz w:val="14"/>
                <w:szCs w:val="14"/>
                <w:b w:val="1"/>
                <w:bCs w:val="1"/>
                <w:color w:val="auto"/>
              </w:rPr>
              <w:t>Name and Address</w:t>
            </w:r>
          </w:p>
        </w:tc>
        <w:tc>
          <w:tcPr>
            <w:tcW w:w="7420" w:type="dxa"/>
            <w:vAlign w:val="bottom"/>
          </w:tcPr>
          <w:p>
            <w:pPr>
              <w:spacing w:after="0"/>
              <w:rPr>
                <w:sz w:val="15"/>
                <w:szCs w:val="15"/>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Class</w:t>
            </w:r>
          </w:p>
        </w:tc>
      </w:tr>
      <w:tr>
        <w:trPr>
          <w:trHeight w:val="95"/>
        </w:trPr>
        <w:tc>
          <w:tcPr>
            <w:tcW w:w="150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318"/>
        </w:trPr>
        <w:tc>
          <w:tcPr>
            <w:tcW w:w="15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9"/>
        </w:trPr>
        <w:tc>
          <w:tcPr>
            <w:tcW w:w="1500" w:type="dxa"/>
            <w:vAlign w:val="bottom"/>
            <w:shd w:val="clear" w:color="auto" w:fill="CCEEFF"/>
          </w:tcPr>
          <w:p>
            <w:pPr>
              <w:spacing w:after="0"/>
              <w:rPr>
                <w:sz w:val="12"/>
                <w:szCs w:val="12"/>
                <w:color w:val="auto"/>
              </w:rPr>
            </w:pPr>
          </w:p>
        </w:tc>
        <w:tc>
          <w:tcPr>
            <w:tcW w:w="7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80" w:firstLine="22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lists the shares of Schlumberger common stock beneficially owned as of January 31, 2005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2005, no nominee for director owned more than 1% of the outstanding shares of the Company’s common stock, except Mr. Primat who owned 3%. All directors, director nominees and executive officers as a group owned 3.4% of the outstanding shares of the Company at January 31, 2005.</w:t>
      </w:r>
    </w:p>
    <w:p>
      <w:pPr>
        <w:spacing w:after="0" w:line="123"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r>
      <w:tr>
        <w:trPr>
          <w:trHeight w:val="110"/>
        </w:trPr>
        <w:tc>
          <w:tcPr>
            <w:tcW w:w="560" w:type="dxa"/>
            <w:vAlign w:val="bottom"/>
            <w:tcBorders>
              <w:bottom w:val="single" w:sz="8" w:color="auto"/>
            </w:tcBorders>
          </w:tcPr>
          <w:p>
            <w:pPr>
              <w:spacing w:after="0"/>
              <w:rPr>
                <w:sz w:val="9"/>
                <w:szCs w:val="9"/>
                <w:color w:val="auto"/>
              </w:rPr>
            </w:pPr>
          </w:p>
        </w:tc>
        <w:tc>
          <w:tcPr>
            <w:tcW w:w="6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417"/>
        </w:trPr>
        <w:tc>
          <w:tcPr>
            <w:tcW w:w="712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143,703</w:t>
            </w:r>
            <w:r>
              <w:rPr>
                <w:rFonts w:ascii="Arial" w:cs="Arial" w:eastAsia="Arial" w:hAnsi="Arial"/>
                <w:sz w:val="11"/>
                <w:szCs w:val="11"/>
                <w:color w:val="auto"/>
              </w:rPr>
              <w:t>(1)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5,600</w:t>
            </w:r>
            <w:r>
              <w:rPr>
                <w:rFonts w:ascii="Arial" w:cs="Arial" w:eastAsia="Arial" w:hAnsi="Arial"/>
                <w:sz w:val="11"/>
                <w:szCs w:val="11"/>
                <w:color w:val="auto"/>
              </w:rPr>
              <w:t>(2)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Xavier Flinois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16,347</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2,400</w:t>
            </w:r>
            <w:r>
              <w:rPr>
                <w:rFonts w:ascii="Arial" w:cs="Arial" w:eastAsia="Arial" w:hAnsi="Arial"/>
                <w:sz w:val="11"/>
                <w:szCs w:val="11"/>
                <w:color w:val="auto"/>
              </w:rPr>
              <w:t>(3)</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906,420</w:t>
            </w:r>
            <w:r>
              <w:rPr>
                <w:rFonts w:ascii="Arial" w:cs="Arial" w:eastAsia="Arial" w:hAnsi="Arial"/>
                <w:sz w:val="11"/>
                <w:szCs w:val="11"/>
                <w:color w:val="auto"/>
              </w:rPr>
              <w:t>(4)</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1"/>
                <w:szCs w:val="11"/>
                <w:color w:val="auto"/>
              </w:rPr>
              <w:t>(5)</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3,300</w:t>
            </w:r>
            <w:r>
              <w:rPr>
                <w:rFonts w:ascii="Arial" w:cs="Arial" w:eastAsia="Arial" w:hAnsi="Arial"/>
                <w:sz w:val="11"/>
                <w:szCs w:val="11"/>
                <w:color w:val="auto"/>
              </w:rPr>
              <w:t>(6)</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André Lévy-Lang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74,963</w:t>
            </w:r>
            <w:r>
              <w:rPr>
                <w:rFonts w:ascii="Arial" w:cs="Arial" w:eastAsia="Arial" w:hAnsi="Arial"/>
                <w:sz w:val="11"/>
                <w:szCs w:val="11"/>
                <w:color w:val="auto"/>
              </w:rPr>
              <w:t>(7)</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167,832</w:t>
            </w:r>
            <w:r>
              <w:rPr>
                <w:rFonts w:ascii="Arial" w:cs="Arial" w:eastAsia="Arial" w:hAnsi="Arial"/>
                <w:sz w:val="11"/>
                <w:szCs w:val="11"/>
                <w:color w:val="auto"/>
              </w:rPr>
              <w:t>(8)</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17,660,628</w:t>
            </w:r>
            <w:r>
              <w:rPr>
                <w:rFonts w:ascii="Arial" w:cs="Arial" w:eastAsia="Arial" w:hAnsi="Arial"/>
                <w:sz w:val="11"/>
                <w:szCs w:val="11"/>
                <w:color w:val="auto"/>
              </w:rPr>
              <w:t>(9)</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144,757</w:t>
            </w:r>
            <w:r>
              <w:rPr>
                <w:rFonts w:ascii="Arial" w:cs="Arial" w:eastAsia="Arial" w:hAnsi="Arial"/>
                <w:sz w:val="11"/>
                <w:szCs w:val="11"/>
                <w:color w:val="auto"/>
              </w:rPr>
              <w:t>(10)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239,660</w:t>
            </w:r>
            <w:r>
              <w:rPr>
                <w:rFonts w:ascii="Arial" w:cs="Arial" w:eastAsia="Arial" w:hAnsi="Arial"/>
                <w:sz w:val="11"/>
                <w:szCs w:val="11"/>
                <w:color w:val="auto"/>
              </w:rPr>
              <w:t>(11)</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8,800</w:t>
            </w:r>
            <w:r>
              <w:rPr>
                <w:rFonts w:ascii="Arial" w:cs="Arial" w:eastAsia="Arial" w:hAnsi="Arial"/>
                <w:sz w:val="11"/>
                <w:szCs w:val="11"/>
                <w:color w:val="auto"/>
              </w:rPr>
              <w:t>(12)</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Rana Talwar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 (24 persons)</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20,059,180</w:t>
            </w:r>
            <w:r>
              <w:rPr>
                <w:rFonts w:ascii="Arial" w:cs="Arial" w:eastAsia="Arial" w:hAnsi="Arial"/>
                <w:sz w:val="11"/>
                <w:szCs w:val="1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137,869 shares which may be acquired by Mr. Boutte within 60 days through the exercise of stock options.</w:t>
      </w:r>
    </w:p>
    <w:p>
      <w:pPr>
        <w:spacing w:after="0" w:line="55" w:lineRule="exact"/>
        <w:rPr>
          <w:rFonts w:ascii="Arial" w:cs="Arial" w:eastAsia="Arial" w:hAnsi="Arial"/>
          <w:sz w:val="14"/>
          <w:szCs w:val="14"/>
          <w:color w:val="auto"/>
        </w:rPr>
      </w:pPr>
    </w:p>
    <w:p>
      <w:pPr>
        <w:ind w:left="340" w:right="1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600 shares owned by Mr. Deutch’s wife, as to which he disclaims beneficial ownership, and excludes 500 shares which he deferred receipt under the Stock and Deferral Plan for Non-Employee Directors.</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2,500 shares which she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794,540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2,500 shares which he deferred receipt under the Stock and Deferral Plan for Non-Employee Directors.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Held through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71,745 shares which may be exercised by Mr. Pai within 60 days by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152,633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4,499,008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139,257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15,364 shares owned by Mr. Seydoux’s wife, as to which he has no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1,895,933 shares which may be acquired by executive officers as a group within 60 days through the exercise of stock options and excludes 5,500 shares for which directors deferred receipt under the Stock and Deferral Plan for Non-Employee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Section 16 (a) Beneficial Ownership Reporting Compliance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believes, based upon a review of the forms filed by its officers and directors, that during 2004 all of its officers and directors filed on a timely basis the reports required to be filed under Section 16 (a)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6" w:name="page7"/>
    <w:bookmarkEnd w:id="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Exchange Act of 1934, except that Doug Pferdehirt inadvertently omitted 2,343 shares from his initial Form 3 and inadvertently failed to submit two Form 4’s with respect to 151 shares purchased under a dividend reinvestment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Board members who are not employees receive annual fees of $40,000 each, annual stock awards with respect to 2,000 shares of Schlumberger common stock, or units representing the right to receive those shares, and additional annual fees of $10,000 as members of each of the committees on which they serve, except that the Chair of each Committee receives an annual fee of $20,000, rather than the $10,000 annual fee for committee service. In 2004, each non-employee director received 2,000 shares of Schlumberger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5,000 shares or restricted stock units.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2004, the Board of Directors held four meetings. Schlumberger has an Audit, a Compensation, a Nominating and Governance, a Finance, and a Technology Committee. During 2004, the Audit Committee met seven times; the Compensation Committee met five times; the Finance Committee met twice; the Nominating and Governance Committee met three times; and the Technology Committee met twice. All incumbent director nominees attended at least 75% of the aggregate of the meetings of the Board and of the committees of the Board on which such directors served except Didier Primat, who attended 71% of the meetings.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Members of the Committees of the Board of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left="681"/>
              <w:spacing w:after="0" w:line="149" w:lineRule="exact"/>
              <w:rPr>
                <w:sz w:val="20"/>
                <w:szCs w:val="20"/>
                <w:color w:val="auto"/>
              </w:rPr>
            </w:pPr>
            <w:r>
              <w:rPr>
                <w:rFonts w:ascii="Arial" w:cs="Arial" w:eastAsia="Arial" w:hAnsi="Arial"/>
                <w:sz w:val="14"/>
                <w:szCs w:val="14"/>
                <w:b w:val="1"/>
                <w:bCs w:val="1"/>
                <w:color w:val="auto"/>
                <w:w w:val="88"/>
              </w:rPr>
              <w:t>Nominating</w:t>
            </w:r>
          </w:p>
        </w:tc>
        <w:tc>
          <w:tcPr>
            <w:tcW w:w="158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8"/>
              </w:rPr>
              <w:t>and</w:t>
            </w:r>
          </w:p>
        </w:tc>
        <w:tc>
          <w:tcPr>
            <w:tcW w:w="15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9"/>
              </w:rPr>
              <w:t>Audit</w:t>
            </w:r>
          </w:p>
        </w:tc>
        <w:tc>
          <w:tcPr>
            <w:tcW w:w="1920" w:type="dxa"/>
            <w:vAlign w:val="bottom"/>
            <w:tcBorders>
              <w:right w:val="single" w:sz="8" w:color="auto"/>
            </w:tcBorders>
          </w:tcPr>
          <w:p>
            <w:pPr>
              <w:jc w:val="center"/>
              <w:ind w:left="699"/>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720" w:type="dxa"/>
            <w:vAlign w:val="bottom"/>
            <w:tcBorders>
              <w:right w:val="single" w:sz="8" w:color="auto"/>
            </w:tcBorders>
          </w:tcPr>
          <w:p>
            <w:pPr>
              <w:jc w:val="center"/>
              <w:ind w:left="701"/>
              <w:spacing w:after="0" w:line="149" w:lineRule="exact"/>
              <w:rPr>
                <w:sz w:val="20"/>
                <w:szCs w:val="20"/>
                <w:color w:val="auto"/>
              </w:rPr>
            </w:pPr>
            <w:r>
              <w:rPr>
                <w:rFonts w:ascii="Arial" w:cs="Arial" w:eastAsia="Arial" w:hAnsi="Arial"/>
                <w:sz w:val="14"/>
                <w:szCs w:val="14"/>
                <w:b w:val="1"/>
                <w:bCs w:val="1"/>
                <w:color w:val="auto"/>
                <w:w w:val="86"/>
              </w:rPr>
              <w:t>Governance</w:t>
            </w:r>
          </w:p>
        </w:tc>
        <w:tc>
          <w:tcPr>
            <w:tcW w:w="1580" w:type="dxa"/>
            <w:vAlign w:val="bottom"/>
            <w:tcBorders>
              <w:right w:val="single" w:sz="8" w:color="auto"/>
            </w:tcBorders>
          </w:tcPr>
          <w:p>
            <w:pPr>
              <w:jc w:val="center"/>
              <w:ind w:left="679"/>
              <w:spacing w:after="0" w:line="149" w:lineRule="exact"/>
              <w:rPr>
                <w:sz w:val="20"/>
                <w:szCs w:val="20"/>
                <w:color w:val="auto"/>
              </w:rPr>
            </w:pPr>
            <w:r>
              <w:rPr>
                <w:rFonts w:ascii="Arial" w:cs="Arial" w:eastAsia="Arial" w:hAnsi="Arial"/>
                <w:sz w:val="14"/>
                <w:szCs w:val="14"/>
                <w:b w:val="1"/>
                <w:bCs w:val="1"/>
                <w:color w:val="auto"/>
                <w:w w:val="86"/>
              </w:rPr>
              <w:t>Finance</w:t>
            </w:r>
          </w:p>
        </w:tc>
        <w:tc>
          <w:tcPr>
            <w:tcW w:w="1700" w:type="dxa"/>
            <w:vAlign w:val="bottom"/>
            <w:tcBorders>
              <w:right w:val="single" w:sz="8" w:color="auto"/>
            </w:tcBorders>
          </w:tcPr>
          <w:p>
            <w:pPr>
              <w:jc w:val="center"/>
              <w:ind w:left="602"/>
              <w:spacing w:after="0" w:line="149" w:lineRule="exact"/>
              <w:rPr>
                <w:sz w:val="20"/>
                <w:szCs w:val="20"/>
                <w:color w:val="auto"/>
              </w:rPr>
            </w:pPr>
            <w:r>
              <w:rPr>
                <w:rFonts w:ascii="Arial" w:cs="Arial" w:eastAsia="Arial" w:hAnsi="Arial"/>
                <w:sz w:val="14"/>
                <w:szCs w:val="14"/>
                <w:b w:val="1"/>
                <w:bCs w:val="1"/>
                <w:color w:val="auto"/>
                <w:w w:val="83"/>
              </w:rPr>
              <w:t>Technology</w:t>
            </w:r>
          </w:p>
        </w:tc>
        <w:tc>
          <w:tcPr>
            <w:tcW w:w="0" w:type="dxa"/>
            <w:vAlign w:val="bottom"/>
          </w:tcPr>
          <w:p>
            <w:pPr>
              <w:spacing w:after="0"/>
              <w:rPr>
                <w:sz w:val="1"/>
                <w:szCs w:val="1"/>
                <w:color w:val="auto"/>
              </w:rPr>
            </w:pPr>
          </w:p>
        </w:tc>
      </w:tr>
      <w:tr>
        <w:trPr>
          <w:trHeight w:val="161"/>
        </w:trPr>
        <w:tc>
          <w:tcPr>
            <w:tcW w:w="336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John Deutch</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8"/>
              </w:rPr>
              <w:t>Committee</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5"/>
              </w:rPr>
              <w:t>Committee</w:t>
            </w:r>
          </w:p>
        </w:tc>
        <w:tc>
          <w:tcPr>
            <w:tcW w:w="1720" w:type="dxa"/>
            <w:vAlign w:val="bottom"/>
            <w:tcBorders>
              <w:bottom w:val="single" w:sz="8" w:color="auto"/>
              <w:right w:val="single" w:sz="8" w:color="auto"/>
            </w:tcBorders>
          </w:tcPr>
          <w:p>
            <w:pPr>
              <w:jc w:val="center"/>
              <w:ind w:left="681"/>
              <w:spacing w:after="0"/>
              <w:rPr>
                <w:sz w:val="20"/>
                <w:szCs w:val="20"/>
                <w:color w:val="auto"/>
              </w:rPr>
            </w:pPr>
            <w:r>
              <w:rPr>
                <w:rFonts w:ascii="Arial" w:cs="Arial" w:eastAsia="Arial" w:hAnsi="Arial"/>
                <w:sz w:val="14"/>
                <w:szCs w:val="14"/>
                <w:b w:val="1"/>
                <w:bCs w:val="1"/>
                <w:color w:val="auto"/>
                <w:w w:val="88"/>
              </w:rPr>
              <w:t>Committee</w:t>
            </w:r>
          </w:p>
        </w:tc>
        <w:tc>
          <w:tcPr>
            <w:tcW w:w="158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4"/>
                <w:szCs w:val="14"/>
                <w:b w:val="1"/>
                <w:bCs w:val="1"/>
                <w:color w:val="auto"/>
                <w:w w:val="88"/>
              </w:rPr>
              <w:t>Committee</w:t>
            </w:r>
          </w:p>
        </w:tc>
        <w:tc>
          <w:tcPr>
            <w:tcW w:w="1700" w:type="dxa"/>
            <w:vAlign w:val="bottom"/>
            <w:tcBorders>
              <w:bottom w:val="single" w:sz="8" w:color="auto"/>
              <w:right w:val="single" w:sz="8" w:color="auto"/>
            </w:tcBorders>
          </w:tcPr>
          <w:p>
            <w:pPr>
              <w:jc w:val="center"/>
              <w:ind w:left="582"/>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02"/>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Jamie S. Gorelick</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Andrew Gould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Tony Isaac</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7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Adrian Lajous</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André Lévy-Lang</w:t>
            </w:r>
          </w:p>
        </w:tc>
        <w:tc>
          <w:tcPr>
            <w:tcW w:w="114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8"/>
                <w:szCs w:val="18"/>
                <w:color w:val="auto"/>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42"/>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701"/>
              <w:spacing w:after="0"/>
              <w:rPr>
                <w:sz w:val="20"/>
                <w:szCs w:val="20"/>
                <w:color w:val="auto"/>
              </w:rPr>
            </w:pPr>
            <w:r>
              <w:rPr>
                <w:rFonts w:ascii="Arial" w:cs="Arial" w:eastAsia="Arial" w:hAnsi="Arial"/>
                <w:sz w:val="18"/>
                <w:szCs w:val="18"/>
                <w:color w:val="auto"/>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Linda Gillespie Stuntz</w:t>
            </w:r>
          </w:p>
        </w:tc>
        <w:tc>
          <w:tcPr>
            <w:tcW w:w="114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8"/>
                <w:szCs w:val="18"/>
                <w:color w:val="auto"/>
                <w:w w:val="99"/>
              </w:rPr>
              <w:t>X</w:t>
            </w:r>
          </w:p>
        </w:tc>
        <w:tc>
          <w:tcPr>
            <w:tcW w:w="1920" w:type="dxa"/>
            <w:vAlign w:val="bottom"/>
            <w:tcBorders>
              <w:bottom w:val="single" w:sz="8" w:color="auto"/>
              <w:right w:val="single" w:sz="8" w:color="auto"/>
            </w:tcBorders>
          </w:tcPr>
          <w:p>
            <w:pPr>
              <w:jc w:val="center"/>
              <w:ind w:left="699"/>
              <w:spacing w:after="0"/>
              <w:rPr>
                <w:sz w:val="20"/>
                <w:szCs w:val="20"/>
                <w:color w:val="auto"/>
              </w:rPr>
            </w:pPr>
            <w:r>
              <w:rPr>
                <w:rFonts w:ascii="Arial" w:cs="Arial" w:eastAsia="Arial" w:hAnsi="Arial"/>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Arial" w:cs="Arial" w:eastAsia="Arial" w:hAnsi="Arial"/>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  Chair</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Audit Committee is comprised of five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accountant’s qualifications and independence, and the performance of Schlumberger’s internal audit function and of the independent registered public accountants. The Audit Committee recommends for approval by the stockholders a firm of independent registered public accountants whose duty is to examine the Schlumberger consolidated financial statements. The Audit Committee has the sole authority and responsibility to appoint, subject to stockholder approval, compensate and oversee the independent registered public accountants, and to pre-approve all engagements, fees and terms for audit and other services provided by the Company’s independent registered public accountants. The independent registered public accountants are accountable to the Audit Committee. The Board of Directors has determined that Messrs. Isaac and Lévy-Lang, who are independent under applicable New York Stock Exchange listing standards, are “audit committee financial experts” as defined by applicable SEC rules. The Audit Committee operates pursuant to a written charter, which is available on the Company’s website at www.slb.com/ir.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Compensation Committee is comprised of four independent directors who meet the independence requirements of the New York Stock Exchange’s listing standards. The Committee assists the Board in discharging its responsibilities with regard to executive compensation and oversight of the general compensation philosophy of the Company and prepares a report on executive compensation to the Company’s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It is responsible for reviewing and approving the objectives, evaluating the performance, and reviewing and recommending the compensation of the Chief Executive Officer to the Board meeting in executive session. The Compensation Committee also administers the Company’s stock option plans. The Compensation Committee operates pursuant to a written charter, which is available on the Company’s website at www.slb.com/ir.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Nominating and Governance Committee is comprised of five independent directors, who meet the independence requirements of the New York Stock Exchange’s listing standards. The Nominating and Governance Committee assists the Board in identifying individuals qualified to become directors under criteria approved by the Board. The Nominating and Governance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and recommending to the Board any improvements to the Company’s corporate governance guidelines as it deems appropriate. The Nominating and Governance Committee also recommends directors to serve on and to chair the Board Committees and leads the Board’s appraisal process. The Nominating and Governance Committee operates pursuant to a written charter, which is available on the Company’s website at www.slb.com/ir.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Finance Committee advises the Board and senior management on various matters, including dividends, financial policies and the investment and reinvestment of funds. The Finance Committee periodically reviews the administration of the Schlumberger employee benefit plans and those of its subsidiaries. In addition, the Finance Committee recently revised its charter expressly to include the review of financial risk management, financial aspects of acquisitions submitted to the Board, and the Investor Relations and Stockholder Services of the Company. The Finance Committee operates pursuant to a written charter, which is available on the Company’s website at www.slb.com/ir.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The Technology Committee operates pursuant to a written charter, which is available on the Company’s website at www.slb.com/ir.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Board of Directors had determined that each director and nominee is independent, as defined for purposes of the New York Stock Exchange’s listing standards, other than Mr. Gould, who is Chairman and Chief Executive Officer of Schlumberger. In making this determination, the Board affirmatively determined that each independent director or nominee had no material relationship with Schlumberger or management, and that none of the express disqualifications contained in the NYSE rules applied to any of them. 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ind w:right="10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contemplated by NYSE rules, the Board has adopted categorical standards to assist it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in making its independence determinations. A relationship falls within the categorical standards if it:</w:t>
      </w:r>
    </w:p>
    <w:p>
      <w:pPr>
        <w:spacing w:after="0" w:line="1" w:lineRule="exact"/>
        <w:rPr>
          <w:sz w:val="20"/>
          <w:szCs w:val="20"/>
          <w:color w:val="auto"/>
        </w:rPr>
      </w:pPr>
    </w:p>
    <w:p>
      <w:pPr>
        <w:ind w:left="780" w:hanging="326"/>
        <w:spacing w:after="0" w:line="250"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 2(b) of the NYSE Listed Company Manual, but under those rules does not preclude a determination of independence; or</w:t>
      </w:r>
    </w:p>
    <w:p>
      <w:pPr>
        <w:ind w:left="780" w:right="200" w:hanging="326"/>
        <w:spacing w:after="0" w:line="250"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None of the independent directors and nominees had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In the case of Mr. Marks and Mr. Talwar, who are being nominated as directors for the first time this year, both were recommended by one of the director search firms retained by the Nominating and Governance Committee. All potential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153 East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2"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Board has established a process for security holders to send communications, other than sales-related communications, to one or more of its members. Any such communication should be sent by letter addressed to the member or members of the Board to whom the communication is directed, care of the Secretary, Schlumberger Limited,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 All such communications will be forwarded to the Board member or members specified.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Presiding at Executive Sessions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General Meeting</w:t>
      </w:r>
    </w:p>
    <w:p>
      <w:pPr>
        <w:spacing w:after="0" w:line="83"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Board’s policy regarding director attendance at the Annual General Meeting of Stockholders is that directors are welcome to attend, and that the Company will make all appropriate arrangements for directors that choose to attend. In 2004, Messrs. Gould and Seydoux attended the Annual General Meeting.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www.slb.com/ir.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During 2004,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Public Accounting Oversight Board. However, as of the filing of this preliminary proxy statement, neither the audit of the financial statements nor the audits of internal control over financial reporting are complete and further communication will occur. The Audit Committee will discuss with the Company’s senior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will review and discuss such other matters as it deems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5"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The Company’s independent registered public accounting firm provided the Audit Committee with written disclosures required by Independence Standards Board Standard No. 1 (Independence Discussions with Audit Committees), and the Committee discussed PricewaterhouseCoopers LLP’s independence with them.</w:t>
      </w:r>
    </w:p>
    <w:p>
      <w:pPr>
        <w:spacing w:after="0" w:line="1"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Based on the foregoing review and discussion, and relying on the expected representation of Company management and the expected independent registered public accounting firm’s report to the Audit Committee, the Audit Committee is expected to recommend that the Board of Directors include the financial statements in the Company’s Annual Report on Form 10-K for the year ended December 31, 2004 filed with the Securities and Exchange Commission when the audits by PricewaterhouseCoopers LLP are complete.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00"/>
          </w:cols>
          <w:pgMar w:left="240" w:top="274" w:right="259" w:bottom="1440" w:gutter="0" w:footer="0" w:header="0"/>
        </w:sectPr>
      </w:pP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Adrian Lajous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 Chair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367" w:lineRule="exact"/>
        <w:rPr>
          <w:sz w:val="20"/>
          <w:szCs w:val="20"/>
          <w:color w:val="auto"/>
        </w:rPr>
      </w:pPr>
    </w:p>
    <w:p>
      <w:pPr>
        <w:sectPr>
          <w:pgSz w:w="11900" w:h="16838" w:orient="portrait"/>
          <w:cols w:equalWidth="0" w:num="2">
            <w:col w:w="5260" w:space="720"/>
            <w:col w:w="542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274"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the next four most highly compensated executive officers as at December 31, 2004, and to one other person who served as an executive officer during the year but who was not an executive officer as of December 31, 2004 (the “named officers”), for the fiscal years ending December 31, 2004, 2003 and 2002.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Annual Compensation</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Salary</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2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44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200" w:type="dxa"/>
            <w:vAlign w:val="bottom"/>
          </w:tcPr>
          <w:p>
            <w:pPr>
              <w:spacing w:after="0"/>
              <w:rPr>
                <w:sz w:val="15"/>
                <w:szCs w:val="15"/>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8"/>
              </w:rPr>
              <w:t>Year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($)(4)</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(5)</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 Gould</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2,100,000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415,000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157,500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1,125,000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Executive Officer</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966,667</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 Sbiti (1)</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618,047</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848,269</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90,000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559,284</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629,195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100,000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J.-M. Perraud</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600,000</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858,000</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59,100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385,000</w:t>
            </w:r>
          </w:p>
        </w:tc>
        <w:tc>
          <w:tcPr>
            <w:tcW w:w="12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60,000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Chief Financial Officer</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430,395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84,000</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30,301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X. Flinois (2)</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48,574</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1,165,756</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 Executive Vice President</w:t>
            </w:r>
          </w:p>
        </w:tc>
        <w:tc>
          <w:tcPr>
            <w:tcW w:w="2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520,325</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472,195</w:t>
            </w:r>
          </w:p>
        </w:tc>
        <w:tc>
          <w:tcPr>
            <w:tcW w:w="12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Dalton Boutte (3)</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519,125</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555,464</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30,857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Executive Vice President</w:t>
            </w:r>
          </w:p>
        </w:tc>
        <w:tc>
          <w:tcPr>
            <w:tcW w:w="2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Satish Pai (1)</w:t>
            </w:r>
          </w:p>
        </w:tc>
        <w:tc>
          <w:tcPr>
            <w:tcW w:w="2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470,541</w:t>
            </w:r>
          </w:p>
        </w:tc>
        <w:tc>
          <w:tcPr>
            <w:tcW w:w="4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448,455</w:t>
            </w:r>
          </w:p>
        </w:tc>
        <w:tc>
          <w:tcPr>
            <w:tcW w:w="12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30,000</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53,673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Vice President Oilfield Technologies</w:t>
            </w:r>
          </w:p>
        </w:tc>
        <w:tc>
          <w:tcPr>
            <w:tcW w:w="2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Messrs. Sbiti and Pai are paid in Euros.</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Flinois was paid in Pounds Sterling. In connection with the sale of the Sema business, Mr. Flinois left the Company and received a transaction bonus.</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Boutte is paid in Pounds Sterling.</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2004 amounts disclosed in this column include:</w:t>
      </w:r>
    </w:p>
    <w:p>
      <w:pPr>
        <w:ind w:left="780" w:hanging="434"/>
        <w:spacing w:after="0" w:line="221" w:lineRule="auto"/>
        <w:tabs>
          <w:tab w:leader="none" w:pos="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Company contributions paid in cash in lieu of credits under the Schlumberger Supplementary Benefit Plan.</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(b)($)</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2"/>
              </w:rPr>
              <w:t>(d) ($)</w:t>
            </w: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Sbiti</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61,561</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12,300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23,400</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Mr. Flinois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Boutte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22,657</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Mr. Pai</w:t>
            </w: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12,300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4,079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16,539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20,755</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60" w:right="160"/>
        <w:spacing w:after="0" w:line="239" w:lineRule="auto"/>
        <w:rPr>
          <w:sz w:val="20"/>
          <w:szCs w:val="20"/>
          <w:color w:val="auto"/>
        </w:rPr>
      </w:pPr>
      <w:r>
        <w:rPr>
          <w:rFonts w:ascii="Arial" w:cs="Arial" w:eastAsia="Arial" w:hAnsi="Arial"/>
          <w:sz w:val="14"/>
          <w:szCs w:val="14"/>
          <w:color w:val="auto"/>
        </w:rPr>
        <w:t>The Company’s matching credits under the Schlumberger Restoration Savings Plan are vested one-third at two years of service, two-thirds at three years, fully at four years or upon the earliest of age 60, death or change of control. The amounts accumulated under the Schlumberger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left="360" w:right="64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Restoration Savings Plan and the International Staff Profit Sharing Plan will be paid upon the satisfaction of certain conditions on termination or retirement, death, disability or in the case of the Schlumberger Restoration Savings Plan, a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Grants Table</w:t>
      </w:r>
    </w:p>
    <w:p>
      <w:pPr>
        <w:spacing w:after="0" w:line="8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following table sets forth certain information concerning options granted during 2004 to the named executive officers. Any value realized upon exercise of the options will depend upon the market price of Schlumberger common stock at the time the option is exercised relative to the exercise price of the option.</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Individual Grants</w:t>
            </w: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 of Total</w:t>
            </w: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17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3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Exercise</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Options</w:t>
            </w:r>
          </w:p>
        </w:tc>
        <w:tc>
          <w:tcPr>
            <w:tcW w:w="17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to Employees in</w:t>
            </w:r>
          </w:p>
        </w:tc>
        <w:tc>
          <w:tcPr>
            <w:tcW w:w="13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Price</w:t>
            </w:r>
          </w:p>
        </w:tc>
        <w:tc>
          <w:tcPr>
            <w:tcW w:w="13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0" w:type="dxa"/>
            <w:vAlign w:val="bottom"/>
          </w:tcPr>
          <w:p>
            <w:pPr>
              <w:spacing w:after="0"/>
              <w:rPr>
                <w:sz w:val="1"/>
                <w:szCs w:val="1"/>
                <w:color w:val="auto"/>
              </w:rPr>
            </w:pPr>
          </w:p>
        </w:tc>
      </w:tr>
      <w:tr>
        <w:trPr>
          <w:trHeight w:val="174"/>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Granted (#) (1)</w:t>
            </w:r>
          </w:p>
        </w:tc>
        <w:tc>
          <w:tcPr>
            <w:tcW w:w="17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Fiscal Year</w:t>
            </w: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7"/>
              </w:rPr>
              <w:t>($/SH) (2)</w:t>
            </w: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20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415,000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55.90</w:t>
            </w:r>
          </w:p>
        </w:tc>
        <w:tc>
          <w:tcPr>
            <w:tcW w:w="7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01/21/14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4,477,850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20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90,000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c>
          <w:tcPr>
            <w:tcW w:w="7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65.235</w:t>
            </w:r>
          </w:p>
        </w:tc>
        <w:tc>
          <w:tcPr>
            <w:tcW w:w="740" w:type="dxa"/>
            <w:vAlign w:val="bottom"/>
          </w:tcPr>
          <w:p>
            <w:pPr>
              <w:spacing w:after="0"/>
              <w:rPr>
                <w:sz w:val="12"/>
                <w:szCs w:val="12"/>
                <w:color w:val="auto"/>
              </w:rPr>
            </w:pPr>
          </w:p>
        </w:tc>
        <w:tc>
          <w:tcPr>
            <w:tcW w:w="138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1,143,000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20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50,000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20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0</w:t>
            </w:r>
          </w:p>
        </w:tc>
        <w:tc>
          <w:tcPr>
            <w:tcW w:w="17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w:t>
            </w:r>
          </w:p>
        </w:tc>
        <w:tc>
          <w:tcPr>
            <w:tcW w:w="13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20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50,000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65.235</w:t>
            </w:r>
          </w:p>
        </w:tc>
        <w:tc>
          <w:tcPr>
            <w:tcW w:w="7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07/21/14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S. Pai</w:t>
            </w:r>
          </w:p>
        </w:tc>
        <w:tc>
          <w:tcPr>
            <w:tcW w:w="2000" w:type="dxa"/>
            <w:vAlign w:val="bottom"/>
            <w:gridSpan w:val="2"/>
          </w:tcPr>
          <w:p>
            <w:pPr>
              <w:jc w:val="right"/>
              <w:ind w:right="740"/>
              <w:spacing w:after="0"/>
              <w:rPr>
                <w:sz w:val="20"/>
                <w:szCs w:val="20"/>
                <w:color w:val="auto"/>
              </w:rPr>
            </w:pPr>
            <w:r>
              <w:rPr>
                <w:rFonts w:ascii="Arial" w:cs="Arial" w:eastAsia="Arial" w:hAnsi="Arial"/>
                <w:sz w:val="14"/>
                <w:szCs w:val="14"/>
                <w:color w:val="auto"/>
              </w:rPr>
              <w:t>30,000</w:t>
            </w: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65.235</w:t>
            </w:r>
          </w:p>
        </w:tc>
        <w:tc>
          <w:tcPr>
            <w:tcW w:w="74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color w:val="auto"/>
              </w:rPr>
              <w:t>07/21/14</w:t>
            </w:r>
          </w:p>
        </w:tc>
        <w:tc>
          <w:tcPr>
            <w:tcW w:w="800" w:type="dxa"/>
            <w:vAlign w:val="bottom"/>
          </w:tcPr>
          <w:p>
            <w:pPr>
              <w:jc w:val="right"/>
              <w:spacing w:after="0"/>
              <w:rPr>
                <w:sz w:val="20"/>
                <w:szCs w:val="20"/>
                <w:color w:val="auto"/>
              </w:rPr>
            </w:pPr>
            <w:r>
              <w:rPr>
                <w:rFonts w:ascii="Arial" w:cs="Arial" w:eastAsia="Arial" w:hAnsi="Arial"/>
                <w:sz w:val="14"/>
                <w:szCs w:val="14"/>
                <w:color w:val="auto"/>
              </w:rPr>
              <w:t>381,000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ind w:left="340" w:right="100" w:hanging="332"/>
        <w:spacing w:after="0" w:line="265"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has not granted any stock appreciation rights. Options listed above become exercisable in installments of 25% each year following the date of grant. The gain on each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ind w:left="340" w:right="420" w:hanging="332"/>
        <w:spacing w:after="0" w:line="221"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following assumptions were used to calculate the grant date present value under the Black-Scholes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3"/>
          </w:tcPr>
          <w:p>
            <w:pPr>
              <w:spacing w:after="0"/>
              <w:rPr>
                <w:sz w:val="20"/>
                <w:szCs w:val="20"/>
                <w:color w:val="auto"/>
              </w:rPr>
            </w:pPr>
            <w:r>
              <w:rPr>
                <w:rFonts w:ascii="Arial" w:cs="Arial" w:eastAsia="Arial" w:hAnsi="Arial"/>
                <w:sz w:val="14"/>
                <w:szCs w:val="14"/>
                <w:b w:val="1"/>
                <w:bCs w:val="1"/>
                <w:color w:val="auto"/>
              </w:rPr>
              <w:t>Assumption</w:t>
            </w:r>
          </w:p>
        </w:tc>
        <w:tc>
          <w:tcPr>
            <w:tcW w:w="20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87"/>
              </w:rPr>
              <w:t>January 21, 2004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July 21,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Life of Option</w:t>
            </w:r>
          </w:p>
        </w:tc>
        <w:tc>
          <w:tcPr>
            <w:tcW w:w="20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4.5 years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Risk Free Rate</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2.88%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Volatility</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31.38%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Dividend Yield</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1.51%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Price Appreciation Cap</w:t>
            </w:r>
          </w:p>
        </w:tc>
        <w:tc>
          <w:tcPr>
            <w:tcW w:w="206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125%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tcPr>
          <w:p>
            <w:pPr>
              <w:spacing w:after="0" w:line="149" w:lineRule="exact"/>
              <w:rPr>
                <w:sz w:val="20"/>
                <w:szCs w:val="20"/>
                <w:color w:val="auto"/>
              </w:rPr>
            </w:pPr>
            <w:r>
              <w:rPr>
                <w:rFonts w:ascii="Arial" w:cs="Arial" w:eastAsia="Arial" w:hAnsi="Arial"/>
                <w:sz w:val="14"/>
                <w:szCs w:val="14"/>
                <w:color w:val="auto"/>
              </w:rPr>
              <w:t>4-Year Graded Vesting Discount</w:t>
            </w:r>
          </w:p>
        </w:tc>
        <w:tc>
          <w:tcPr>
            <w:tcW w:w="206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92.72%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(includes 3% Annual Forfeiture Rate)</w:t>
            </w: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2004 Stock Option Value Table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2004 by the named executive officers and the number and value of unexercised options at December 31, 2004. Schlumberger has not granted stock appreciation rights. The values of unexercised in-the-money stock options at December 31, 2004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Securities</w:t>
            </w: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Underlying</w:t>
            </w:r>
          </w:p>
        </w:tc>
        <w:tc>
          <w:tcPr>
            <w:tcW w:w="1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Unexercised</w:t>
            </w:r>
          </w:p>
        </w:tc>
        <w:tc>
          <w:tcPr>
            <w:tcW w:w="1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Value</w:t>
            </w:r>
          </w:p>
        </w:tc>
        <w:tc>
          <w:tcPr>
            <w:tcW w:w="1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Options at FY-End</w:t>
            </w:r>
          </w:p>
        </w:tc>
        <w:tc>
          <w:tcPr>
            <w:tcW w:w="6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at FY-End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Acquired on</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Realized</w:t>
            </w:r>
          </w:p>
        </w:tc>
        <w:tc>
          <w:tcPr>
            <w:tcW w:w="1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 Exercisable /</w:t>
            </w:r>
          </w:p>
        </w:tc>
        <w:tc>
          <w:tcPr>
            <w:tcW w:w="6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Exercisable /</w:t>
            </w:r>
          </w:p>
        </w:tc>
        <w:tc>
          <w:tcPr>
            <w:tcW w:w="0" w:type="dxa"/>
            <w:vAlign w:val="bottom"/>
          </w:tcPr>
          <w:p>
            <w:pPr>
              <w:spacing w:after="0"/>
              <w:rPr>
                <w:sz w:val="1"/>
                <w:szCs w:val="1"/>
                <w:color w:val="auto"/>
              </w:rPr>
            </w:pPr>
          </w:p>
        </w:tc>
      </w:tr>
      <w:tr>
        <w:trPr>
          <w:trHeight w:val="174"/>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Exercises (#)</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Unexercisable</w:t>
            </w:r>
          </w:p>
        </w:tc>
        <w:tc>
          <w:tcPr>
            <w:tcW w:w="6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630,790</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915,000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6,762,845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12,942,850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C. Sbiti</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17,584</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575,085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119,257</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208,000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1,480,896</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2,542,900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J-M. Perraud</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150,633</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143,000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2,557,722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56,720</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711,473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11,870</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319,592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127,869</w:t>
            </w:r>
          </w:p>
        </w:tc>
        <w:tc>
          <w:tcPr>
            <w:tcW w:w="12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174,000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1,028,780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S. Pai</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2,198</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61,603</w:t>
            </w:r>
          </w:p>
        </w:tc>
        <w:tc>
          <w:tcPr>
            <w:tcW w:w="560" w:type="dxa"/>
            <w:vAlign w:val="bottom"/>
          </w:tcPr>
          <w:p>
            <w:pPr>
              <w:jc w:val="right"/>
              <w:spacing w:after="0"/>
              <w:rPr>
                <w:sz w:val="20"/>
                <w:szCs w:val="20"/>
                <w:color w:val="auto"/>
              </w:rPr>
            </w:pPr>
            <w:r>
              <w:rPr>
                <w:rFonts w:ascii="Arial" w:cs="Arial" w:eastAsia="Arial" w:hAnsi="Arial"/>
                <w:sz w:val="14"/>
                <w:szCs w:val="14"/>
                <w:color w:val="auto"/>
              </w:rPr>
              <w:t>66,745</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119,200</w:t>
            </w:r>
          </w:p>
        </w:tc>
        <w:tc>
          <w:tcPr>
            <w:tcW w:w="660" w:type="dxa"/>
            <w:vAlign w:val="bottom"/>
          </w:tcPr>
          <w:p>
            <w:pPr>
              <w:jc w:val="right"/>
              <w:spacing w:after="0"/>
              <w:rPr>
                <w:sz w:val="20"/>
                <w:szCs w:val="20"/>
                <w:color w:val="auto"/>
              </w:rPr>
            </w:pPr>
            <w:r>
              <w:rPr>
                <w:rFonts w:ascii="Arial" w:cs="Arial" w:eastAsia="Arial" w:hAnsi="Arial"/>
                <w:sz w:val="14"/>
                <w:szCs w:val="14"/>
                <w:color w:val="auto"/>
              </w:rPr>
              <w:t>605,218</w:t>
            </w:r>
          </w:p>
        </w:tc>
        <w:tc>
          <w:tcPr>
            <w:tcW w:w="1020" w:type="dxa"/>
            <w:vAlign w:val="bottom"/>
          </w:tcPr>
          <w:p>
            <w:pPr>
              <w:jc w:val="right"/>
              <w:spacing w:after="0"/>
              <w:rPr>
                <w:sz w:val="20"/>
                <w:szCs w:val="20"/>
                <w:color w:val="auto"/>
              </w:rPr>
            </w:pPr>
            <w:r>
              <w:rPr>
                <w:rFonts w:ascii="Arial" w:cs="Arial" w:eastAsia="Arial" w:hAnsi="Arial"/>
                <w:sz w:val="14"/>
                <w:szCs w:val="14"/>
                <w:color w:val="auto"/>
              </w:rPr>
              <w:t>1,217,190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Market value of stock on date of exercise less exercise price.</w:t>
      </w:r>
    </w:p>
    <w:p>
      <w:pPr>
        <w:spacing w:after="0"/>
        <w:tabs>
          <w:tab w:leader="none" w:pos="320" w:val="left"/>
        </w:tabs>
        <w:rPr>
          <w:sz w:val="20"/>
          <w:szCs w:val="20"/>
          <w:color w:val="auto"/>
        </w:rPr>
      </w:pPr>
      <w:r>
        <w:rPr>
          <w:rFonts w:ascii="Arial" w:cs="Arial" w:eastAsia="Arial" w:hAnsi="Arial"/>
          <w:sz w:val="14"/>
          <w:szCs w:val="14"/>
          <w:color w:val="auto"/>
        </w:rPr>
        <w:t>(2)</w:t>
        <w:tab/>
        <w:t>Closing price of stock on December 31, 2004 ($66.95)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plans also permit or require contributions by employees.</w:t>
      </w:r>
    </w:p>
    <w:p>
      <w:pPr>
        <w:ind w:left="240"/>
        <w:spacing w:after="0"/>
        <w:rPr>
          <w:sz w:val="20"/>
          <w:szCs w:val="20"/>
          <w:color w:val="auto"/>
        </w:rPr>
      </w:pPr>
      <w:r>
        <w:rPr>
          <w:rFonts w:ascii="Arial" w:cs="Arial" w:eastAsia="Arial" w:hAnsi="Arial"/>
          <w:sz w:val="16"/>
          <w:szCs w:val="16"/>
          <w:color w:val="auto"/>
        </w:rPr>
        <w:t>Benefits under the international staff pension plans of the Company and certain of its subsidiaries are based on a participant’s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(generally, base salary plus incentive) for each year in which the employee participates in the plans and the employee’s length of service with the Company 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subsidiary. Since January 1, 1993, the benefit earned has been 3.2% of admissible compensation for each year of service. Benefits are payable upon normal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retirement age, at or after age 55, or upon early retirement. Estimated annual benefits from these plans payable upon retirement are: $124,237 for Mr. Gould,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$87,183 for Mr. Sbiti, $117,516 for Mr. Flinois, $12,338 for Mr. Perraud, $25,198 for Mr. Pai, and $175,677 for Mr. Boutte, assuming admissible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continues at the December 31, 2004 level for Mr. Boutte.</w:t>
      </w:r>
    </w:p>
    <w:p>
      <w:pPr>
        <w:spacing w:after="0" w:line="9"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$4,769 for Mr. Sbiti, $24,739 for Mr. Flinois and $59,986 for Mr. Boutte, and, assuming admissible compensation continues at the December 31, 2004 levels, $542,734 for Mr. Gould, $226,607 for Mr. Perraud, and $449,545 for Mr. Pai.</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Performance Graph</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14.</w:t>
      </w:r>
    </w:p>
    <w:p>
      <w:pPr>
        <w:spacing w:after="0" w:line="93" w:lineRule="exact"/>
        <w:rPr>
          <w:sz w:val="20"/>
          <w:szCs w:val="20"/>
          <w:color w:val="auto"/>
        </w:rPr>
      </w:pPr>
    </w:p>
    <w:p>
      <w:pPr>
        <w:jc w:val="center"/>
        <w:ind w:left="420" w:right="202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84455</wp:posOffset>
            </wp:positionV>
            <wp:extent cx="5162550" cy="2855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255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1999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280" w:right="4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Role of Compensation Committee</w:t>
      </w:r>
    </w:p>
    <w:p>
      <w:pPr>
        <w:spacing w:after="0" w:line="83" w:lineRule="exact"/>
        <w:rPr>
          <w:sz w:val="20"/>
          <w:szCs w:val="20"/>
          <w:color w:val="auto"/>
        </w:rPr>
      </w:pPr>
    </w:p>
    <w:p>
      <w:pPr>
        <w:ind w:left="240" w:right="240" w:hanging="227"/>
        <w:spacing w:after="0" w:line="305" w:lineRule="auto"/>
        <w:rPr>
          <w:sz w:val="20"/>
          <w:szCs w:val="20"/>
          <w:color w:val="auto"/>
        </w:rPr>
      </w:pPr>
      <w:r>
        <w:rPr>
          <w:rFonts w:ascii="Arial" w:cs="Arial" w:eastAsia="Arial" w:hAnsi="Arial"/>
          <w:sz w:val="15"/>
          <w:szCs w:val="15"/>
          <w:color w:val="auto"/>
        </w:rPr>
        <w:t>The Compensation Committee is comprised of four directors who meet the independence requirements of the New York Stock Exchange’s listing standards. The purpose of the Committee is to assist the Board in carrying out its responsibilities with regard to executive compensation, overseeing the compensation</w:t>
      </w:r>
    </w:p>
    <w:p>
      <w:pPr>
        <w:ind w:right="220"/>
        <w:spacing w:after="0" w:line="281" w:lineRule="auto"/>
        <w:rPr>
          <w:sz w:val="20"/>
          <w:szCs w:val="20"/>
          <w:color w:val="auto"/>
        </w:rPr>
      </w:pPr>
      <w:r>
        <w:rPr>
          <w:rFonts w:ascii="Arial" w:cs="Arial" w:eastAsia="Arial" w:hAnsi="Arial"/>
          <w:sz w:val="16"/>
          <w:szCs w:val="16"/>
          <w:color w:val="auto"/>
        </w:rPr>
        <w:t>philosophy of Schlumberger, serving as the Stock Option Committee under Schlumberger’s stock option plans, and reporting on executive compensation to the Company’s stockholders. With regard to CEO compensation, the Committee reviews and approves annual objectives, evaluates performance and recommends compensation to the independent members of the Board. The Committee reviews the compensation and benefits of Schlumberger’s executive officers and administers and makes awards under the Company’s stock option plans.</w:t>
      </w:r>
    </w:p>
    <w:p>
      <w:pPr>
        <w:spacing w:after="0" w:line="3" w:lineRule="exact"/>
        <w:rPr>
          <w:sz w:val="20"/>
          <w:szCs w:val="20"/>
          <w:color w:val="auto"/>
        </w:rPr>
      </w:pPr>
    </w:p>
    <w:p>
      <w:pPr>
        <w:ind w:right="420" w:firstLine="228"/>
        <w:spacing w:after="0" w:line="255" w:lineRule="auto"/>
        <w:rPr>
          <w:sz w:val="20"/>
          <w:szCs w:val="20"/>
          <w:color w:val="auto"/>
        </w:rPr>
      </w:pPr>
      <w:r>
        <w:rPr>
          <w:rFonts w:ascii="Arial" w:cs="Arial" w:eastAsia="Arial" w:hAnsi="Arial"/>
          <w:sz w:val="18"/>
          <w:szCs w:val="18"/>
          <w:color w:val="auto"/>
        </w:rPr>
        <w:t>The Committee has retained the consulting firm that previously advised management on subjects relating to executive compensation. Management is not working with this firm on any assignments other than topics of interest to the Committee. The consultants will report to and act at the direction of the 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Philosophy of Compensation Principles</w:t>
      </w:r>
    </w:p>
    <w:p>
      <w:pPr>
        <w:spacing w:after="0" w:line="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compensation philosophy is to provide programs that maintain the short- and long-term motivation of our employees, insuring that cash compensation is directly related to performance through financial and non-financial objectives. The Company manages this through an annual objectives-setting process and review, which extends globally through the entire exempt population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long-term compensation (stock options) is tied to stockholder interests through plan design. Additionally, the Company maintains a stock purchase plan designed to allow all employees, where permitted by local law, to own equity in the Company.</w:t>
      </w:r>
    </w:p>
    <w:p>
      <w:pPr>
        <w:ind w:firstLine="228"/>
        <w:spacing w:after="0" w:line="250" w:lineRule="auto"/>
        <w:rPr>
          <w:sz w:val="20"/>
          <w:szCs w:val="20"/>
          <w:color w:val="auto"/>
        </w:rPr>
      </w:pPr>
      <w:r>
        <w:rPr>
          <w:rFonts w:ascii="Arial" w:cs="Arial" w:eastAsia="Arial" w:hAnsi="Arial"/>
          <w:sz w:val="18"/>
          <w:szCs w:val="18"/>
          <w:color w:val="auto"/>
        </w:rPr>
        <w:t>Compensation programs have consistently been the same design for all exempt employees, from entry through executive levels. The proportion of an employee’s total compensation that varies based on individual and Company performance is related to the job’s position in the management ladder. The higher the job level, the higher the percent of variable pay in the mix of total compensation.</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Prior to the adoption of FAS 123 in the third quarter of 2003, the Company undertook an extensive study of equity vehicles to identify which designs would best satisfy Schlumberger’s objectives. The Committee determined that stock option and stock purchase plans are appropriate vehicles for Schlumberger to:</w:t>
      </w:r>
    </w:p>
    <w:p>
      <w:pPr>
        <w:spacing w:after="0" w:line="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good governance practices;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encourage motivation of short-and long-term performance;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plan benefits with stockholder interests.</w:t>
      </w:r>
    </w:p>
    <w:p>
      <w:pPr>
        <w:spacing w:after="0" w:line="3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At the end of the process, the Compensation Committee approved modifications to certain stock option provisions and to the stock purchase plan to minimize expenses associated with the adoption of FAS 123 while maintaining the benefits listed above. The stock option component was modified to include a cap on new option grants that limits the potential gain on stock appreciation to 125% of the price on the date of grant. The stock purchase plan modifications include a reduction in the discount from 15% to 7.5% and a reduction in the purchase period from 12 to 6 months.</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In January 2005, the Committee recommended and the Board approved a new stock option plan for 9,000,000 shares so the Company can continue the program. The Committee also recommended and the Board approved an amendment to the stock purchase plan to make 6,000,000 additional shares available for purchase. Both plans are being submitted to the stockholders for approval in April 2005.</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The same basic concepts of the compensation program apply to all exempt employees globally. There are three components of compensation: base salary, annual performance-based cash incentives and stock options.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Components of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salary range midpoints are targeted to be at the median of the comparator markets (as described below)</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salaries are reviewed annually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Performance-Based Cash Incentives.</w:t>
      </w:r>
    </w:p>
    <w:p>
      <w:pPr>
        <w:spacing w:after="0" w:line="77" w:lineRule="exact"/>
        <w:rPr>
          <w:sz w:val="20"/>
          <w:szCs w:val="20"/>
          <w:color w:val="auto"/>
        </w:rPr>
      </w:pPr>
    </w:p>
    <w:p>
      <w:pPr>
        <w:ind w:left="780" w:right="70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performance-based cash incentives are targeted to be above the median of the comparator market in years of excellent or outstanding performance.</w:t>
      </w: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years of less than excellent performance, we expect our total cash compensation to be at or below the median of the comparator market.</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Long-Term Incentives (Stock Options)</w:t>
      </w:r>
    </w:p>
    <w:p>
      <w:pPr>
        <w:spacing w:after="0" w:line="77" w:lineRule="exact"/>
        <w:rPr>
          <w:sz w:val="20"/>
          <w:szCs w:val="20"/>
          <w:color w:val="auto"/>
        </w:rPr>
      </w:pPr>
    </w:p>
    <w:p>
      <w:pPr>
        <w:ind w:left="780" w:right="300" w:hanging="326"/>
        <w:spacing w:after="0" w:line="25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options are awarded annually to retain high value employees and to reward a specific achievement. The use of stock options has long been a vital component of our overall compensation philosophy.</w:t>
      </w:r>
    </w:p>
    <w:p>
      <w:pPr>
        <w:ind w:left="780" w:right="60" w:hanging="326"/>
        <w:spacing w:after="0" w:line="28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 options are granted with an exercise price equal to the fair market value on the date of grant; vest 25% annually over four years; and have a ten-year life. The gain on appreciation for all options granted since July 2003 is capped at 125% of the price on the date of grant.</w:t>
      </w:r>
    </w:p>
    <w:p>
      <w:pPr>
        <w:spacing w:after="0" w:line="1" w:lineRule="exact"/>
        <w:rPr>
          <w:rFonts w:ascii="Arial" w:cs="Arial" w:eastAsia="Arial" w:hAnsi="Arial"/>
          <w:sz w:val="16"/>
          <w:szCs w:val="16"/>
          <w:color w:val="auto"/>
        </w:rPr>
      </w:pPr>
    </w:p>
    <w:p>
      <w:pPr>
        <w:ind w:left="78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 employees are eligible for stock options. Company management conducts a review annually to identify high value employees and those who have made a significant achievement or received a key promotion during the year. Recommending an employee for a stock option grant at Schlumberger is a highly selective and discretionary process. Each grant typically includes fewer than 10% of our exempt population. Nominations are based on performance and results.</w:t>
      </w:r>
    </w:p>
    <w:p>
      <w:pPr>
        <w:spacing w:after="0" w:line="1" w:lineRule="exact"/>
        <w:rPr>
          <w:rFonts w:ascii="Arial" w:cs="Arial" w:eastAsia="Arial" w:hAnsi="Arial"/>
          <w:sz w:val="18"/>
          <w:szCs w:val="18"/>
          <w:color w:val="auto"/>
        </w:rPr>
      </w:pPr>
    </w:p>
    <w:p>
      <w:pPr>
        <w:jc w:val="both"/>
        <w:ind w:left="780" w:right="120" w:hanging="326"/>
        <w:spacing w:after="0" w:line="30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Option grants are based on performance, potential impact on the Company, support of long-term retention, comparison to the competitive market and internal peer jobs. The Committee approves the size of each general grant and approves by name each recommendation of 5,000 shares or more. The Committee also reviews key statistics of each general grant, including nationality and gender diversity.</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addition to the compensation plans mentioned above, the Committee reviews and approves the design of and Company contributions to the U.S. and International Staff pension and profit sharing plans. In 2004, the Committee approved a change in the U.S. pension plan, which excludes employees hired on or after October 1, 2004 from participating in the plan. The Committee also approved a change in the U.S. profit sharing plan that increases the guaranteed matching contribution rate for employees hired on and after October 1,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Selection of Market Comparator Companies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approves the companies used in the executive competitive analysis, which are recommended by the Committee’s outside consultants. In 2005, the Committee approved changes in the peer groups to reflect changes in business as a result of certain divestitures made by the Company.</w:t>
      </w:r>
    </w:p>
    <w:p>
      <w:pPr>
        <w:ind w:left="240"/>
        <w:spacing w:after="0"/>
        <w:rPr>
          <w:sz w:val="20"/>
          <w:szCs w:val="20"/>
          <w:color w:val="auto"/>
        </w:rPr>
      </w:pPr>
      <w:r>
        <w:rPr>
          <w:rFonts w:ascii="Arial" w:cs="Arial" w:eastAsia="Arial" w:hAnsi="Arial"/>
          <w:sz w:val="18"/>
          <w:szCs w:val="18"/>
          <w:color w:val="auto"/>
        </w:rPr>
        <w:t>The 2005 comparator company data are taken from recognized executive compensation surveys and include two peer groups:</w:t>
      </w:r>
    </w:p>
    <w:p>
      <w:pPr>
        <w:spacing w:after="0" w:line="9" w:lineRule="exact"/>
        <w:rPr>
          <w:sz w:val="20"/>
          <w:szCs w:val="20"/>
          <w:color w:val="auto"/>
        </w:rPr>
      </w:pPr>
    </w:p>
    <w:p>
      <w:pPr>
        <w:ind w:left="1360" w:right="20" w:hanging="555"/>
        <w:spacing w:after="0" w:line="250"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peer group includes 26 companies in the oil services, exploration and production, refining and pipeline industries, including 11 direct competitors in the oilfield services industry, which are part of the Value Line comparator companies. These 26 companies have median revenues and assets similar to Schlumberger.</w:t>
      </w:r>
    </w:p>
    <w:p>
      <w:pPr>
        <w:spacing w:after="0" w:line="1" w:lineRule="exact"/>
        <w:rPr>
          <w:rFonts w:ascii="Arial" w:cs="Arial" w:eastAsia="Arial" w:hAnsi="Arial"/>
          <w:sz w:val="18"/>
          <w:szCs w:val="18"/>
          <w:color w:val="auto"/>
        </w:rPr>
      </w:pPr>
    </w:p>
    <w:p>
      <w:pPr>
        <w:ind w:left="1360" w:right="80" w:hanging="555"/>
        <w:spacing w:after="0" w:line="255"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second peer group includes 89 companies of similarly sized revenues ($5-$25 billion, median revenue $10 billion). However, excluded from this peer group are companies from industry sectors that are least comparable to Schlumberger’s areas of focus and do not have a global presence.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Executive Compensation</w:t>
      </w:r>
    </w:p>
    <w:p>
      <w:pPr>
        <w:spacing w:after="0" w:line="8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Committee has set January as the time each year that executive compensation will be reviewed, including base salary, annual performance-based cash incentives and stock option awards. Special stock option grants may be awarded for specific achievements and promotions during the quarterly Compensation Committee meetings of the Board.</w:t>
      </w:r>
    </w:p>
    <w:p>
      <w:pPr>
        <w:ind w:right="120" w:firstLine="228"/>
        <w:spacing w:after="0" w:line="255"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7" w:name="page18"/>
    <w:bookmarkEnd w:id="1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162(m) and are not subject to the $1 million limitation. The Committee continues to believe that the cash compensation payable in excess of this amount for the five named executives will not result in any material loss of tax deduction.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Elements for Executive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Each executive officer position is compared to similar jobs in industry-specific comparator companies and to the broader group of comparator companies of similar revenue size, as explained above. A base salary increase is awarded according to individual performance against objectives, comparison to internal peer positions, the Company’s relative performance during the year and competitive market movement. A base salary is generally set for a number of years.</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Typically the higher the position, the lower the base salary as a percent of total compensation. For employees in higher positions, annual performance-based cash incentives and stock option awards are a larger percent of total compensation and vary according to performance and results.</w:t>
      </w:r>
    </w:p>
    <w:p>
      <w:pPr>
        <w:spacing w:after="0" w:line="1"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Each officer’s base salary increase is reviewed and approved by the Committee, and in each case the Committee reviews the competitive market information before approving an increase.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executive officer level, the annual performance-based cash incentive program is a combination of financial and personal objectives. Award opportunities vary by position and are expressed as a percentage of base salary. One-half of an executive’s incentive is a combination of financial objectives relating to the executive’s business group and the Company’s overall performance, such as EPS. A minimum performance level is set, below which no incentive is paid for this half of the bonus opportunity. For executive officers (and certain other high level management positions), if the financial performance exceeds preset, approved objectives, this half of the award can increase from 100% to up to 200% of the incentive opportunity for this half of the award (increasing the total annual incentive opportunity to 150% of the total award). The second half of the incentive is related to personal objectives that may include market share, acquisitions, divestitures, growth or any relevant business priority. Each executive officer’s performance results and recommended incentive payout are reviewed and approved by the 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7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Stock options are a key element of executive compensation. The size of the grant is based on performance, significant promotion, comparison of competitive market practices for similar-size jobs, as well as total career grants compared with internal peer jobs.</w:t>
      </w:r>
    </w:p>
    <w:p>
      <w:pPr>
        <w:ind w:right="220" w:firstLine="228"/>
        <w:spacing w:after="0" w:line="261" w:lineRule="auto"/>
        <w:rPr>
          <w:sz w:val="20"/>
          <w:szCs w:val="20"/>
          <w:color w:val="auto"/>
        </w:rPr>
      </w:pPr>
      <w:r>
        <w:rPr>
          <w:rFonts w:ascii="Arial" w:cs="Arial" w:eastAsia="Arial" w:hAnsi="Arial"/>
          <w:sz w:val="18"/>
          <w:szCs w:val="18"/>
          <w:color w:val="auto"/>
        </w:rPr>
        <w:t>Typically, the variable performance-based portion of compensation, including annual performance-based cash incentives and stock options, comprises more than 60% of an executive officer’s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Guidelines (For Executive Officers and other Key Staff Positions)</w:t>
      </w:r>
    </w:p>
    <w:p>
      <w:pPr>
        <w:spacing w:after="0" w:line="7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Committee and management believe strongly in linking stockholder and executive values, so stock ownership guidelines were established in 2004. The guidelines include ownership requirements for the CEO at 5 times base salary; Executive Vice Presidents at 3 times base salary; Officers at 1.5 times base salary and key staff positions at 1 times base salary. In addition, each executive under the guidelines must hold in shares at least 30% of their gain on the stock option exercise for a period of six months. Those who do not meet the guidelines after the six-month period must continue to hold the shares until the guidelines are met. There is no specified timeline to achieve the guidelines, as many of our executives hold their options for the life of the grant.</w:t>
      </w:r>
    </w:p>
    <w:p>
      <w:pPr>
        <w:spacing w:after="0" w:line="2" w:lineRule="exact"/>
        <w:rPr>
          <w:sz w:val="20"/>
          <w:szCs w:val="20"/>
          <w:color w:val="auto"/>
        </w:rPr>
      </w:pPr>
    </w:p>
    <w:p>
      <w:pPr>
        <w:ind w:right="300" w:firstLine="228"/>
        <w:spacing w:after="0" w:line="261" w:lineRule="auto"/>
        <w:rPr>
          <w:sz w:val="20"/>
          <w:szCs w:val="20"/>
          <w:color w:val="auto"/>
        </w:rPr>
      </w:pPr>
      <w:r>
        <w:rPr>
          <w:rFonts w:ascii="Arial" w:cs="Arial" w:eastAsia="Arial" w:hAnsi="Arial"/>
          <w:sz w:val="18"/>
          <w:szCs w:val="18"/>
          <w:color w:val="auto"/>
        </w:rPr>
        <w:t>The guidelines prohibit our executives from speculating in our stock, which includes, but is not limited to, short selling (profiting if the market price of the securities decreases); buying or selling publicly traded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including writing covered calls; and hedging or any other type of derivative arrangement that has a similar economic effect. In addition, those who are subject to the guidelines are prohibited from trading during the Company’s blackout periods.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Benefits for Executive Officers</w:t>
      </w:r>
    </w:p>
    <w:p>
      <w:pPr>
        <w:spacing w:after="0" w:line="7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Schlumberger executives enjoy the same benefits other employees are offered, including medical exams and supplemental plans chosen and paid for by employees who want the additional coverage.</w:t>
      </w:r>
    </w:p>
    <w:p>
      <w:pPr>
        <w:spacing w:after="0" w:line="118"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All employees in the US whose compensation exceeds the qualified plan limits are eligible to participate in non-qualified excess benefit programs for 401(k), profit sharing and pension, entitling them to receive larger allocations and make larger contributions than allowed under the qualified plan limits.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Additionally, the value of perquisites Schlumberger provided did not exceed $30,000 for any executive officer in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Named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Mr. Perraud was awarded a base salary increase in 2004. Mr. Pai’s base salary was adjusted when he transferred from the US to the Paris Headquarters, based on conversion from USD to the Euro. Messrs. Perraud and Pai are positioned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 Messrs. Sbiti and Boutte have not received an increase in base salary since 2003.</w:t>
      </w:r>
    </w:p>
    <w:p>
      <w:pPr>
        <w:spacing w:after="0" w:line="144" w:lineRule="exact"/>
        <w:rPr>
          <w:sz w:val="20"/>
          <w:szCs w:val="20"/>
          <w:color w:val="auto"/>
        </w:rPr>
      </w:pPr>
    </w:p>
    <w:p>
      <w:pPr>
        <w:ind w:right="620" w:firstLine="228"/>
        <w:spacing w:after="0" w:line="332" w:lineRule="auto"/>
        <w:rPr>
          <w:sz w:val="20"/>
          <w:szCs w:val="20"/>
          <w:color w:val="auto"/>
        </w:rPr>
      </w:pPr>
      <w:r>
        <w:rPr>
          <w:rFonts w:ascii="Arial" w:cs="Arial" w:eastAsia="Arial" w:hAnsi="Arial"/>
          <w:sz w:val="16"/>
          <w:szCs w:val="16"/>
          <w:color w:val="auto"/>
        </w:rPr>
        <w:t>In January, when base salary increases are recommended, the Committee reviews competitive data of similar jobs and management’s evaluation of the performance and potential of each executive officer. The Committee approves changes to base salaries.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Incentives are paid in February for the prior year’s performance against agreed-to objectives. These objectives include specific goals for the financial performance of the officer’s business group, the overall Company performance and several personal objectives. The financial half of the performance-based cash incentives for Messrs. Sbiti, Boutte and Pai were a combination of financial measures for their groups and EPS for Schlumberger. Their awards are commensurate with the financial performance of their businesses as measured against their goals and the corporate EPS goal, which was exceeded. The second half of their incentive focused on business objectives for Oilfield Services, WesternGeco and the Technologies Group of Oilfield Services, respectively.</w:t>
      </w:r>
    </w:p>
    <w:p>
      <w:pPr>
        <w:spacing w:after="0" w:line="102"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Officers who hold staff positions are measured against the Company’s financial goals and their personal objectives. Mr. Perraud’s financial objective was the EPS goal. The second half of his performance-based cash incentive included business and function-related objectives. His award was commensurate with achievement of these goals.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combination of base salary and performance-based cash incentives places Messrs. Sbiti, Perraud and Boutte in the top quartile of the comparator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Mr. Pai is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comparator market.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 Mr. Flinois received a payment of $1,165,756 related to his performance and contribution during the Sema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Messrs. Sbiti, Perraud, Boutte and Pai were granted capped stock options in 2004 and 2005 with vesting over four years and a ten-year term.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ind w:right="220" w:firstLine="22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2004, these executive officers received more than 60% of their annual compensation in the form of variable components, which include the performance-based cash incentive and the value of their 2004 stock option grant.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for Chief Executive Officer and Chairman of the Board</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Gould’s base salary was set at $1,500,000 in 2003, when he became CEO of the Company. He did not receive a base salary increase in 2004. In years when the Company’s performance significantly exceeds expectations, Mr. Gould’s incentive opportunity can reach a maximum level of 150% of base salary. Early each year the Compensation Committee approves the objectives the CEO will work toward during the year. In 2004, the financial half of the performance-based incentive was an EPS goal, which was exceeded.</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second half of the annual performance-based cash incentive award reflects the Committee’s evaluation of Mr. Gould’s performance against strategic and business objectives that are presented to and approved by the Committee early in the year. In 2004, Mr. Gould had major objectives to complete the divestitures of non-oilfield services activities and to position the Company’s strategy for the next five years’ development and growth in the current economic and political environment.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Based on Mr. Gould’s overall results in 2004, the Committee recommended and presented to the Board a performance-based cash incentive award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$2,100,000, which places Mr. Gould’s total cash compensation, base salary and annual incentive,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w:t>
      </w:r>
    </w:p>
    <w:p>
      <w:pPr>
        <w:spacing w:after="0"/>
        <w:rPr>
          <w:sz w:val="20"/>
          <w:szCs w:val="20"/>
          <w:color w:val="auto"/>
        </w:rPr>
      </w:pPr>
      <w:r>
        <w:rPr>
          <w:rFonts w:ascii="Arial" w:cs="Arial" w:eastAsia="Arial" w:hAnsi="Arial"/>
          <w:sz w:val="18"/>
          <w:szCs w:val="18"/>
          <w:color w:val="auto"/>
        </w:rPr>
        <w:t>market.</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The Committee awarded Mr. Gould a stock option grant of 415,000 shares in January 2004 and 400,000 shares in January 2005. Both grants have a cap on the gain at 125% of the price on the date of grant, a ten-year term and vesting at 25% each year following the date of grant.</w:t>
      </w:r>
    </w:p>
    <w:p>
      <w:pPr>
        <w:spacing w:after="0" w:line="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Mr. Gould received more than 70% of his 2004 annual compensation from variable compensation components, that include his performance-based cash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incentive and the value of his 2004 stock option grant, which places his total compensation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the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of the comparator market.</w:t>
      </w:r>
    </w:p>
    <w:p>
      <w:pPr>
        <w:ind w:left="240"/>
        <w:spacing w:after="0"/>
        <w:rPr>
          <w:sz w:val="20"/>
          <w:szCs w:val="20"/>
          <w:color w:val="auto"/>
        </w:rPr>
      </w:pPr>
      <w:r>
        <w:rPr>
          <w:rFonts w:ascii="Arial" w:cs="Arial" w:eastAsia="Arial" w:hAnsi="Arial"/>
          <w:sz w:val="18"/>
          <w:szCs w:val="18"/>
          <w:color w:val="auto"/>
        </w:rPr>
        <w:t>There are no employment agreements for any executive officer.</w:t>
      </w:r>
    </w:p>
    <w:p>
      <w:pPr>
        <w:spacing w:after="0" w:line="1" w:lineRule="exact"/>
        <w:rPr>
          <w:sz w:val="20"/>
          <w:szCs w:val="20"/>
          <w:color w:val="auto"/>
        </w:rPr>
      </w:pPr>
    </w:p>
    <w:p>
      <w:pPr>
        <w:ind w:right="380" w:firstLine="228"/>
        <w:spacing w:after="0" w:line="261" w:lineRule="auto"/>
        <w:rPr>
          <w:sz w:val="20"/>
          <w:szCs w:val="20"/>
          <w:color w:val="auto"/>
        </w:rPr>
      </w:pPr>
      <w:r>
        <w:rPr>
          <w:rFonts w:ascii="Arial" w:cs="Arial" w:eastAsia="Arial" w:hAnsi="Arial"/>
          <w:sz w:val="18"/>
          <w:szCs w:val="18"/>
          <w:color w:val="auto"/>
        </w:rPr>
        <w:t>The Committee has reviewed all compensation components for executive officers, including base salary, annual performance-based cash incentives, stock option grants, profit sharing allocations and individual officer perquisites.</w:t>
      </w:r>
    </w:p>
    <w:p>
      <w:pPr>
        <w:spacing w:after="0" w:line="124" w:lineRule="exact"/>
        <w:rPr>
          <w:sz w:val="20"/>
          <w:szCs w:val="20"/>
          <w:color w:val="auto"/>
        </w:rPr>
      </w:pPr>
    </w:p>
    <w:p>
      <w:pPr>
        <w:ind w:left="20" w:right="512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20"/>
          </w:cols>
          <w:pgMar w:left="240" w:top="280" w:right="239" w:bottom="1440" w:gutter="0" w:footer="0" w:header="0"/>
        </w:sectPr>
      </w:pPr>
    </w:p>
    <w:p>
      <w:pPr>
        <w:spacing w:after="0" w:line="11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Linda G. Stuntz, Chair</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Jamie S. Gorelick</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3" w:lineRule="exact"/>
        <w:rPr>
          <w:sz w:val="20"/>
          <w:szCs w:val="20"/>
          <w:color w:val="auto"/>
        </w:rPr>
      </w:pPr>
    </w:p>
    <w:p>
      <w:pPr>
        <w:sectPr>
          <w:pgSz w:w="11900" w:h="16838" w:orient="portrait"/>
          <w:cols w:equalWidth="0" w:num="2">
            <w:col w:w="5260" w:space="720"/>
            <w:col w:w="54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80" w:right="2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Upon completion of the audit procedures to be performed by PricewaterhouseCoopers LLP, the Company’s Consolidated Balance Sheet as at December 31, 2004, its Consolidated Statement of Income for the year ended December 31, 2004, as audited by PricewaterhouseCoopers LLP, and the amount of dividends declared by the Board of Directors during 2004 are submitted to the stockholders pursuant to the Schlumberger Articles of Incorporation.</w:t>
      </w:r>
    </w:p>
    <w:p>
      <w:pPr>
        <w:spacing w:after="0" w:line="1"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2004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3. Adoption of Amendments to the Articles of Incorporation of the Company</w:t>
      </w:r>
    </w:p>
    <w:p>
      <w:pPr>
        <w:spacing w:after="0" w:line="16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Schlumberger has been incorporated in the Netherlands Antilles for over 40 years. The Netherlands Antilles recently adopted a comprehensive revision of its corporation law, the basic elements of which, according to the explanatory notes to the revision, were:</w:t>
      </w: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allow formations of legal entities more easily;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allow for the choice of language, currency and capital structure;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allow more flexibility in management structures;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minority stockholder and creditor protection;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facilitate compatibility with Anglo-American legal systems.</w:t>
      </w:r>
    </w:p>
    <w:p>
      <w:pPr>
        <w:spacing w:after="0" w:line="36"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In light of this revision, we are requesting that our stockholders vote in favor of the amendments to our Articles of Incorporation. The proposed amendments can be categorized into two types of changes:</w:t>
      </w: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amendments required in order to comply with the recent changes in Netherlands Antilles law; and</w:t>
      </w:r>
    </w:p>
    <w:p>
      <w:pPr>
        <w:spacing w:after="0" w:line="29" w:lineRule="exact"/>
        <w:rPr>
          <w:rFonts w:ascii="Arial" w:cs="Arial" w:eastAsia="Arial" w:hAnsi="Arial"/>
          <w:sz w:val="18"/>
          <w:szCs w:val="18"/>
          <w:color w:val="auto"/>
        </w:rPr>
      </w:pPr>
    </w:p>
    <w:p>
      <w:pPr>
        <w:ind w:left="780" w:hanging="326"/>
        <w:spacing w:after="0" w:line="28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amendments that we are voluntarily adopting in order to (1) take advantage of the flexibility provided by the recent changes in the Netherlands Antilles law, or (2) clarify or update certain provisions of the Articles of Incorporation, which have not been amended since 2001.</w:t>
      </w:r>
    </w:p>
    <w:p>
      <w:pPr>
        <w:ind w:right="160" w:firstLine="228"/>
        <w:spacing w:after="0" w:line="261" w:lineRule="auto"/>
        <w:rPr>
          <w:sz w:val="20"/>
          <w:szCs w:val="20"/>
          <w:color w:val="auto"/>
        </w:rPr>
      </w:pPr>
      <w:r>
        <w:rPr>
          <w:rFonts w:ascii="Arial" w:cs="Arial" w:eastAsia="Arial" w:hAnsi="Arial"/>
          <w:sz w:val="18"/>
          <w:szCs w:val="18"/>
          <w:color w:val="auto"/>
        </w:rPr>
        <w:t>The following summary of the principal changes to be effected by the proposed amendments is subject to the specific text of the Articles of Incorporation, as proposed to be amended, set forth as Appendix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Mandatory Amendments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required by the revised Netherlands Antilles law are as follows:</w:t>
      </w:r>
    </w:p>
    <w:p>
      <w:pPr>
        <w:spacing w:after="0" w:line="15" w:lineRule="exact"/>
        <w:rPr>
          <w:sz w:val="20"/>
          <w:szCs w:val="20"/>
          <w:color w:val="auto"/>
        </w:rPr>
      </w:pPr>
    </w:p>
    <w:p>
      <w:pPr>
        <w:ind w:left="780" w:right="180" w:hanging="326"/>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 relating to our domicile is being revised to reflect the Island territory within the Netherlands Antilles where we maintain our corporate seat.</w:t>
      </w:r>
    </w:p>
    <w:p>
      <w:pPr>
        <w:ind w:left="780" w:right="160" w:hanging="326"/>
        <w:spacing w:after="0" w:line="281"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provision relating to share capital is being revised to reflect new nomenclature used in the revised Netherlands Antilles law. The terms “authorized,” “issued” and “paid-up” capital are no longer used, and a new term “nominal capital” has been introduced. The term “nominal capital” means the sum of the par values of all of the issued and outstanding shares of capital stock at any time. We are also amending other provisions to maintain the present limit on the Board’s ability to issue common shares, preferred shares, options and warrants. We are not increasing the number of shares of capital stock that the Board may issue from those in effect prior to adoption of the revised Netherlands Antilles law, which remains at 1.5 billion shares of common stock and 200 million shares of preferred stock.</w:t>
      </w:r>
    </w:p>
    <w:p>
      <w:pPr>
        <w:spacing w:after="0" w:line="4" w:lineRule="exact"/>
        <w:rPr>
          <w:rFonts w:ascii="Arial" w:cs="Arial" w:eastAsia="Arial" w:hAnsi="Arial"/>
          <w:sz w:val="16"/>
          <w:szCs w:val="16"/>
          <w:color w:val="auto"/>
        </w:rPr>
      </w:pPr>
    </w:p>
    <w:p>
      <w:pPr>
        <w:ind w:left="780" w:right="60" w:hanging="326"/>
        <w:spacing w:after="0" w:line="29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provision requiring that 20% of our “authorized capital” be duly issued and fully paid is being deleted. The revised Netherlands Antilles law no longer recognizes the term “authorized capital.” In addition, the provisions limiting our right to repurchase our capital stock would be revised to eliminate this 20% requirement and to clarify that such repurchases may occur so long as our “equity” (i.e., our net asset value) before and after the repurchase at least equals the nominal capital (i.e., the aggregate par value of our outstanding shares) and one common share remains outstanding. The revised restrictions are similar to provisions contained in the corporation law of many U.S.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ind w:left="780" w:right="4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adding a provision providing that the initial issuance of shares occurs by deed (i.e., a written instrument) signed by Schlumberger and the party taking the share.</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adding a provision to reflect that Schlumberger cannot issue shares to itself.</w:t>
      </w:r>
    </w:p>
    <w:p>
      <w:pPr>
        <w:spacing w:after="0" w:line="29" w:lineRule="exact"/>
        <w:rPr>
          <w:rFonts w:ascii="Arial" w:cs="Arial" w:eastAsia="Arial" w:hAnsi="Arial"/>
          <w:sz w:val="18"/>
          <w:szCs w:val="18"/>
          <w:color w:val="auto"/>
        </w:rPr>
      </w:pPr>
    </w:p>
    <w:p>
      <w:pPr>
        <w:ind w:left="780" w:right="260" w:hanging="326"/>
        <w:spacing w:after="0" w:line="254"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 regarding the contents of our stockholders’ register are being modified to reflect requirements under the revised Netherlands Antilles law, which have become more detailed than as reflected in the current Articles of Incorporation.</w:t>
      </w:r>
    </w:p>
    <w:p>
      <w:pPr>
        <w:ind w:left="780" w:right="2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relating to the procedures to effect transfers of shares are being revised to reflect new share transfer procedures. If shares are listed on a stock exchange, such transfers may be effected in accordance with the rules, procedure or system applied by the exchange. Accordingly, our common shares, which are listed on the New York Stock Exchange, may be transferred pursuant to normal New York Stock Exchange trading mechanisms. If shares are not so listed, transfers must be made by a deed of transfer (i.e., a written instrument) signed by the transferor and the transferee, which transfer will then need to be acknowledged by or served upon Schlumberger. These changes would also be applicable in the event of a division of joint ownership.</w:t>
      </w:r>
    </w:p>
    <w:p>
      <w:pPr>
        <w:spacing w:after="0" w:line="2" w:lineRule="exact"/>
        <w:rPr>
          <w:rFonts w:ascii="Arial" w:cs="Arial" w:eastAsia="Arial" w:hAnsi="Arial"/>
          <w:sz w:val="18"/>
          <w:szCs w:val="18"/>
          <w:color w:val="auto"/>
        </w:rPr>
      </w:pPr>
    </w:p>
    <w:p>
      <w:pPr>
        <w:ind w:left="780" w:right="140" w:hanging="326"/>
        <w:spacing w:after="0" w:line="300"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provision relating to suspension and dismissal of directors by the stockholders is being amended to reflect that a suspension terminates under the revised Netherlands Antilles law if the person concerned has not been dismissed by the stockholders within two months after the day of suspension.</w:t>
      </w:r>
    </w:p>
    <w:p>
      <w:pPr>
        <w:ind w:left="780" w:right="12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adding a provision to provide that records and other data carriers used in relation to attendance of and voting at general meetings shall be kept during a period of 10 years or for the period required by applicable law.</w:t>
      </w: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as follows:</w:t>
      </w:r>
    </w:p>
    <w:p>
      <w:pPr>
        <w:spacing w:after="0" w:line="29" w:lineRule="exact"/>
        <w:rPr>
          <w:rFonts w:ascii="Arial" w:cs="Arial" w:eastAsia="Arial" w:hAnsi="Arial"/>
          <w:sz w:val="18"/>
          <w:szCs w:val="18"/>
          <w:color w:val="auto"/>
        </w:rPr>
      </w:pPr>
    </w:p>
    <w:p>
      <w:pPr>
        <w:ind w:left="1360" w:hanging="555"/>
        <w:spacing w:after="0" w:line="283"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provide that the annual general meeting would be held within the maximum period allowed under applicable law (as opposed to within nine months after the end of the preceding fiscal year) (the revised Netherlands Antilles law as it applies to us provides that annual accounts have to be prepared within six months following the end of the preceding fiscal year and presented to stockholders as soon as possible thereafter, subject to a six month extension by the stockholders at a general meeting); and</w:t>
      </w:r>
    </w:p>
    <w:p>
      <w:pPr>
        <w:spacing w:after="0" w:line="2" w:lineRule="exact"/>
        <w:rPr>
          <w:rFonts w:ascii="Arial" w:cs="Arial" w:eastAsia="Arial" w:hAnsi="Arial"/>
          <w:sz w:val="16"/>
          <w:szCs w:val="16"/>
          <w:color w:val="auto"/>
        </w:rPr>
      </w:pPr>
    </w:p>
    <w:p>
      <w:pPr>
        <w:ind w:left="1360" w:right="80" w:hanging="555"/>
        <w:spacing w:after="0" w:line="281" w:lineRule="auto"/>
        <w:tabs>
          <w:tab w:leader="none" w:pos="1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provide that a special meeting may be called by one or more stockholders representing at least 10% of the votes that can be cast at a special meeting and having a reasonable interest in having such a meeting, provided that they have first asked the Board to convene the meeting and the Board has not acted on such request within 14 days after such request (prior Netherlands Antilles law did not require the reasonable interest standard but did require the stockholders to first go to court to ask to be allowed to convene the meeting).</w:t>
      </w:r>
    </w:p>
    <w:p>
      <w:pPr>
        <w:spacing w:after="0" w:line="2" w:lineRule="exact"/>
        <w:rPr>
          <w:rFonts w:ascii="Arial" w:cs="Arial" w:eastAsia="Arial" w:hAnsi="Arial"/>
          <w:sz w:val="16"/>
          <w:szCs w:val="16"/>
          <w:color w:val="auto"/>
        </w:rPr>
      </w:pPr>
    </w:p>
    <w:p>
      <w:pPr>
        <w:ind w:left="780" w:right="20" w:hanging="326"/>
        <w:spacing w:after="0" w:line="250"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 limiting distributions of profits in the event of losses that are not covered by reserves is being deleted, as it no longer reflects the revised Netherlands Antilles law. In its place, we are adding a provision providing that distributions can only occur if our equity at least equals the nominal capital and as a result of the distribution will not fall below the nominal capital. The new provision is similar to provisions contained in the corporation law of many U.S. states.</w:t>
      </w:r>
    </w:p>
    <w:p>
      <w:pPr>
        <w:spacing w:after="0" w:line="1" w:lineRule="exact"/>
        <w:rPr>
          <w:rFonts w:ascii="Arial" w:cs="Arial" w:eastAsia="Arial" w:hAnsi="Arial"/>
          <w:sz w:val="18"/>
          <w:szCs w:val="18"/>
          <w:color w:val="auto"/>
        </w:rPr>
      </w:pPr>
    </w:p>
    <w:p>
      <w:pPr>
        <w:ind w:left="780" w:hanging="326"/>
        <w:spacing w:after="0" w:line="261"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provisions relating to stockholder action by written consent are being deleted because the revised Netherlands Antilles law only allows such action if all stockholders cast a vote, which is impracticable in the context of a publicly traded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Voluntary Amendments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we are voluntarily proposing to adopt are as follows:</w:t>
      </w:r>
    </w:p>
    <w:p>
      <w:pPr>
        <w:spacing w:after="0" w:line="15" w:lineRule="exact"/>
        <w:rPr>
          <w:sz w:val="20"/>
          <w:szCs w:val="20"/>
          <w:color w:val="auto"/>
        </w:rPr>
      </w:pPr>
    </w:p>
    <w:p>
      <w:pPr>
        <w:ind w:left="780" w:right="360" w:hanging="326"/>
        <w:spacing w:after="0" w:line="300" w:lineRule="auto"/>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provisions of our Articles of Incorporation relating to seat transfer are being revised to authorize the Board to move our corporate seat, or to convert Schlumberger to a legal entity under the laws of another jurisdiction, as, when and in the manner permitted by the laws of the Netherlands Antilles. The new provision is in addition to the current provisions which allow the Board to move our corporate seat under a specific ordinance.</w:t>
      </w:r>
    </w:p>
    <w:p>
      <w:pPr>
        <w:spacing w:after="0" w:line="1" w:lineRule="exact"/>
        <w:rPr>
          <w:rFonts w:ascii="Arial" w:cs="Arial" w:eastAsia="Arial" w:hAnsi="Arial"/>
          <w:sz w:val="15"/>
          <w:szCs w:val="15"/>
          <w:color w:val="auto"/>
        </w:rPr>
      </w:pPr>
    </w:p>
    <w:p>
      <w:pPr>
        <w:ind w:left="780" w:right="360" w:hanging="326"/>
        <w:spacing w:after="0" w:line="255"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stating that stockholders do not have preemptive rights to acquire shares issued in the future would be revised to clarify that Schlumberger can enter into contractual agreements providing for preferential and preemptive purchase rights with respect to shares of our capital stock and to options, warrants or rights to purchase such shares.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ind w:left="780" w:right="500" w:hanging="326"/>
        <w:spacing w:after="0" w:line="305" w:lineRule="auto"/>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adding a provision confirming that a right of usufruct or a right of pledge may be vested on the shares in accordance with the revised Netherlands Antilles law, but that Schlumberger is only obligated to recognize the registered stockholder as owner of the shares for all purposes.</w:t>
      </w: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our management would be revised:</w:t>
      </w:r>
    </w:p>
    <w:p>
      <w:pPr>
        <w:spacing w:after="0" w:line="29" w:lineRule="exact"/>
        <w:rPr>
          <w:rFonts w:ascii="Arial" w:cs="Arial" w:eastAsia="Arial" w:hAnsi="Arial"/>
          <w:sz w:val="18"/>
          <w:szCs w:val="18"/>
          <w:color w:val="auto"/>
        </w:rPr>
      </w:pPr>
    </w:p>
    <w:p>
      <w:pPr>
        <w:ind w:left="1360" w:right="660" w:hanging="555"/>
        <w:spacing w:after="0" w:line="305" w:lineRule="auto"/>
        <w:tabs>
          <w:tab w:leader="none" w:pos="1360" w:val="left"/>
        </w:tabs>
        <w:numPr>
          <w:ilvl w:val="1"/>
          <w:numId w:val="22"/>
        </w:numPr>
        <w:rPr>
          <w:rFonts w:ascii="Arial" w:cs="Arial" w:eastAsia="Arial" w:hAnsi="Arial"/>
          <w:sz w:val="15"/>
          <w:szCs w:val="15"/>
          <w:color w:val="auto"/>
        </w:rPr>
      </w:pPr>
      <w:r>
        <w:rPr>
          <w:rFonts w:ascii="Arial" w:cs="Arial" w:eastAsia="Arial" w:hAnsi="Arial"/>
          <w:sz w:val="15"/>
          <w:szCs w:val="15"/>
          <w:color w:val="auto"/>
        </w:rPr>
        <w:t>to authorize the Board to appoint directors to fill vacancies on the Board in between annual general meetings and to appoint up to two additional directors between annual general meetings (which appointment would be effective until the next annual general meeting);</w:t>
      </w:r>
    </w:p>
    <w:p>
      <w:pPr>
        <w:ind w:left="1360" w:right="100" w:hanging="555"/>
        <w:spacing w:after="0" w:line="281"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clarify the authority of the Board to adopt and amend By-laws setting forth the functions and authority of each of the directors, the division of tasks, the designation and authority of one or more committees of the Board and the way of taking action;</w:t>
      </w:r>
    </w:p>
    <w:p>
      <w:pPr>
        <w:spacing w:after="0" w:line="1" w:lineRule="exact"/>
        <w:rPr>
          <w:rFonts w:ascii="Arial" w:cs="Arial" w:eastAsia="Arial" w:hAnsi="Arial"/>
          <w:sz w:val="16"/>
          <w:szCs w:val="16"/>
          <w:color w:val="auto"/>
        </w:rPr>
      </w:pPr>
    </w:p>
    <w:p>
      <w:pPr>
        <w:ind w:left="1360" w:hanging="555"/>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clarify that the Board can limit the management authority of one or more directors; and</w:t>
      </w:r>
    </w:p>
    <w:p>
      <w:pPr>
        <w:spacing w:after="0" w:line="29" w:lineRule="exact"/>
        <w:rPr>
          <w:rFonts w:ascii="Arial" w:cs="Arial" w:eastAsia="Arial" w:hAnsi="Arial"/>
          <w:sz w:val="18"/>
          <w:szCs w:val="18"/>
          <w:color w:val="auto"/>
        </w:rPr>
      </w:pPr>
    </w:p>
    <w:p>
      <w:pPr>
        <w:ind w:left="1360" w:right="280" w:hanging="555"/>
        <w:spacing w:after="0" w:line="25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clarify that the Chairman, Vice-Chairman and specified officers so authorized by the Board may represent and bind Schlumberger acting alone.</w:t>
      </w:r>
    </w:p>
    <w:p>
      <w:pPr>
        <w:ind w:left="780" w:right="44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indemnification would be modified to confirm that Schlumberger’s power to indemnify officers, directors and others is subject to any prohibitions required by applicable law.</w:t>
      </w:r>
    </w:p>
    <w:p>
      <w:pPr>
        <w:ind w:left="780" w:right="14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provisions relating to stockholder meetings would be revised to provide that annual general meetings can be held in Curaçao or anywhere in the Netherlands Antilles as permitted under the revised Netherlands Antilles law (the Articles of Incorporation currently provide that such meetings must be held on Curaçao, Bonaire, St. Eustatius, Saba or the Dutch part of St. Maarten).</w:t>
      </w:r>
    </w:p>
    <w:p>
      <w:pPr>
        <w:spacing w:after="0" w:line="1" w:lineRule="exact"/>
        <w:rPr>
          <w:rFonts w:ascii="Arial" w:cs="Arial" w:eastAsia="Arial" w:hAnsi="Arial"/>
          <w:sz w:val="18"/>
          <w:szCs w:val="18"/>
          <w:color w:val="auto"/>
        </w:rPr>
      </w:pPr>
    </w:p>
    <w:p>
      <w:pPr>
        <w:ind w:left="780" w:right="14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regarding closing our stock transfer books and setting the record date would be expanded to clarify that it applies for purposes of determining stockholders entitled to receive distributions or allotment of any rights (the Articles of Incorporation currently refer only to the receipt of dividends) or to exercise of rights in respect of any change, conversion or exchange of shares.</w:t>
      </w:r>
    </w:p>
    <w:p>
      <w:pPr>
        <w:spacing w:after="0" w:line="1" w:lineRule="exact"/>
        <w:rPr>
          <w:rFonts w:ascii="Arial" w:cs="Arial" w:eastAsia="Arial" w:hAnsi="Arial"/>
          <w:sz w:val="18"/>
          <w:szCs w:val="18"/>
          <w:color w:val="auto"/>
        </w:rPr>
      </w:pPr>
    </w:p>
    <w:p>
      <w:pPr>
        <w:ind w:left="78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would add a provision to provide that shares owned by a legal entity in which we have or may exercise control shall be entitled to vote. The revised Netherlands Antilles law only allows such votes if specifically provided in the Articles of Incorporation. This change will enable us, for example, to continue to vote shares held in a fiduciary capacity.</w:t>
      </w:r>
    </w:p>
    <w:p>
      <w:pPr>
        <w:spacing w:after="0" w:line="1" w:lineRule="exact"/>
        <w:rPr>
          <w:rFonts w:ascii="Arial" w:cs="Arial" w:eastAsia="Arial" w:hAnsi="Arial"/>
          <w:sz w:val="18"/>
          <w:szCs w:val="18"/>
          <w:color w:val="auto"/>
        </w:rPr>
      </w:pPr>
    </w:p>
    <w:p>
      <w:pPr>
        <w:ind w:left="780" w:hanging="326"/>
        <w:spacing w:after="0" w:line="250"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provision requiring that the annual accounts be prepared within eight months after the end of the fiscal year and submitted to the stockholders for approval would be revised to change the time for preparation of the accounts to the period allowed under applicable law, which is currently six months from the end of the year (subject to an extension of six months by action at a general meeting of stockholders due to special circumstances) as provided under Netherlands Antilles law.</w:t>
      </w:r>
    </w:p>
    <w:p>
      <w:pPr>
        <w:spacing w:after="0" w:line="1" w:lineRule="exact"/>
        <w:rPr>
          <w:rFonts w:ascii="Arial" w:cs="Arial" w:eastAsia="Arial" w:hAnsi="Arial"/>
          <w:sz w:val="18"/>
          <w:szCs w:val="18"/>
          <w:color w:val="auto"/>
        </w:rPr>
      </w:pPr>
    </w:p>
    <w:p>
      <w:pPr>
        <w:ind w:left="780" w:right="280" w:hanging="326"/>
        <w:spacing w:after="0" w:line="281"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would add a provision to provide that one or more persons holding shares representing at least 90% of our equity can require the remaining stockholders to transfer their shares to such 90% stockholder in accordance with the revised Netherlands Antilles law. This provision is somewhat similar to the “short-form” merger statutes that exist in Delaware and most U.S. states. In order to effect a compulsory share transfer, Schlumberger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4" w:lineRule="exact"/>
        <w:rPr>
          <w:rFonts w:ascii="Arial" w:cs="Arial" w:eastAsia="Arial" w:hAnsi="Arial"/>
          <w:sz w:val="16"/>
          <w:szCs w:val="16"/>
          <w:color w:val="auto"/>
        </w:rPr>
      </w:pPr>
    </w:p>
    <w:p>
      <w:pPr>
        <w:ind w:left="780" w:right="260" w:hanging="326"/>
        <w:spacing w:after="0" w:line="302"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official version of the Articles of Incorporation would be prepared in English rather than Dutch, as it is no longer a requirement of the revised Netherlands Antilles law that the Articles of Incorporation be prepared in Dutch. We believe that the presentation of the Articles of Incorporation in English is more practical given that it is the more commonly used and understood language in the financial markets.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Resolutions Adopting the Proposed Amendments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resolutions, which will be presented to the Annual General Meeting of Stockholders, will adopt the proposed amendments to the Articles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Incorporation:</w:t>
      </w:r>
    </w:p>
    <w:p>
      <w:pPr>
        <w:spacing w:after="0" w:line="9" w:lineRule="exact"/>
        <w:rPr>
          <w:sz w:val="20"/>
          <w:szCs w:val="20"/>
          <w:color w:val="auto"/>
        </w:rPr>
      </w:pPr>
    </w:p>
    <w:p>
      <w:pPr>
        <w:ind w:left="240" w:right="24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Articles of Incorporation of Schlumberger N.V. be, and they hereby are, adopted to read in their entirety as set forth in Appendix 1 to</w:t>
      </w:r>
      <w:r>
        <w:rPr>
          <w:rFonts w:ascii="Arial" w:cs="Arial" w:eastAsia="Arial" w:hAnsi="Arial"/>
          <w:sz w:val="18"/>
          <w:szCs w:val="18"/>
          <w:b w:val="1"/>
          <w:bCs w:val="1"/>
          <w:color w:val="auto"/>
        </w:rPr>
        <w:t xml:space="preserve"> </w:t>
      </w:r>
      <w:r>
        <w:rPr>
          <w:rFonts w:ascii="Arial" w:cs="Arial" w:eastAsia="Arial" w:hAnsi="Arial"/>
          <w:sz w:val="18"/>
          <w:szCs w:val="18"/>
          <w:color w:val="auto"/>
        </w:rPr>
        <w:t>Schlumberger’s Proxy Statement dated March 15, 2005; and further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left="240"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RESOLVED</w:t>
      </w:r>
      <w:r>
        <w:rPr>
          <w:rFonts w:ascii="Arial" w:cs="Arial" w:eastAsia="Arial" w:hAnsi="Arial"/>
          <w:sz w:val="18"/>
          <w:szCs w:val="18"/>
          <w:color w:val="auto"/>
        </w:rPr>
        <w:t>, that each lawyer of STvB Advocaten (Curaçao) N.V., Netherlands Antilles counsel to Schlumberger, is authorized to execute and file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Netherlands Antilles the notarial deed of amendment effectuating such amendments.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affirmative vote of the holders of a majority of the shares outstanding and entitled to vote is required for the adoption of the foregoing resolutions. </w:t>
      </w:r>
      <w:r>
        <w:rPr>
          <w:rFonts w:ascii="Arial" w:cs="Arial" w:eastAsia="Arial" w:hAnsi="Arial"/>
          <w:sz w:val="16"/>
          <w:szCs w:val="16"/>
          <w:b w:val="1"/>
          <w:bCs w:val="1"/>
          <w:i w:val="1"/>
          <w:iCs w:val="1"/>
          <w:color w:val="auto"/>
        </w:rPr>
        <w:t>Brokers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 not have discretion to vote on this proposal without your instruction. If you do not instruct your broker how to vote on this proposal, your broker will deliver a non-vote. Accordingly, abstentions and broker non-votes will have the same effect as no votes.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the approval of the amendments to the Articles of Incorporation.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344274"/>
        </w:rPr>
        <w:t>4. Approval of the Adoption of the Schlumberger 2005 Stock Option Plan</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requesting that our stockholders vote in favor of adopting the Schlumberger 2005 Stock Option Plan (the “2005 Plan”), which was approved by the Board on January 20, 2005, subject to stockholder approval. If approved by our stockholders, the 2005 Plan will be effective as of January 20, 2005. The following summary of certain major features of the 2005 Plan is subject to the specific provisions contained in the full text of the 2005 Plan set forth as Appendix 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Purpose of the 2005 Plan</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2005 Plan provides for the grant to our employees of stock options covering 9,000,000 shares of our common stock. A stock option gives the holder the right to purchase a specified number of shares of stock, at a fixed exercise price, in the future. We have historically used stock options as our primary form of equity compensation, and we intend to continue to use stock options as our primary form of equity compensation.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2005 Plan was adopted for the purpose of providing incentives to our key employees in order to:</w:t>
      </w:r>
    </w:p>
    <w:p>
      <w:pPr>
        <w:spacing w:after="0" w:line="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unusually valuable;</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development and financial success.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Background on Our Equity Compensation Philosophy</w:t>
      </w:r>
    </w:p>
    <w:p>
      <w:pPr>
        <w:spacing w:after="0" w:line="8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Our compensation philosophy is to pay for performance through competitive compensation programs that relate directly to our short and long-term goals, and to reward executives, managers and professionals who achieve these goals. We believe the following factors are important to an understanding of our equity-based compensation program and the merits of the 2005 Plan:</w:t>
      </w:r>
    </w:p>
    <w:p>
      <w:pPr>
        <w:ind w:left="780" w:hanging="326"/>
        <w:spacing w:after="0" w:line="281"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We believe stock options, which have been a part of our equity compensation program for over 46 years, provide a significant incentive to our employees for improved performance. </w:t>
      </w:r>
      <w:r>
        <w:rPr>
          <w:rFonts w:ascii="Arial" w:cs="Arial" w:eastAsia="Arial" w:hAnsi="Arial"/>
          <w:sz w:val="16"/>
          <w:szCs w:val="16"/>
          <w:color w:val="auto"/>
        </w:rPr>
        <w:t>We believe that stock options enable us to attract and retain employees who are critical for our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success, while also aligning those employees’ interests with those of our stockholders. Since a stock option derives its value from an increase in the price of the underlying stock after the date of grant, employees are rewarded only upon improved stock price performance.</w:t>
      </w:r>
    </w:p>
    <w:p>
      <w:pPr>
        <w:spacing w:after="0" w:line="2" w:lineRule="exact"/>
        <w:rPr>
          <w:rFonts w:ascii="Arial" w:cs="Arial" w:eastAsia="Arial" w:hAnsi="Arial"/>
          <w:sz w:val="16"/>
          <w:szCs w:val="16"/>
          <w:color w:val="auto"/>
        </w:rPr>
      </w:pPr>
    </w:p>
    <w:p>
      <w:pPr>
        <w:ind w:left="780" w:right="60" w:hanging="326"/>
        <w:spacing w:after="0" w:line="261"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Our stock option plans, including the 2005 Plan, have been designed to minimize the risk of potentially adverse equity-based compensation practices. </w:t>
      </w:r>
      <w:r>
        <w:rPr>
          <w:rFonts w:ascii="Arial" w:cs="Arial" w:eastAsia="Arial" w:hAnsi="Arial"/>
          <w:sz w:val="18"/>
          <w:szCs w:val="18"/>
          <w:color w:val="auto"/>
        </w:rPr>
        <w:t>Our stock option plans, including the 2005 Plan, do not permit the following activities: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24" w:name="page25"/>
    <w:bookmarkEnd w:id="24"/>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granting of stock options at a price below the fair market value on the grant date;</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36" w:lineRule="exact"/>
        <w:rPr>
          <w:rFonts w:ascii="Arial" w:cs="Arial" w:eastAsia="Arial" w:hAnsi="Arial"/>
          <w:sz w:val="18"/>
          <w:szCs w:val="18"/>
          <w:color w:val="auto"/>
        </w:rPr>
      </w:pPr>
    </w:p>
    <w:p>
      <w:pPr>
        <w:ind w:left="1360" w:hanging="555"/>
        <w:spacing w:after="0"/>
        <w:tabs>
          <w:tab w:leader="none" w:pos="13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reload grants.</w:t>
      </w:r>
    </w:p>
    <w:p>
      <w:pPr>
        <w:spacing w:after="0" w:line="36" w:lineRule="exact"/>
        <w:rPr>
          <w:rFonts w:ascii="Arial" w:cs="Arial" w:eastAsia="Arial" w:hAnsi="Arial"/>
          <w:sz w:val="18"/>
          <w:szCs w:val="18"/>
          <w:color w:val="auto"/>
        </w:rPr>
      </w:pPr>
    </w:p>
    <w:p>
      <w:pPr>
        <w:ind w:left="780" w:right="40" w:hanging="326"/>
        <w:spacing w:after="0" w:line="254"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The 2005 Plan does not permit accelerated vesting. </w:t>
      </w:r>
      <w:r>
        <w:rPr>
          <w:rFonts w:ascii="Arial" w:cs="Arial" w:eastAsia="Arial" w:hAnsi="Arial"/>
          <w:sz w:val="18"/>
          <w:szCs w:val="18"/>
          <w:color w:val="auto"/>
        </w:rPr>
        <w:t>The Compensation Committee does not have the power to accelerate the vesting of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2005 Plan.</w:t>
      </w:r>
    </w:p>
    <w:p>
      <w:pPr>
        <w:jc w:val="both"/>
        <w:ind w:left="780" w:right="12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have capped the per-share gain an employee can realize from the exercise of stock options. </w:t>
      </w:r>
      <w:r>
        <w:rPr>
          <w:rFonts w:ascii="Arial" w:cs="Arial" w:eastAsia="Arial" w:hAnsi="Arial"/>
          <w:sz w:val="16"/>
          <w:szCs w:val="16"/>
          <w:color w:val="auto"/>
        </w:rPr>
        <w:t>Beginning with stock options granted in July 2003,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“capped” the per-share gain that can be realized on the exercise of a stock option to 125% of the original exercise price. Although the 2005 Plan does not require us to continue this practice, we do not currently intend to change this practice.</w:t>
      </w:r>
    </w:p>
    <w:p>
      <w:pPr>
        <w:spacing w:after="0" w:line="2" w:lineRule="exact"/>
        <w:rPr>
          <w:rFonts w:ascii="Arial" w:cs="Arial" w:eastAsia="Arial" w:hAnsi="Arial"/>
          <w:sz w:val="16"/>
          <w:szCs w:val="16"/>
          <w:color w:val="auto"/>
        </w:rPr>
      </w:pPr>
    </w:p>
    <w:p>
      <w:pPr>
        <w:ind w:left="780" w:hanging="326"/>
        <w:spacing w:after="0" w:line="250"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We were an early adopter of Statement of Financial Accounting Standards No. 123 (“SFAS 123”), “Accounting for Stock-Based Compensation.”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2003, we adopted SFAS 123 for stock option expenses, retroactive to January 1, 2003. Under SFAS 123, compensation expense associated with stock options is measured at the grant date based on the value of the award and is recognized over the vesting period. Under Accounting Principles Board Opinion No. 25 (APB 25), which we used prior to adopting SFAS 123, no compensation expense was recognized when stock options are granted.</w:t>
      </w:r>
    </w:p>
    <w:p>
      <w:pPr>
        <w:spacing w:after="0" w:line="2" w:lineRule="exact"/>
        <w:rPr>
          <w:rFonts w:ascii="Arial" w:cs="Arial" w:eastAsia="Arial" w:hAnsi="Arial"/>
          <w:sz w:val="18"/>
          <w:szCs w:val="18"/>
          <w:color w:val="auto"/>
        </w:rPr>
      </w:pPr>
    </w:p>
    <w:p>
      <w:pPr>
        <w:ind w:left="780" w:right="2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do not believe the “overhang” from stock option plans is significant. </w:t>
      </w:r>
      <w:r>
        <w:rPr>
          <w:rFonts w:ascii="Arial" w:cs="Arial" w:eastAsia="Arial" w:hAnsi="Arial"/>
          <w:sz w:val="16"/>
          <w:szCs w:val="16"/>
          <w:color w:val="auto"/>
        </w:rPr>
        <w:t>We maintain three stock option plans that have previously been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Under those plans 30,062,025 shares are reserved for issuance in respect of outstanding options and 5,006,110 shares are reserved for future grants, which reflects “overhang” of approximately 6.0%. If the 2005 Plan is approved, an additional 9,000,000 shares would be available for future grants and “overhang” would increase to approximately 7.5%. We define “overhang” as the total number of shares related to options granted but not yet exercised, plus shares available for grant, divided by total shares outstanding at the end of the reporting period. We do not include shares issuable under our discounted stock purchase plan when calculating our overhang.</w:t>
      </w:r>
    </w:p>
    <w:p>
      <w:pPr>
        <w:spacing w:after="0" w:line="4" w:lineRule="exact"/>
        <w:rPr>
          <w:rFonts w:ascii="Arial" w:cs="Arial" w:eastAsia="Arial" w:hAnsi="Arial"/>
          <w:sz w:val="16"/>
          <w:szCs w:val="16"/>
          <w:color w:val="auto"/>
        </w:rPr>
      </w:pPr>
    </w:p>
    <w:p>
      <w:pPr>
        <w:ind w:left="780" w:right="8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“burn rate” is reasonable. </w:t>
      </w:r>
      <w:r>
        <w:rPr>
          <w:rFonts w:ascii="Arial" w:cs="Arial" w:eastAsia="Arial" w:hAnsi="Arial"/>
          <w:sz w:val="16"/>
          <w:szCs w:val="16"/>
          <w:color w:val="auto"/>
        </w:rPr>
        <w:t>Our average three-year burn rate is approximately 0.8%. We calculate “burn rate”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number of equity awards (all in the form of stock options) granted in any given year divided by the number of common shares outstanding. The number of equity awards used in the burn rate calculation is not discounted by cancelled or forfeited options or shares acquired or retained by us. We do not include shares issuable under our discounted stock purchase plan when calculating our burn rate.</w:t>
      </w:r>
    </w:p>
    <w:p>
      <w:pPr>
        <w:spacing w:after="0" w:line="2" w:lineRule="exact"/>
        <w:rPr>
          <w:rFonts w:ascii="Arial" w:cs="Arial" w:eastAsia="Arial" w:hAnsi="Arial"/>
          <w:sz w:val="16"/>
          <w:szCs w:val="16"/>
          <w:color w:val="auto"/>
        </w:rPr>
      </w:pPr>
    </w:p>
    <w:p>
      <w:pPr>
        <w:ind w:left="780" w:right="60" w:hanging="326"/>
        <w:spacing w:after="0" w:line="281"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We believe our average three-year dilution due to the exercise of stock options is reasonable. </w:t>
      </w:r>
      <w:r>
        <w:rPr>
          <w:rFonts w:ascii="Arial" w:cs="Arial" w:eastAsia="Arial" w:hAnsi="Arial"/>
          <w:sz w:val="16"/>
          <w:szCs w:val="16"/>
          <w:color w:val="auto"/>
        </w:rPr>
        <w:t>Our average three-year dilution due to the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approximately 0.2%. We calculate “dilution” as the number of shares of our common stock issued during a year due to the exercise of stock options, less common shares reacquired by us during the year, divided by the total shares outstanding at the end of such year. If continued, our share buyback program, which was approved by the Board of Directors in July 2004 and expires in December 2006, could reduce dilution. During 2004, we issued 5,490,068 shares of our common stock upon the exercise of stock options (net of shares reacquired in payment of the exercise price of such stock options) and repurchased 5,148,200 shares of our common stock, which resulted in 2004 dilution of 0.06%.</w:t>
      </w:r>
    </w:p>
    <w:p>
      <w:pPr>
        <w:spacing w:after="0" w:line="4" w:lineRule="exact"/>
        <w:rPr>
          <w:rFonts w:ascii="Arial" w:cs="Arial" w:eastAsia="Arial" w:hAnsi="Arial"/>
          <w:sz w:val="16"/>
          <w:szCs w:val="16"/>
          <w:color w:val="auto"/>
        </w:rPr>
      </w:pPr>
    </w:p>
    <w:p>
      <w:pPr>
        <w:ind w:left="780" w:right="180" w:hanging="326"/>
        <w:spacing w:after="0" w:line="300"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 xml:space="preserve">We have established stock ownership guidelines for executive officers. </w:t>
      </w:r>
      <w:r>
        <w:rPr>
          <w:rFonts w:ascii="Arial" w:cs="Arial" w:eastAsia="Arial" w:hAnsi="Arial"/>
          <w:sz w:val="15"/>
          <w:szCs w:val="15"/>
          <w:color w:val="auto"/>
        </w:rPr>
        <w:t>In 2004, we established executive stock ownership guidelines to align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of our executives with those of our stockholders and to promote our commitment to sound corporate governance. The ownership guidelines specify a number of shares that each executive officer is expected to own (approximately one to five times the executive’s annual base salary, depending on the executive’s scope of responsibilities). The ownership guidelines also require our executives, when they exercise a stock option, to retain at least 30% of the difference between the market price and the exercise price in shares of common stock for a period of six months. After the six-month period, the executive must continue to hold the shares, unless the executive holds a number of shares equal to or greater than the guideline amount divided by the stock price on that day. The ownership guidelines also prohibit speculative trading activity in our stock by our executives.</w:t>
      </w:r>
    </w:p>
    <w:p>
      <w:pPr>
        <w:spacing w:after="0" w:line="3" w:lineRule="exact"/>
        <w:rPr>
          <w:sz w:val="20"/>
          <w:szCs w:val="20"/>
          <w:color w:val="auto"/>
        </w:rPr>
      </w:pPr>
    </w:p>
    <w:p>
      <w:pPr>
        <w:ind w:right="500" w:firstLine="228"/>
        <w:spacing w:after="0" w:line="323" w:lineRule="auto"/>
        <w:rPr>
          <w:sz w:val="20"/>
          <w:szCs w:val="20"/>
          <w:color w:val="auto"/>
        </w:rPr>
      </w:pPr>
      <w:r>
        <w:rPr>
          <w:rFonts w:ascii="Arial" w:cs="Arial" w:eastAsia="Arial" w:hAnsi="Arial"/>
          <w:sz w:val="16"/>
          <w:szCs w:val="16"/>
          <w:color w:val="auto"/>
        </w:rPr>
        <w:t>We strongly believe that our stock option programs and emphasis on employee stock ownership have been integral to our success in the past and will be important to our ability to succeed in the future. Therefore, we consider approval of the 2005 Plan vital to our future success.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2005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Plan Term:</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Options may be granted under the 2005 Plan on or before January 20, 2015.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4"/>
              </w:rPr>
              <w:t>All employees of Schlumberger and our subsidiaries who are executive, administrative, professional or technical</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8"/>
              </w:rPr>
              <w:t>personnel and who have responsibilities affecting the management, direction, development and financial success of the</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company and our subsidiaries.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The Compensation Committee will determine which employees will participate in the 2005 Plan. As of January 1, 2005,</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approximately 10,000 employees are optionees under our stock option plans.</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Ineligible Participants: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The following persons are not eligible to participate in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directors who are not also employees; and</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w w:val="89"/>
              </w:rPr>
              <w:t>any person who owns, directly or indirectly, stock possessing more than 5% of the total combined voting power or</w:t>
            </w:r>
          </w:p>
        </w:tc>
      </w:tr>
      <w:tr>
        <w:trPr>
          <w:trHeight w:val="222"/>
        </w:trPr>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value of all classes of our stock.</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9,000,000, subject to adjustment to reflect stock splits, reorganizations and similar events.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6"/>
              </w:rPr>
              <w:t>The shares subject to issuance under the 2005 Plan consist of authorized and unissued shares or previously issued shares</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3"/>
              </w:rPr>
              <w:t>reacquired and held by us or any subsidiary. Under the following circumstances, shares that were once subject to</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issuance upon the exercise of stock options may again become available for future option grants under the 2005 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forfeiture or termination of a stock option; and</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200" w:type="dxa"/>
            <w:vAlign w:val="bottom"/>
          </w:tcPr>
          <w:p>
            <w:pPr>
              <w:ind w:left="60"/>
              <w:spacing w:after="0"/>
              <w:rPr>
                <w:sz w:val="20"/>
                <w:szCs w:val="20"/>
                <w:color w:val="auto"/>
              </w:rPr>
            </w:pPr>
            <w:r>
              <w:rPr>
                <w:rFonts w:ascii="Arial" w:cs="Arial" w:eastAsia="Arial" w:hAnsi="Arial"/>
                <w:sz w:val="18"/>
                <w:szCs w:val="18"/>
                <w:color w:val="auto"/>
              </w:rPr>
              <w:t>the expiration of an unexercised stock option.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2005</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w w:val="97"/>
              </w:rPr>
              <w:t>Plan as a Percent of Outstanding</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1.5%</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Shares Authorized Under All</w:t>
            </w:r>
          </w:p>
        </w:tc>
        <w:tc>
          <w:tcPr>
            <w:tcW w:w="54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i w:val="1"/>
                <w:iCs w:val="1"/>
                <w:color w:val="auto"/>
              </w:rPr>
              <w:t>Option Plans as a Percent of</w:t>
            </w:r>
          </w:p>
        </w:tc>
        <w:tc>
          <w:tcPr>
            <w:tcW w:w="540" w:type="dxa"/>
            <w:vAlign w:val="bottom"/>
          </w:tcPr>
          <w:p>
            <w:pPr>
              <w:spacing w:after="0"/>
              <w:rPr>
                <w:sz w:val="18"/>
                <w:szCs w:val="18"/>
                <w:color w:val="auto"/>
              </w:rPr>
            </w:pPr>
          </w:p>
        </w:tc>
        <w:tc>
          <w:tcPr>
            <w:tcW w:w="8200" w:type="dxa"/>
            <w:vAlign w:val="bottom"/>
          </w:tcPr>
          <w:p>
            <w:pPr>
              <w:spacing w:after="0"/>
              <w:rPr>
                <w:sz w:val="18"/>
                <w:szCs w:val="18"/>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i w:val="1"/>
                <w:iCs w:val="1"/>
                <w:color w:val="auto"/>
              </w:rPr>
              <w:t>Outstanding Common Stock:</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6.0%</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Types: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Non-qualified and incentive stock options.</w:t>
            </w:r>
          </w:p>
        </w:tc>
      </w:tr>
      <w:tr>
        <w:trPr>
          <w:trHeight w:val="284"/>
        </w:trPr>
        <w:tc>
          <w:tcPr>
            <w:tcW w:w="2600" w:type="dxa"/>
            <w:vAlign w:val="bottom"/>
          </w:tcPr>
          <w:p>
            <w:pPr>
              <w:spacing w:after="0"/>
              <w:rPr>
                <w:sz w:val="20"/>
                <w:szCs w:val="20"/>
                <w:color w:val="auto"/>
              </w:rPr>
            </w:pPr>
            <w:r>
              <w:rPr>
                <w:rFonts w:ascii="Arial" w:cs="Arial" w:eastAsia="Arial" w:hAnsi="Arial"/>
                <w:sz w:val="18"/>
                <w:szCs w:val="18"/>
                <w:i w:val="1"/>
                <w:iCs w:val="1"/>
                <w:color w:val="auto"/>
              </w:rPr>
              <w:t>Award Terms: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Stock options will have a term no longer than 10 years.</w:t>
            </w:r>
          </w:p>
        </w:tc>
      </w:tr>
      <w:tr>
        <w:trPr>
          <w:trHeight w:val="277"/>
        </w:trPr>
        <w:tc>
          <w:tcPr>
            <w:tcW w:w="2600" w:type="dxa"/>
            <w:vAlign w:val="bottom"/>
          </w:tcPr>
          <w:p>
            <w:pPr>
              <w:spacing w:after="0"/>
              <w:rPr>
                <w:sz w:val="20"/>
                <w:szCs w:val="20"/>
                <w:color w:val="auto"/>
              </w:rPr>
            </w:pPr>
            <w:r>
              <w:rPr>
                <w:rFonts w:ascii="Arial" w:cs="Arial" w:eastAsia="Arial" w:hAnsi="Arial"/>
                <w:sz w:val="18"/>
                <w:szCs w:val="18"/>
                <w:i w:val="1"/>
                <w:iCs w:val="1"/>
                <w:color w:val="auto"/>
              </w:rPr>
              <w:t>Vesting:</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9"/>
              </w:rPr>
              <w:t>Stock options will never vest or become exercisable unless the optionee remains employed by us or a subsidiary for at</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87"/>
              </w:rPr>
              <w:t>least one year after the grant date. Otherwise, vesting is determined by the Compensation Committee (subject to specific</w:t>
            </w:r>
          </w:p>
        </w:tc>
      </w:tr>
      <w:tr>
        <w:trPr>
          <w:trHeight w:val="216"/>
        </w:trPr>
        <w:tc>
          <w:tcPr>
            <w:tcW w:w="2600" w:type="dxa"/>
            <w:vAlign w:val="bottom"/>
          </w:tcPr>
          <w:p>
            <w:pPr>
              <w:spacing w:after="0"/>
              <w:rPr>
                <w:sz w:val="18"/>
                <w:szCs w:val="18"/>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provisions on death, termination of employment or retirement).</w:t>
            </w:r>
          </w:p>
        </w:tc>
      </w:tr>
      <w:tr>
        <w:trPr>
          <w:trHeight w:val="222"/>
        </w:trPr>
        <w:tc>
          <w:tcPr>
            <w:tcW w:w="2600" w:type="dxa"/>
            <w:vAlign w:val="bottom"/>
          </w:tcPr>
          <w:p>
            <w:pPr>
              <w:spacing w:after="0"/>
              <w:rPr>
                <w:sz w:val="19"/>
                <w:szCs w:val="19"/>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Please read “Vesting and Exercise of Stock Options” below for more information.</w:t>
            </w:r>
          </w:p>
        </w:tc>
      </w:tr>
      <w:tr>
        <w:trPr>
          <w:trHeight w:val="291"/>
        </w:trPr>
        <w:tc>
          <w:tcPr>
            <w:tcW w:w="2600" w:type="dxa"/>
            <w:vAlign w:val="bottom"/>
          </w:tcPr>
          <w:p>
            <w:pPr>
              <w:spacing w:after="0"/>
              <w:rPr>
                <w:sz w:val="20"/>
                <w:szCs w:val="20"/>
                <w:color w:val="auto"/>
              </w:rPr>
            </w:pPr>
            <w:r>
              <w:rPr>
                <w:rFonts w:ascii="Arial" w:cs="Arial" w:eastAsia="Arial" w:hAnsi="Arial"/>
                <w:sz w:val="18"/>
                <w:szCs w:val="18"/>
                <w:i w:val="1"/>
                <w:iCs w:val="1"/>
                <w:color w:val="auto"/>
              </w:rPr>
              <w:t>Not Permitted:</w:t>
            </w:r>
          </w:p>
        </w:tc>
        <w:tc>
          <w:tcPr>
            <w:tcW w:w="540" w:type="dxa"/>
            <w:vAlign w:val="bottom"/>
          </w:tcPr>
          <w:p>
            <w:pPr>
              <w:ind w:left="280"/>
              <w:spacing w:after="0"/>
              <w:rPr>
                <w:sz w:val="20"/>
                <w:szCs w:val="20"/>
                <w:color w:val="auto"/>
              </w:rPr>
            </w:pPr>
            <w:r>
              <w:rPr>
                <w:rFonts w:ascii="Arial" w:cs="Arial" w:eastAsia="Arial" w:hAnsi="Arial"/>
                <w:sz w:val="18"/>
                <w:szCs w:val="18"/>
                <w:color w:val="auto"/>
              </w:rPr>
              <w:t>(1)</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of stock options at a price below the fair market value on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(2)</w:t>
            </w:r>
          </w:p>
        </w:tc>
        <w:tc>
          <w:tcPr>
            <w:tcW w:w="8200" w:type="dxa"/>
            <w:vAlign w:val="bottom"/>
          </w:tcPr>
          <w:p>
            <w:pPr>
              <w:ind w:left="120"/>
              <w:spacing w:after="0"/>
              <w:rPr>
                <w:sz w:val="20"/>
                <w:szCs w:val="20"/>
                <w:color w:val="auto"/>
              </w:rPr>
            </w:pPr>
            <w:r>
              <w:rPr>
                <w:rFonts w:ascii="Arial" w:cs="Arial" w:eastAsia="Arial" w:hAnsi="Arial"/>
                <w:sz w:val="18"/>
                <w:szCs w:val="18"/>
                <w:color w:val="auto"/>
              </w:rPr>
              <w:t>Repricing, or reducing the exercise price of a stock option;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(3)</w:t>
            </w:r>
          </w:p>
        </w:tc>
        <w:tc>
          <w:tcPr>
            <w:tcW w:w="8200" w:type="dxa"/>
            <w:vAlign w:val="bottom"/>
          </w:tcPr>
          <w:p>
            <w:pPr>
              <w:ind w:left="120"/>
              <w:spacing w:after="0"/>
              <w:rPr>
                <w:sz w:val="20"/>
                <w:szCs w:val="20"/>
                <w:color w:val="auto"/>
              </w:rPr>
            </w:pPr>
            <w:r>
              <w:rPr>
                <w:rFonts w:ascii="Arial" w:cs="Arial" w:eastAsia="Arial" w:hAnsi="Arial"/>
                <w:sz w:val="18"/>
                <w:szCs w:val="18"/>
                <w:color w:val="auto"/>
                <w:w w:val="88"/>
              </w:rPr>
              <w:t>Substituting a new option grant with an exercise price lower than the exercise price of an outstanding option grant;</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(4)</w:t>
            </w:r>
          </w:p>
        </w:tc>
        <w:tc>
          <w:tcPr>
            <w:tcW w:w="8200" w:type="dxa"/>
            <w:vAlign w:val="bottom"/>
          </w:tcPr>
          <w:p>
            <w:pPr>
              <w:ind w:left="120"/>
              <w:spacing w:after="0"/>
              <w:rPr>
                <w:sz w:val="20"/>
                <w:szCs w:val="20"/>
                <w:color w:val="auto"/>
              </w:rPr>
            </w:pPr>
            <w:r>
              <w:rPr>
                <w:rFonts w:ascii="Arial" w:cs="Arial" w:eastAsia="Arial" w:hAnsi="Arial"/>
                <w:sz w:val="18"/>
                <w:szCs w:val="18"/>
                <w:color w:val="auto"/>
              </w:rPr>
              <w:t>Reload grants;</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(5)</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options that are exercisable less than one year after the grant date;</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(6)</w:t>
            </w:r>
          </w:p>
        </w:tc>
        <w:tc>
          <w:tcPr>
            <w:tcW w:w="8200" w:type="dxa"/>
            <w:vAlign w:val="bottom"/>
          </w:tcPr>
          <w:p>
            <w:pPr>
              <w:ind w:left="120"/>
              <w:spacing w:after="0"/>
              <w:rPr>
                <w:sz w:val="20"/>
                <w:szCs w:val="20"/>
                <w:color w:val="auto"/>
              </w:rPr>
            </w:pPr>
            <w:r>
              <w:rPr>
                <w:rFonts w:ascii="Arial" w:cs="Arial" w:eastAsia="Arial" w:hAnsi="Arial"/>
                <w:sz w:val="18"/>
                <w:szCs w:val="18"/>
                <w:color w:val="auto"/>
                <w:w w:val="90"/>
              </w:rPr>
              <w:t>Granting stock options with respect to more than 750,000 shares to any one optionee during the life of the 2005</w:t>
            </w:r>
          </w:p>
        </w:tc>
      </w:tr>
      <w:tr>
        <w:trPr>
          <w:trHeight w:val="216"/>
        </w:trPr>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Plan;</w:t>
            </w:r>
          </w:p>
        </w:tc>
      </w:tr>
      <w:tr>
        <w:trPr>
          <w:trHeight w:val="216"/>
        </w:trPr>
        <w:tc>
          <w:tcPr>
            <w:tcW w:w="26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(7)</w:t>
            </w:r>
          </w:p>
        </w:tc>
        <w:tc>
          <w:tcPr>
            <w:tcW w:w="8200" w:type="dxa"/>
            <w:vAlign w:val="bottom"/>
          </w:tcPr>
          <w:p>
            <w:pPr>
              <w:ind w:left="120"/>
              <w:spacing w:after="0"/>
              <w:rPr>
                <w:sz w:val="20"/>
                <w:szCs w:val="20"/>
                <w:color w:val="auto"/>
              </w:rPr>
            </w:pPr>
            <w:r>
              <w:rPr>
                <w:rFonts w:ascii="Arial" w:cs="Arial" w:eastAsia="Arial" w:hAnsi="Arial"/>
                <w:sz w:val="18"/>
                <w:szCs w:val="18"/>
                <w:color w:val="auto"/>
              </w:rPr>
              <w:t>Granting stock appreciation rights or restricted stock; or</w:t>
            </w:r>
          </w:p>
        </w:tc>
      </w:tr>
      <w:tr>
        <w:trPr>
          <w:trHeight w:val="222"/>
        </w:trPr>
        <w:tc>
          <w:tcPr>
            <w:tcW w:w="26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(8)</w:t>
            </w:r>
          </w:p>
        </w:tc>
        <w:tc>
          <w:tcPr>
            <w:tcW w:w="8200" w:type="dxa"/>
            <w:vAlign w:val="bottom"/>
          </w:tcPr>
          <w:p>
            <w:pPr>
              <w:ind w:left="100"/>
              <w:spacing w:after="0"/>
              <w:rPr>
                <w:sz w:val="20"/>
                <w:szCs w:val="20"/>
                <w:color w:val="auto"/>
              </w:rPr>
            </w:pPr>
            <w:r>
              <w:rPr>
                <w:rFonts w:ascii="Arial" w:cs="Arial" w:eastAsia="Arial" w:hAnsi="Arial"/>
                <w:sz w:val="18"/>
                <w:szCs w:val="18"/>
                <w:color w:val="auto"/>
              </w:rPr>
              <w:t>Accelerated vesting.</w:t>
            </w:r>
          </w:p>
        </w:tc>
      </w:tr>
      <w:tr>
        <w:trPr>
          <w:trHeight w:val="378"/>
        </w:trPr>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tcPr>
          <w:p>
            <w:pPr>
              <w:ind w:left="24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340"/>
          </w:cols>
          <w:pgMar w:left="240" w:top="274" w:right="3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Vesting and Exercise of Stock Options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77"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Subject to specific provisions on death, termination of employment and retirement (described below), the Compensation Committee will determine at the time of grant when each stock option will vest, provided that no stock option may vest less than one year from the date of grant. The Compensation Committee’s current practice is to grant options that vest in four equal annual installments beginning on the first anniversary of the grant date.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Compensation Committee does not have the power to accelerate the vesting of awards granted under the 2005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exercise price of stock options granted under the 2005 Plan may not be less than the fair market value (the mean between the high and low sales prices on the</w:t>
      </w:r>
    </w:p>
    <w:p>
      <w:pPr>
        <w:spacing w:after="0" w:line="50"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New York Stock Exchange on the grant date) of the common stock on the date of grant. As of</w:t>
      </w:r>
      <w:r>
        <w:rPr>
          <w:sz w:val="20"/>
          <w:szCs w:val="20"/>
          <w:color w:val="auto"/>
        </w:rPr>
        <w:tab/>
      </w:r>
      <w:r>
        <w:rPr>
          <w:rFonts w:ascii="Arial" w:cs="Arial" w:eastAsia="Arial" w:hAnsi="Arial"/>
          <w:sz w:val="15"/>
          <w:szCs w:val="15"/>
          <w:color w:val="auto"/>
        </w:rPr>
        <w:t>, 2005, the mean between the high and low sales prices of</w:t>
      </w:r>
    </w:p>
    <w:p>
      <w:pPr>
        <w:spacing w:after="0" w:line="9"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Schlumberger common stock on the New York Stock Exchange was $</w:t>
      </w:r>
      <w:r>
        <w:rPr>
          <w:sz w:val="20"/>
          <w:szCs w:val="20"/>
          <w:color w:val="auto"/>
        </w:rPr>
        <w:tab/>
      </w:r>
      <w:r>
        <w:rPr>
          <w:rFonts w:ascii="Arial" w:cs="Arial" w:eastAsia="Arial" w:hAnsi="Arial"/>
          <w:sz w:val="15"/>
          <w:szCs w:val="15"/>
          <w:color w:val="auto"/>
        </w:rPr>
        <w:t>per share.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option term may not be longer than 10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Purchase Price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to be paid upon exercise of a stock option may be paid, subject to the rules established by the Compensation Committee, as follows:</w:t>
      </w:r>
    </w:p>
    <w:p>
      <w:pPr>
        <w:spacing w:after="0" w:line="38"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cash or by certified check;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the tender or delivery of shares of our common stock with a fair market value at the time of exercise equal to the total option price; or</w:t>
      </w:r>
    </w:p>
    <w:p>
      <w:pPr>
        <w:spacing w:after="0" w:line="59"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a combination of the preceding methods.</w:t>
      </w:r>
    </w:p>
    <w:p>
      <w:pPr>
        <w:spacing w:after="0" w:line="36"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Schlumberger may require, prior to issuing common stock under the 2005 Plan, that the participant remit an amount in cash, or authorize withholding of common stock in connection with the option exercise, sufficient to satisfy tax withholding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(other than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employment with consent of Schlumberger and not for cause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Death while employed by Schlumberger or after termination of employment but prior to full exercise of stock options that were exercisable on the date of such termination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Compensation Committee may permit stock options to be exercised at any time within three months after termination, provided that stock options may be exercised only before their expiration and only to the extent they are exercisable on the date of termination.</w:t>
      </w:r>
    </w:p>
    <w:p>
      <w:pPr>
        <w:spacing w:after="0" w:line="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ectPr>
          <w:pgSz w:w="11900" w:h="16838" w:orient="portrait"/>
          <w:cols w:equalWidth="0" w:num="2">
            <w:col w:w="5800" w:space="380"/>
            <w:col w:w="5200"/>
          </w:cols>
          <w:pgMar w:left="240" w:top="274" w:right="279" w:bottom="1440" w:gutter="0" w:footer="0" w:header="0"/>
          <w:type w:val="continuous"/>
        </w:sectPr>
      </w:pPr>
    </w:p>
    <w:bookmarkStart w:id="27" w:name="page28"/>
    <w:bookmarkEnd w:id="27"/>
    <w:p>
      <w:pPr>
        <w:spacing w:after="0"/>
        <w:tabs>
          <w:tab w:leader="none" w:pos="6160" w:val="left"/>
        </w:tabs>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w:t>
      </w:r>
      <w:r>
        <w:rPr>
          <w:sz w:val="20"/>
          <w:szCs w:val="20"/>
          <w:color w:val="auto"/>
        </w:rPr>
        <w:tab/>
      </w:r>
      <w:r>
        <w:rPr>
          <w:rFonts w:ascii="Arial" w:cs="Arial" w:eastAsia="Arial" w:hAnsi="Arial"/>
          <w:sz w:val="11"/>
          <w:szCs w:val="11"/>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p>
      <w:pPr>
        <w:spacing w:after="0" w:line="3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The option holder’s rights terminate immediately.</w:t>
      </w:r>
    </w:p>
    <w:p>
      <w:pPr>
        <w:spacing w:after="0" w:line="396" w:lineRule="exact"/>
        <w:rPr>
          <w:sz w:val="20"/>
          <w:szCs w:val="20"/>
          <w:color w:val="auto"/>
        </w:rPr>
      </w:pPr>
    </w:p>
    <w:p>
      <w:pPr>
        <w:sectPr>
          <w:pgSz w:w="11900" w:h="16838" w:orient="portrait"/>
          <w:cols w:equalWidth="0" w:num="2">
            <w:col w:w="5480" w:space="700"/>
            <w:col w:w="5220"/>
          </w:cols>
          <w:pgMar w:left="240" w:top="275" w:right="259" w:bottom="1440" w:gutter="0" w:footer="0" w:header="0"/>
          <w:type w:val="continuous"/>
        </w:sect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one year after termination of employment.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Subsequent Events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consequences in the event an option holder’s employment is terminated due to retirement:</w:t>
      </w:r>
    </w:p>
    <w:p>
      <w:pPr>
        <w:spacing w:after="0" w:line="153" w:lineRule="exact"/>
        <w:rPr>
          <w:sz w:val="20"/>
          <w:szCs w:val="20"/>
          <w:color w:val="auto"/>
        </w:rPr>
      </w:pPr>
    </w:p>
    <w:p>
      <w:pPr>
        <w:spacing w:after="0"/>
        <w:tabs>
          <w:tab w:leader="none" w:pos="6160" w:val="left"/>
        </w:tabs>
        <w:rPr>
          <w:sz w:val="20"/>
          <w:szCs w:val="20"/>
          <w:color w:val="auto"/>
        </w:rPr>
      </w:pPr>
      <w:r>
        <w:rPr>
          <w:rFonts w:ascii="Arial" w:cs="Arial" w:eastAsia="Arial" w:hAnsi="Arial"/>
          <w:sz w:val="14"/>
          <w:szCs w:val="14"/>
          <w:b w:val="1"/>
          <w:bCs w:val="1"/>
          <w:color w:val="auto"/>
        </w:rPr>
        <w:t>Event</w:t>
      </w:r>
      <w:r>
        <w:rPr>
          <w:sz w:val="20"/>
          <w:szCs w:val="20"/>
          <w:color w:val="auto"/>
        </w:rPr>
        <w:tab/>
      </w:r>
      <w:r>
        <w:rPr>
          <w:rFonts w:ascii="Arial" w:cs="Arial" w:eastAsia="Arial" w:hAnsi="Arial"/>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Termination of employment due to retirement</w:t>
      </w:r>
      <w:r>
        <w:rPr>
          <w:sz w:val="20"/>
          <w:szCs w:val="20"/>
          <w:color w:val="auto"/>
        </w:rPr>
        <w:tab/>
      </w:r>
      <w:r>
        <w:rPr>
          <w:rFonts w:ascii="Arial" w:cs="Arial" w:eastAsia="Arial" w:hAnsi="Arial"/>
          <w:sz w:val="16"/>
          <w:szCs w:val="16"/>
          <w:color w:val="auto"/>
        </w:rPr>
        <w:t>Stock options will be exercisable at any time during the 60-month period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after termination by retirement or during the remainder of the option</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period, whichever is shorter (the “post-retirement exercise period”), but</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only to the extent they are exercisable on the date of termination.</w:t>
      </w:r>
    </w:p>
    <w:p>
      <w:pPr>
        <w:spacing w:after="0" w:line="7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Death after retirement during post-retirement exercise period</w:t>
      </w:r>
      <w:r>
        <w:rPr>
          <w:sz w:val="20"/>
          <w:szCs w:val="20"/>
          <w:color w:val="auto"/>
        </w:rPr>
        <w:tab/>
      </w:r>
      <w:r>
        <w:rPr>
          <w:rFonts w:ascii="Arial" w:cs="Arial" w:eastAsia="Arial" w:hAnsi="Arial"/>
          <w:sz w:val="15"/>
          <w:szCs w:val="15"/>
          <w:color w:val="auto"/>
        </w:rPr>
        <w:t>Stock options may be exercised during a 60-month period after the date of</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retirement by a person entitled to do so under the option holder’s will 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the laws of descent and distribution, provided that the stock options may</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be exercised only before their expiration and only to the extent they were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exercisable on the date of death.</w:t>
      </w:r>
    </w:p>
    <w:p>
      <w:pPr>
        <w:spacing w:after="0" w:line="15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Notwithstanding the above, an option holder may forfeit his or her right to exercise stock options, and may have certain prior option exercises rescinded, if such holder engages in “detrimental activity” (as defined in the 2005 Plan) within five years after termination of employment by retirement.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Transferability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Stock options granted under the 2005 Plan are not assignable or otherwise transferable except by will or the laws of descent and distribution.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Compensation Committee, which is made up of at least three directors who meet the applicable independence requirements of the New York Stock Exchange and all other applicable laws and regulations, will administer the 2005 Plan. The Compensation Committee has full power and authority to:</w:t>
      </w: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the 2005 Plan and supervise its administration;</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persons to whom stock options will be granted;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subject to certain limitations, the number of shares to be covered by each stock option;</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whether stock options will be designated “incentive stock options” or “non-qualified stock options”;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all other terms of each stock option consistent with the provisions of the 2005 Plan.</w:t>
      </w:r>
    </w:p>
    <w:p>
      <w:pPr>
        <w:spacing w:after="0" w:line="3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modified option exercise procedures and other terms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5" w:right="2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Termination</w:t>
      </w:r>
    </w:p>
    <w:p>
      <w:pPr>
        <w:spacing w:after="0" w:line="8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Board of Directors may amend, alter, suspend or discontinue the 2005 Plan at any time as permitted by law, provided that the Board of Directors may not amend the 2005 Plan without the approval of the stockholders:</w:t>
      </w:r>
    </w:p>
    <w:p>
      <w:pPr>
        <w:ind w:left="780" w:right="180" w:hanging="326"/>
        <w:spacing w:after="0" w:line="250"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except as described below under “Adjustments,” the amendment would permit the decrease of the purchase price of a stock option after the grant date or grant to the holder of an outstanding stock option a new stock option with a lower exercise price in exchange for an outstanding stock option; or</w:t>
      </w:r>
    </w:p>
    <w:p>
      <w:pPr>
        <w:spacing w:after="0" w:line="1" w:lineRule="exact"/>
        <w:rPr>
          <w:rFonts w:ascii="Arial" w:cs="Arial" w:eastAsia="Arial" w:hAnsi="Arial"/>
          <w:sz w:val="18"/>
          <w:szCs w:val="18"/>
          <w:color w:val="auto"/>
        </w:rPr>
      </w:pPr>
    </w:p>
    <w:p>
      <w:pPr>
        <w:ind w:left="780" w:hanging="326"/>
        <w:spacing w:after="0" w:line="281"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2005 Plan requiring stockholder approval under applicable legal requirements or the applicable requirements of the New York Stock Exchange or such other securities exchange on which our common stock is listed.</w:t>
      </w:r>
    </w:p>
    <w:p>
      <w:pPr>
        <w:spacing w:after="0" w:line="1" w:lineRule="exact"/>
        <w:rPr>
          <w:sz w:val="20"/>
          <w:szCs w:val="20"/>
          <w:color w:val="auto"/>
        </w:rPr>
      </w:pPr>
    </w:p>
    <w:p>
      <w:pPr>
        <w:jc w:val="both"/>
        <w:ind w:right="140" w:firstLine="228"/>
        <w:spacing w:after="0" w:line="261" w:lineRule="auto"/>
        <w:rPr>
          <w:sz w:val="20"/>
          <w:szCs w:val="20"/>
          <w:color w:val="auto"/>
        </w:rPr>
      </w:pPr>
      <w:r>
        <w:rPr>
          <w:rFonts w:ascii="Arial" w:cs="Arial" w:eastAsia="Arial" w:hAnsi="Arial"/>
          <w:sz w:val="18"/>
          <w:szCs w:val="18"/>
          <w:color w:val="auto"/>
        </w:rPr>
        <w:t>No amendment of the 2005 Plan may alter or impair any of the rights or obligations of any person, without his or her consent, under any stock option or right previously granted under the 2005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In the event of any subdivision or consolidation of shares or other capital readjustment, or the payment of a stock dividend or other increase or reduction of the number of shares of our common stock outstanding without compensation therefor in money, services or property, then the number of shares subject to the 2005 Plan will be proportionally adjusted and the number of shares with respect to which stock options granted under the 2005 Plan may thereafter be exercised shall:</w:t>
      </w:r>
    </w:p>
    <w:p>
      <w:pPr>
        <w:spacing w:after="0" w:line="1" w:lineRule="exact"/>
        <w:rPr>
          <w:sz w:val="20"/>
          <w:szCs w:val="20"/>
          <w:color w:val="auto"/>
        </w:rPr>
      </w:pPr>
    </w:p>
    <w:p>
      <w:pPr>
        <w:ind w:left="780" w:hanging="326"/>
        <w:spacing w:after="0" w:line="250"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780" w:right="120" w:hanging="326"/>
        <w:spacing w:after="0" w:line="250"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spacing w:after="0" w:line="1"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In the event of any reorganization, merger or consolidation where Schlumberger is not the surviving corporation, or upon the liquidation or dissolution of Schlumberger, all outstanding stock options will, unless alternate provisions are made by Schlumberger in connection with the reorganization, merger or consolidation for the assumption of such stock options, be canceled as of the effective date of such event, provided that the holder of a stock option shall be permitted to exercise all stock options (whether or not otherwise then exercisable) during the thirty-day period prior to the effective date of such action.</w:t>
      </w:r>
    </w:p>
    <w:p>
      <w:pPr>
        <w:spacing w:after="0" w:line="3" w:lineRule="exact"/>
        <w:rPr>
          <w:sz w:val="20"/>
          <w:szCs w:val="20"/>
          <w:color w:val="auto"/>
        </w:rPr>
      </w:pPr>
    </w:p>
    <w:p>
      <w:pPr>
        <w:ind w:right="20" w:firstLine="228"/>
        <w:spacing w:after="0" w:line="320" w:lineRule="auto"/>
        <w:rPr>
          <w:sz w:val="20"/>
          <w:szCs w:val="20"/>
          <w:color w:val="auto"/>
        </w:rPr>
      </w:pPr>
      <w:r>
        <w:rPr>
          <w:rFonts w:ascii="Arial" w:cs="Arial" w:eastAsia="Arial" w:hAnsi="Arial"/>
          <w:sz w:val="15"/>
          <w:szCs w:val="15"/>
          <w:color w:val="auto"/>
        </w:rPr>
        <w:t>If Schlumberger merges or consolidates with one or more corporations and is the surviving entity, then a holder of Schlumberger stock options shall be entitled to receive, upon exercise, in lieu of the number of shares as to which the option is exercised,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stock option is then exercised.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2005 Plan may vary according to country of participation. Also, the tax consequences of participating in the 2005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3" w:lineRule="exact"/>
        <w:rPr>
          <w:sz w:val="20"/>
          <w:szCs w:val="20"/>
          <w:color w:val="auto"/>
        </w:rPr>
      </w:pPr>
    </w:p>
    <w:p>
      <w:pPr>
        <w:jc w:val="both"/>
        <w:ind w:right="40" w:firstLine="228"/>
        <w:spacing w:after="0" w:line="300" w:lineRule="auto"/>
        <w:rPr>
          <w:sz w:val="20"/>
          <w:szCs w:val="20"/>
          <w:color w:val="auto"/>
        </w:rPr>
      </w:pPr>
      <w:r>
        <w:rPr>
          <w:rFonts w:ascii="Arial" w:cs="Arial" w:eastAsia="Arial" w:hAnsi="Arial"/>
          <w:sz w:val="15"/>
          <w:szCs w:val="15"/>
          <w:color w:val="auto"/>
        </w:rPr>
        <w:t>Some of the options issued under the 2005 Plan are intended to constitute “incentive stock options” within the meaning of Section 422 of the Internal Revenue Code of 1986, as amended (the ”Code”), while other options granted under the 2005 Plan are non-qualified stock options. The Code provides for tax treatment of stock options qualifying as incentive stock options that may be more favorable to employees than the tax treatment accorded non-qualified stock options.</w:t>
      </w:r>
    </w:p>
    <w:p>
      <w:pPr>
        <w:spacing w:after="0" w:line="1" w:lineRule="exact"/>
        <w:rPr>
          <w:sz w:val="20"/>
          <w:szCs w:val="20"/>
          <w:color w:val="auto"/>
        </w:rPr>
      </w:pPr>
    </w:p>
    <w:p>
      <w:pPr>
        <w:jc w:val="center"/>
        <w:ind w:right="20"/>
        <w:spacing w:after="0" w:line="433" w:lineRule="auto"/>
        <w:rPr>
          <w:sz w:val="20"/>
          <w:szCs w:val="20"/>
          <w:color w:val="auto"/>
        </w:rPr>
      </w:pPr>
      <w:r>
        <w:rPr>
          <w:rFonts w:ascii="Arial" w:cs="Arial" w:eastAsia="Arial" w:hAnsi="Arial"/>
          <w:sz w:val="18"/>
          <w:szCs w:val="18"/>
          <w:color w:val="auto"/>
        </w:rPr>
        <w:t>Generally, upon the exercise of an incentive stock option, the optionee will recognize no income for U.S. federal income tax purposes, although, the optionee may 27</w:t>
      </w:r>
    </w:p>
    <w:p>
      <w:pPr>
        <w:sectPr>
          <w:pgSz w:w="11900" w:h="16838" w:orient="portrait"/>
          <w:cols w:equalWidth="0" w:num="1">
            <w:col w:w="11420"/>
          </w:cols>
          <w:pgMar w:left="240" w:top="274" w:right="239" w:bottom="1440" w:gutter="0" w:footer="0" w:header="0"/>
        </w:sectPr>
      </w:pPr>
    </w:p>
    <w:bookmarkStart w:id="29" w:name="page30"/>
    <w:bookmarkEnd w:id="29"/>
    <w:p>
      <w:pPr>
        <w:ind w:right="4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subsequently recognize income if the shares are disposed of prior to the holding period described below. The difference between the exercise price of the incentive stock option and the fair market value of the stock at the time of purchase is an item of tax preference which may require payment of an alternative minimum tax.</w:t>
      </w:r>
    </w:p>
    <w:p>
      <w:pPr>
        <w:ind w:firstLine="228"/>
        <w:spacing w:after="0" w:line="300" w:lineRule="auto"/>
        <w:rPr>
          <w:sz w:val="20"/>
          <w:szCs w:val="20"/>
          <w:color w:val="auto"/>
        </w:rPr>
      </w:pPr>
      <w:r>
        <w:rPr>
          <w:rFonts w:ascii="Arial" w:cs="Arial" w:eastAsia="Arial" w:hAnsi="Arial"/>
          <w:sz w:val="15"/>
          <w:szCs w:val="15"/>
          <w:color w:val="auto"/>
        </w:rPr>
        <w:t>On the sale of shares acquired by exercise of an incentive stock option (assuming that the sale does not occur within two years following the date of grant of the option or within one year following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2005 Plan, we expect that the 2005 Plan will comply with the requirements for performance-based compensation exempt from the $1 million limit on deductible compensation set forth in Section 162(m) of the Code, provided that the Compensation Committee is comprised solely of “Outside Directors” as defined in Section 162(m) of the Code.</w:t>
      </w:r>
    </w:p>
    <w:p>
      <w:pPr>
        <w:spacing w:after="0" w:line="5"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Except with respect to death, an optionee has three months after termination of employment in which to exercise an incentive stock option and retain incentive stock option tax treatment at exercise. An option exercised more than three months after an optionee’s termination of employment, including termination due to retirement, cannot qualify for the tax treatment accorded incentive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 majority of the votes cast is required for approval of the 2005 Plan, provided that the total vote cast on the proposal represents over 50% of all outstanding shares. </w:t>
      </w:r>
      <w:r>
        <w:rPr>
          <w:rFonts w:ascii="Arial" w:cs="Arial" w:eastAsia="Arial" w:hAnsi="Arial"/>
          <w:sz w:val="16"/>
          <w:szCs w:val="16"/>
          <w:b w:val="1"/>
          <w:bCs w:val="1"/>
          <w:i w:val="1"/>
          <w:iCs w:val="1"/>
          <w:color w:val="auto"/>
        </w:rPr>
        <w:t>Brokers do not have discretion to vote on this proposal without your instruction. If you do not instruct your broker how to vote on this proposal, your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Schlumberger 2005 Stock Option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44274"/>
        </w:rPr>
        <w:t>5. Approval of an Amendment to the Schlumberger Discounted Stock Purchase Plan</w:t>
      </w:r>
    </w:p>
    <w:p>
      <w:pPr>
        <w:spacing w:after="0" w:line="16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requesting that our stockholders vote in favor of approving an amendment to the Schlumberger Discounted Stock Purchase Plan (as amended, the “DSPP”), which would increase the number of shares available for purchase under the DSPP by 6,000,000 shares. The proposed amendment was approved by the Board on January 20, 2005 and, if approved by our stockholders, will be effective as of January 20, 2005. No other changes are being made to the DSPP.</w:t>
      </w:r>
    </w:p>
    <w:p>
      <w:pPr>
        <w:spacing w:after="0" w:line="1" w:lineRule="exact"/>
        <w:rPr>
          <w:sz w:val="20"/>
          <w:szCs w:val="20"/>
          <w:color w:val="auto"/>
        </w:rPr>
      </w:pPr>
    </w:p>
    <w:p>
      <w:pPr>
        <w:ind w:right="420" w:firstLine="228"/>
        <w:spacing w:after="0" w:line="254" w:lineRule="auto"/>
        <w:rPr>
          <w:sz w:val="20"/>
          <w:szCs w:val="20"/>
          <w:color w:val="auto"/>
        </w:rPr>
      </w:pPr>
      <w:r>
        <w:rPr>
          <w:rFonts w:ascii="Arial" w:cs="Arial" w:eastAsia="Arial" w:hAnsi="Arial"/>
          <w:sz w:val="18"/>
          <w:szCs w:val="18"/>
          <w:color w:val="auto"/>
        </w:rPr>
        <w:t>The DSPP was originally approved by the Board and our stockholders in 1988. In 1998, the DSPP was amended and restated with the approval of our stockholders. The DSPP has been amended on four previous occasions since 1998 with respect to matters unrelated to the class of employees eligible or the number of shares authorized for issuance under the DSPP. The following summary of certain major features of the DSPP is subject to the specific provisions contained in the full text of the DSPP set forth as Appendix 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of the DSPP and Proposed Amendment</w:t>
      </w:r>
    </w:p>
    <w:p>
      <w:pPr>
        <w:spacing w:after="0" w:line="8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DSPP is designed to encourage and assist all employees of Schlumberger and its subsidiaries to acquire an equity interest in Schlumberger through the purchase of common stock. The proposed amendment is designed to insure that a sufficient number of shares will be available under the DSPP for future purchase periods. A total of 1,444,434 shares currently remain available for purchase under the DSPP; during 2004, a total of 1,362,419 shares were purchased under the DSPP. If the proposed amendment is approved, an aggregate of 7,444,434 shares will be available for purchase under the DSPP.</w:t>
      </w:r>
    </w:p>
    <w:p>
      <w:pPr>
        <w:spacing w:after="0" w:line="3" w:lineRule="exact"/>
        <w:rPr>
          <w:sz w:val="20"/>
          <w:szCs w:val="20"/>
          <w:color w:val="auto"/>
        </w:rPr>
      </w:pPr>
    </w:p>
    <w:p>
      <w:pPr>
        <w:ind w:right="60" w:firstLine="228"/>
        <w:spacing w:after="0" w:line="323" w:lineRule="auto"/>
        <w:rPr>
          <w:sz w:val="20"/>
          <w:szCs w:val="20"/>
          <w:color w:val="auto"/>
        </w:rPr>
      </w:pPr>
      <w:r>
        <w:rPr>
          <w:rFonts w:ascii="Arial" w:cs="Arial" w:eastAsia="Arial" w:hAnsi="Arial"/>
          <w:sz w:val="16"/>
          <w:szCs w:val="16"/>
          <w:color w:val="auto"/>
        </w:rPr>
        <w:t>The DSPP is intended to constitute an “employee stock purchase plan” under Section 423 of the Internal Revenue Code of 1986 (the “Code”). The provisions of Section 423 and the DSPP limit the number of shares which may be purchased by any participant for each purchase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DSPP is administered by a committee of at least three persons appointed by the Board (the “DSPP Committee”). The DSPP Committee has the full power and authority to:</w:t>
      </w: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 and compensate agents for the purpose of administering the accounts of participating employees;</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construe and interpret the DSPP;</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 all questions of eligibility;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compute the amount and determine the manner and time of payment of all benefits.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Key Terms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key provisions of the DSPP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i w:val="1"/>
                <w:iCs w:val="1"/>
                <w:color w:val="auto"/>
              </w:rPr>
              <w:t>Eligible Participants:</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89"/>
              </w:rPr>
              <w:t>All employees of Schlumberger and its subsidiaries, including officers, are eligible to participate in the DSPP, except as</w:t>
            </w:r>
          </w:p>
        </w:tc>
      </w:tr>
      <w:tr>
        <w:trPr>
          <w:trHeight w:val="216"/>
        </w:trPr>
        <w:tc>
          <w:tcPr>
            <w:tcW w:w="248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88"/>
              </w:rPr>
              <w:t>described below under “Ineligible Participants.” As of January 1, 2005, there were approximately 44,520 employees who</w:t>
            </w:r>
          </w:p>
        </w:tc>
      </w:tr>
      <w:tr>
        <w:trPr>
          <w:trHeight w:val="222"/>
        </w:trPr>
        <w:tc>
          <w:tcPr>
            <w:tcW w:w="2480" w:type="dxa"/>
            <w:vAlign w:val="bottom"/>
          </w:tcPr>
          <w:p>
            <w:pPr>
              <w:spacing w:after="0"/>
              <w:rPr>
                <w:sz w:val="19"/>
                <w:szCs w:val="19"/>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were eligible to participate in the DSPP.</w:t>
            </w:r>
          </w:p>
        </w:tc>
      </w:tr>
      <w:tr>
        <w:trPr>
          <w:trHeight w:val="277"/>
        </w:trPr>
        <w:tc>
          <w:tcPr>
            <w:tcW w:w="2480" w:type="dxa"/>
            <w:vAlign w:val="bottom"/>
          </w:tcPr>
          <w:p>
            <w:pPr>
              <w:spacing w:after="0"/>
              <w:rPr>
                <w:sz w:val="20"/>
                <w:szCs w:val="20"/>
                <w:color w:val="auto"/>
              </w:rPr>
            </w:pPr>
            <w:r>
              <w:rPr>
                <w:rFonts w:ascii="Arial" w:cs="Arial" w:eastAsia="Arial" w:hAnsi="Arial"/>
                <w:sz w:val="18"/>
                <w:szCs w:val="18"/>
                <w:i w:val="1"/>
                <w:iCs w:val="1"/>
                <w:color w:val="auto"/>
              </w:rPr>
              <w:t>Ineligible Participants:</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4"/>
              </w:rPr>
              <w:t>The following employees are not eligible to participate in the DSPP (unless otherwise required by applicable law):</w:t>
            </w:r>
          </w:p>
        </w:tc>
      </w:tr>
      <w:tr>
        <w:trPr>
          <w:trHeight w:val="216"/>
        </w:trPr>
        <w:tc>
          <w:tcPr>
            <w:tcW w:w="248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8320" w:type="dxa"/>
            <w:vAlign w:val="bottom"/>
          </w:tcPr>
          <w:p>
            <w:pPr>
              <w:ind w:left="140"/>
              <w:spacing w:after="0"/>
              <w:rPr>
                <w:sz w:val="20"/>
                <w:szCs w:val="20"/>
                <w:color w:val="auto"/>
              </w:rPr>
            </w:pPr>
            <w:r>
              <w:rPr>
                <w:rFonts w:ascii="Arial" w:cs="Arial" w:eastAsia="Arial" w:hAnsi="Arial"/>
                <w:sz w:val="18"/>
                <w:szCs w:val="18"/>
                <w:color w:val="auto"/>
                <w:w w:val="93"/>
              </w:rPr>
              <w:t>employees who would, immediately upon enrollment in the DSPP, own, directly or indirectly, or hold options or</w:t>
            </w:r>
          </w:p>
        </w:tc>
      </w:tr>
      <w:tr>
        <w:trPr>
          <w:trHeight w:val="216"/>
        </w:trPr>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w w:val="89"/>
              </w:rPr>
              <w:t>rights to acquire, an aggregate of 5% or more of the total combined voting power or value of all outstanding shares</w:t>
            </w:r>
          </w:p>
        </w:tc>
      </w:tr>
      <w:tr>
        <w:trPr>
          <w:trHeight w:val="216"/>
        </w:trPr>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of all classes of our stock or our subsidiaries’ stock;</w:t>
            </w:r>
          </w:p>
        </w:tc>
      </w:tr>
      <w:tr>
        <w:trPr>
          <w:trHeight w:val="216"/>
        </w:trPr>
        <w:tc>
          <w:tcPr>
            <w:tcW w:w="248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8320" w:type="dxa"/>
            <w:vAlign w:val="bottom"/>
          </w:tcPr>
          <w:p>
            <w:pPr>
              <w:ind w:left="140"/>
              <w:spacing w:after="0"/>
              <w:rPr>
                <w:sz w:val="20"/>
                <w:szCs w:val="20"/>
                <w:color w:val="auto"/>
              </w:rPr>
            </w:pPr>
            <w:r>
              <w:rPr>
                <w:rFonts w:ascii="Arial" w:cs="Arial" w:eastAsia="Arial" w:hAnsi="Arial"/>
                <w:sz w:val="18"/>
                <w:szCs w:val="18"/>
                <w:color w:val="auto"/>
                <w:w w:val="91"/>
              </w:rPr>
              <w:t>employees who are customarily employed by us less than twenty hours per week or less than five months in any</w:t>
            </w:r>
          </w:p>
        </w:tc>
      </w:tr>
      <w:tr>
        <w:trPr>
          <w:trHeight w:val="216"/>
        </w:trPr>
        <w:tc>
          <w:tcPr>
            <w:tcW w:w="2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calendar year; and</w:t>
            </w:r>
          </w:p>
        </w:tc>
      </w:tr>
      <w:tr>
        <w:trPr>
          <w:trHeight w:val="216"/>
        </w:trPr>
        <w:tc>
          <w:tcPr>
            <w:tcW w:w="248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8320" w:type="dxa"/>
            <w:vAlign w:val="bottom"/>
          </w:tcPr>
          <w:p>
            <w:pPr>
              <w:ind w:left="140"/>
              <w:spacing w:after="0"/>
              <w:rPr>
                <w:sz w:val="20"/>
                <w:szCs w:val="20"/>
                <w:color w:val="auto"/>
              </w:rPr>
            </w:pPr>
            <w:r>
              <w:rPr>
                <w:rFonts w:ascii="Arial" w:cs="Arial" w:eastAsia="Arial" w:hAnsi="Arial"/>
                <w:sz w:val="18"/>
                <w:szCs w:val="18"/>
                <w:color w:val="auto"/>
                <w:w w:val="93"/>
              </w:rPr>
              <w:t>employees who are prohibited by the laws and regulations of the nation of their residence or employment from</w:t>
            </w:r>
          </w:p>
        </w:tc>
      </w:tr>
      <w:tr>
        <w:trPr>
          <w:trHeight w:val="222"/>
        </w:trPr>
        <w:tc>
          <w:tcPr>
            <w:tcW w:w="2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participating in the DSPP as determined by the DSPP Committee.</w:t>
            </w:r>
          </w:p>
        </w:tc>
      </w:tr>
      <w:tr>
        <w:trPr>
          <w:trHeight w:val="291"/>
        </w:trPr>
        <w:tc>
          <w:tcPr>
            <w:tcW w:w="2480" w:type="dxa"/>
            <w:vAlign w:val="bottom"/>
          </w:tcPr>
          <w:p>
            <w:pPr>
              <w:spacing w:after="0"/>
              <w:rPr>
                <w:sz w:val="20"/>
                <w:szCs w:val="20"/>
                <w:color w:val="auto"/>
              </w:rPr>
            </w:pPr>
            <w:r>
              <w:rPr>
                <w:rFonts w:ascii="Arial" w:cs="Arial" w:eastAsia="Arial" w:hAnsi="Arial"/>
                <w:sz w:val="18"/>
                <w:szCs w:val="18"/>
                <w:i w:val="1"/>
                <w:iCs w:val="1"/>
                <w:color w:val="auto"/>
              </w:rPr>
              <w:t>Shares Available for Issuance</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89"/>
              </w:rPr>
              <w:t>1,444,434 shares currently remain available for purchase under the DSPP. If the proposed amendment is approved, an</w:t>
            </w:r>
          </w:p>
        </w:tc>
      </w:tr>
      <w:tr>
        <w:trPr>
          <w:trHeight w:val="216"/>
        </w:trPr>
        <w:tc>
          <w:tcPr>
            <w:tcW w:w="2480" w:type="dxa"/>
            <w:vAlign w:val="bottom"/>
          </w:tcPr>
          <w:p>
            <w:pPr>
              <w:spacing w:after="0"/>
              <w:rPr>
                <w:sz w:val="20"/>
                <w:szCs w:val="20"/>
                <w:color w:val="auto"/>
              </w:rPr>
            </w:pPr>
            <w:r>
              <w:rPr>
                <w:rFonts w:ascii="Arial" w:cs="Arial" w:eastAsia="Arial" w:hAnsi="Arial"/>
                <w:sz w:val="18"/>
                <w:szCs w:val="18"/>
                <w:i w:val="1"/>
                <w:iCs w:val="1"/>
                <w:color w:val="auto"/>
              </w:rPr>
              <w:t>Under the DSPP:</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aggregate of 7,444,434 shares will be available for purchase under the DSPP.</w:t>
            </w:r>
          </w:p>
        </w:tc>
      </w:tr>
      <w:tr>
        <w:trPr>
          <w:trHeight w:val="216"/>
        </w:trPr>
        <w:tc>
          <w:tcPr>
            <w:tcW w:w="248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9"/>
              </w:rPr>
              <w:t>The number of shares available for issuance under the DSPP is subject to adjustment to reflect stock splits,</w:t>
            </w:r>
          </w:p>
        </w:tc>
      </w:tr>
      <w:tr>
        <w:trPr>
          <w:trHeight w:val="222"/>
        </w:trPr>
        <w:tc>
          <w:tcPr>
            <w:tcW w:w="2480" w:type="dxa"/>
            <w:vAlign w:val="bottom"/>
          </w:tcPr>
          <w:p>
            <w:pPr>
              <w:spacing w:after="0"/>
              <w:rPr>
                <w:sz w:val="19"/>
                <w:szCs w:val="19"/>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reorganizations, mergers and similar events.</w:t>
            </w:r>
          </w:p>
        </w:tc>
      </w:tr>
      <w:tr>
        <w:trPr>
          <w:trHeight w:val="297"/>
        </w:trPr>
        <w:tc>
          <w:tcPr>
            <w:tcW w:w="2480" w:type="dxa"/>
            <w:vAlign w:val="bottom"/>
          </w:tcPr>
          <w:p>
            <w:pPr>
              <w:spacing w:after="0"/>
              <w:rPr>
                <w:sz w:val="20"/>
                <w:szCs w:val="20"/>
                <w:color w:val="auto"/>
              </w:rPr>
            </w:pPr>
            <w:r>
              <w:rPr>
                <w:rFonts w:ascii="Arial" w:cs="Arial" w:eastAsia="Arial" w:hAnsi="Arial"/>
                <w:sz w:val="18"/>
                <w:szCs w:val="18"/>
                <w:i w:val="1"/>
                <w:iCs w:val="1"/>
                <w:color w:val="auto"/>
              </w:rPr>
              <w:t>Purchase Periods:</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There are two purchase periods each calendar year: January 1 to June 30 and July 1 to December 31.</w:t>
            </w:r>
          </w:p>
        </w:tc>
      </w:tr>
      <w:tr>
        <w:trPr>
          <w:trHeight w:val="277"/>
        </w:trPr>
        <w:tc>
          <w:tcPr>
            <w:tcW w:w="2480" w:type="dxa"/>
            <w:vAlign w:val="bottom"/>
          </w:tcPr>
          <w:p>
            <w:pPr>
              <w:spacing w:after="0"/>
              <w:rPr>
                <w:sz w:val="20"/>
                <w:szCs w:val="20"/>
                <w:color w:val="auto"/>
              </w:rPr>
            </w:pPr>
            <w:r>
              <w:rPr>
                <w:rFonts w:ascii="Arial" w:cs="Arial" w:eastAsia="Arial" w:hAnsi="Arial"/>
                <w:sz w:val="18"/>
                <w:szCs w:val="18"/>
                <w:i w:val="1"/>
                <w:iCs w:val="1"/>
                <w:color w:val="auto"/>
              </w:rPr>
              <w:t>Purchase Price:</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0"/>
              </w:rPr>
              <w:t>The cost to a participant for shares of our common stock purchased during a purchase period is equal to 92.5% of the</w:t>
            </w:r>
          </w:p>
        </w:tc>
      </w:tr>
      <w:tr>
        <w:trPr>
          <w:trHeight w:val="216"/>
        </w:trPr>
        <w:tc>
          <w:tcPr>
            <w:tcW w:w="248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lower of:</w:t>
            </w:r>
          </w:p>
        </w:tc>
      </w:tr>
      <w:tr>
        <w:trPr>
          <w:trHeight w:val="216"/>
        </w:trPr>
        <w:tc>
          <w:tcPr>
            <w:tcW w:w="248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8320" w:type="dxa"/>
            <w:vAlign w:val="bottom"/>
          </w:tcPr>
          <w:p>
            <w:pPr>
              <w:ind w:left="140"/>
              <w:spacing w:after="0"/>
              <w:rPr>
                <w:sz w:val="20"/>
                <w:szCs w:val="20"/>
                <w:color w:val="auto"/>
              </w:rPr>
            </w:pPr>
            <w:r>
              <w:rPr>
                <w:rFonts w:ascii="Arial" w:cs="Arial" w:eastAsia="Arial" w:hAnsi="Arial"/>
                <w:sz w:val="18"/>
                <w:szCs w:val="18"/>
                <w:color w:val="auto"/>
                <w:w w:val="89"/>
              </w:rPr>
              <w:t>the fair market value of a share of our common stock on the grant date (the first trading day of a purchase period or</w:t>
            </w:r>
          </w:p>
        </w:tc>
      </w:tr>
      <w:tr>
        <w:trPr>
          <w:trHeight w:val="222"/>
        </w:trPr>
        <w:tc>
          <w:tcPr>
            <w:tcW w:w="2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such other trading day determined by the DSPP Committee); and</w:t>
            </w:r>
          </w:p>
        </w:tc>
      </w:tr>
      <w:tr>
        <w:trPr>
          <w:trHeight w:val="378"/>
        </w:trPr>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20" w:type="dxa"/>
            <w:vAlign w:val="bottom"/>
          </w:tcPr>
          <w:p>
            <w:pPr>
              <w:ind w:left="25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380"/>
          </w:cols>
          <w:pgMar w:left="240" w:top="274" w:right="27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8300" w:type="dxa"/>
            <w:vAlign w:val="bottom"/>
          </w:tcPr>
          <w:p>
            <w:pPr>
              <w:ind w:left="140"/>
              <w:spacing w:after="0"/>
              <w:rPr>
                <w:sz w:val="20"/>
                <w:szCs w:val="20"/>
                <w:color w:val="auto"/>
              </w:rPr>
            </w:pPr>
            <w:r>
              <w:rPr>
                <w:rFonts w:ascii="Arial" w:cs="Arial" w:eastAsia="Arial" w:hAnsi="Arial"/>
                <w:sz w:val="18"/>
                <w:szCs w:val="18"/>
                <w:color w:val="auto"/>
                <w:w w:val="87"/>
              </w:rPr>
              <w:t>the fair market value of a share of our common stock on the purchase date (the last trading day of a purchase period</w:t>
            </w:r>
          </w:p>
        </w:tc>
      </w:tr>
      <w:tr>
        <w:trPr>
          <w:trHeight w:val="216"/>
        </w:trPr>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or such other trading day determined by the DSPP Committee).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“Fair market value” is determined by averaging the highest and lowest composite sale prices per share of our common</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stock on the New York Stock Exchange Composite Transactions Quotations on a date.</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Method of Payment:</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9"/>
              </w:rPr>
              <w:t>Each DSPP participant may make contributions through payroll deductions from one to ten percent of his or her eligible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compensation. A participant’s contributions, together with interest on such contributions and dividends on shares held in</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4"/>
              </w:rPr>
              <w:t>the DSPP, where applicable, are used to purchase shares of common stock at the end of each purchase period.</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If a participant’s contributions during a purchase period exceed $11,250, or if the purchase of shares with such</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allocations would exceed the share limitations discussed above under “Ineligible Participants,” such excess amounts will</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be refunded to the participant as soon as practicable.</w:t>
            </w:r>
          </w:p>
        </w:tc>
      </w:tr>
      <w:tr>
        <w:trPr>
          <w:trHeight w:val="216"/>
        </w:trPr>
        <w:tc>
          <w:tcPr>
            <w:tcW w:w="258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A participant may not purchase shares of our common stock under the DSPP having a fair market value in excess of</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$25,000 per year.</w:t>
            </w:r>
          </w:p>
        </w:tc>
      </w:tr>
      <w:tr>
        <w:trPr>
          <w:trHeight w:val="291"/>
        </w:trPr>
        <w:tc>
          <w:tcPr>
            <w:tcW w:w="2580" w:type="dxa"/>
            <w:vAlign w:val="bottom"/>
          </w:tcPr>
          <w:p>
            <w:pPr>
              <w:spacing w:after="0"/>
              <w:rPr>
                <w:sz w:val="20"/>
                <w:szCs w:val="20"/>
                <w:color w:val="auto"/>
              </w:rPr>
            </w:pPr>
            <w:r>
              <w:rPr>
                <w:rFonts w:ascii="Arial" w:cs="Arial" w:eastAsia="Arial" w:hAnsi="Arial"/>
                <w:sz w:val="18"/>
                <w:szCs w:val="18"/>
                <w:i w:val="1"/>
                <w:iCs w:val="1"/>
                <w:color w:val="auto"/>
              </w:rPr>
              <w:t>Withdrawal of Shares:</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A participant may elect to withdraw previously purchased shares held in his or her account at any time (without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withdrawing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Termination of Rights to</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1"/>
              </w:rPr>
              <w:t>The right to participate in the DSPP terminates immediately when a participant ceases to be employed by us for any</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Participate in 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reason (including death, unpaid disability or when the participant’s employer ceases to be a subsidiary) or the participant</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otherwise becomes ineligible or withdraws his or her contributions from the DSPP.</w:t>
            </w:r>
          </w:p>
        </w:tc>
      </w:tr>
      <w:tr>
        <w:trPr>
          <w:trHeight w:val="277"/>
        </w:trPr>
        <w:tc>
          <w:tcPr>
            <w:tcW w:w="2580" w:type="dxa"/>
            <w:vAlign w:val="bottom"/>
          </w:tcPr>
          <w:p>
            <w:pPr>
              <w:spacing w:after="0"/>
              <w:rPr>
                <w:sz w:val="20"/>
                <w:szCs w:val="20"/>
                <w:color w:val="auto"/>
              </w:rPr>
            </w:pPr>
            <w:r>
              <w:rPr>
                <w:rFonts w:ascii="Arial" w:cs="Arial" w:eastAsia="Arial" w:hAnsi="Arial"/>
                <w:sz w:val="18"/>
                <w:szCs w:val="18"/>
                <w:i w:val="1"/>
                <w:iCs w:val="1"/>
                <w:color w:val="auto"/>
              </w:rPr>
              <w:t>Modification and Termination of</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8"/>
              </w:rPr>
              <w:t>Subject to limited exceptions, the Board may amend or terminate the DSPP at any time. No amendment will be effective</w:t>
            </w: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the DSPP:</w:t>
            </w: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0"/>
              </w:rPr>
              <w:t>unless within one year after it is adopted by the Board it is approved by the holders of a majority of the votes cast at a</w:t>
            </w:r>
          </w:p>
        </w:tc>
      </w:tr>
      <w:tr>
        <w:trPr>
          <w:trHeight w:val="222"/>
        </w:trPr>
        <w:tc>
          <w:tcPr>
            <w:tcW w:w="258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87"/>
              </w:rPr>
              <w:t>meeting if such amendment would otherwise cause the rights granted under the DSPP to purchase shares of our common</w:t>
            </w:r>
          </w:p>
        </w:tc>
      </w:tr>
    </w:tbl>
    <w:p>
      <w:pPr>
        <w:jc w:val="both"/>
        <w:ind w:left="2880" w:right="20"/>
        <w:spacing w:after="0" w:line="255" w:lineRule="auto"/>
        <w:rPr>
          <w:sz w:val="20"/>
          <w:szCs w:val="20"/>
          <w:color w:val="auto"/>
        </w:rPr>
      </w:pPr>
      <w:r>
        <w:rPr>
          <w:rFonts w:ascii="Arial" w:cs="Arial" w:eastAsia="Arial" w:hAnsi="Arial"/>
          <w:sz w:val="18"/>
          <w:szCs w:val="18"/>
          <w:color w:val="auto"/>
        </w:rPr>
        <w:t>stock to fail to meet the requirements of Section 423 of the Code. Section 423 currently requires stockholder approval of a plan amendment that would (1) change the number of shares subject to the DSPP, or (2) change the class of employees eligible to participate in the DSPP.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U.S. Federal Income Tax Consequences to Schlumberger and to Participants</w:t>
      </w:r>
    </w:p>
    <w:p>
      <w:pPr>
        <w:spacing w:after="0" w:line="8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following discussion of tax consequences relates only to U.S. federal income tax matters. The tax consequences of participating in the DSPP may vary according to country of participation. Also, the tax consequences of participating in the DSPP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3" w:lineRule="exact"/>
        <w:rPr>
          <w:sz w:val="20"/>
          <w:szCs w:val="20"/>
          <w:color w:val="auto"/>
        </w:rPr>
      </w:pPr>
    </w:p>
    <w:p>
      <w:pPr>
        <w:ind w:right="80" w:firstLine="228"/>
        <w:spacing w:after="0" w:line="295" w:lineRule="auto"/>
        <w:rPr>
          <w:sz w:val="20"/>
          <w:szCs w:val="20"/>
          <w:color w:val="auto"/>
        </w:rPr>
      </w:pPr>
      <w:r>
        <w:rPr>
          <w:rFonts w:ascii="Arial" w:cs="Arial" w:eastAsia="Arial" w:hAnsi="Arial"/>
          <w:sz w:val="16"/>
          <w:szCs w:val="16"/>
          <w:color w:val="auto"/>
        </w:rPr>
        <w:t>The DSPP is intended to qualify as an “employee stock purchase plan” under Section 423 of the Code. Amounts withheld from pay under the DSPP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 purchase period) or when the right to purchase common stock is exercised (on the last day of the purchase period).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32" w:name="page33"/>
    <w:bookmarkEnd w:id="32"/>
    <w:p>
      <w:pPr>
        <w:ind w:firstLine="228"/>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participant holds the common stock purchased under the DSPP for at least two years after the first day of the purchase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excess of the fair market value of the common stock on the date of disposition over the price paid for the common stock; or</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market value of the common stock on the Enrollment Date multiplied by the original 7.5% discount.</w:t>
      </w:r>
    </w:p>
    <w:p>
      <w:pPr>
        <w:spacing w:after="0" w:line="36" w:lineRule="exact"/>
        <w:rPr>
          <w:sz w:val="20"/>
          <w:szCs w:val="20"/>
          <w:color w:val="auto"/>
        </w:rPr>
      </w:pPr>
    </w:p>
    <w:p>
      <w:pPr>
        <w:jc w:val="both"/>
        <w:ind w:right="40" w:firstLine="228"/>
        <w:spacing w:after="0" w:line="284"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 the Common Stock on the Exercise Date in which the common stock was acquired less the amount paid for the common stock. The ordinary income recognition pertains to any disposition of common stock acquired under the DSPP (such as by sale, exchange or gift).</w:t>
      </w:r>
    </w:p>
    <w:p>
      <w:pPr>
        <w:spacing w:after="0" w:line="1"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Upon disposition of the common stock acquired under the DSPP, any gain realized in excess of the amount reported as ordinary income will be reportable by the participant as a capital gain, and any loss will be reportable as a capital loss. Capital gain or loss will be long-term if the employee has satisfied the holding periods requirement described above or, in any event, if the employee has held the common stock for at least one year. Otherwise, the capital gain or loss will be short-term. If the participant satisfies the statutory holding periods, described above, for common stock purchased under the DSPP, we will not receive any deduction for federal income tax purposes. If the participant does not satisfy the holding periods, we will be entitled to a deduction in an amount equal to the amount that is considered ordinary income taxable to the participant. We are entitled to a compensation expense deduction under Section 162 of the Code only to the extent that ordinary income is realized by the participant as a result of a disqualifying disposition.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Plan Benefits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participation in the plan is voluntary and we are unable to predict the future value of our common stock, we cannot currently determine the benefits or amounts that will be received in the future by any person or group under the DSPP. The following table sets forth the number of shares purchased under the DSPP during 2004 by our Chief Executive Officer, the named executive officers, executive officers as a group and all employees as a group, including all current officers who are not executive officers.</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Value ($)</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7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 Chairman and Chief Executive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C. Sbiti,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 Perraud, Executive Vice President and Chief Financial Officer</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X. Flinois, Former Executive Vice President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 Boutte, Executive Vice President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S. Pai, Vice President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executive officers as a group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153,166</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All non-executive officer employees as a group</w:t>
            </w: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73,568,164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1,359,552</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majority of the votes cast (excluding abstentions) which are represented in person or by proxy is required for approval of the amendment to the DSPP.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Recommendation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amendment to the Schlumberger Discounted Stock Purchase Plan.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table below sets forth the following information as of the end of Schlumberger’s 2004 fiscal year for (i) all compensation plans previously approved by our stockholders and (ii) all compensation plans not previously approved by our stockholders. The table does not reflect shares of our common stock reserved for issuance under the 2005 Stock Option Plan or in connection with the January 2005 amendment to the Schlumberger Discounted Stock Purchase Plan, both of which are being submitted for stockholder approval at the Annual General Meeting.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(b)</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7"/>
              </w:rPr>
              <w:t>Weighted-</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(a)</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exercise</w:t>
            </w: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Number of</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price of</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securities to</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such</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be issued</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2"/>
              </w:rPr>
              <w:t>outstanding</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upon exercise</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options,</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of outstanding</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warrants</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and</w:t>
            </w:r>
          </w:p>
        </w:tc>
        <w:tc>
          <w:tcPr>
            <w:tcW w:w="1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plans (excluding securities</w:t>
            </w:r>
          </w:p>
        </w:tc>
        <w:tc>
          <w:tcPr>
            <w:tcW w:w="0" w:type="dxa"/>
            <w:vAlign w:val="bottom"/>
          </w:tcPr>
          <w:p>
            <w:pPr>
              <w:spacing w:after="0"/>
              <w:rPr>
                <w:sz w:val="1"/>
                <w:szCs w:val="1"/>
                <w:color w:val="auto"/>
              </w:rPr>
            </w:pPr>
          </w:p>
        </w:tc>
      </w:tr>
      <w:tr>
        <w:trPr>
          <w:trHeight w:val="174"/>
        </w:trPr>
        <w:tc>
          <w:tcPr>
            <w:tcW w:w="6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and rights</w:t>
            </w:r>
          </w:p>
        </w:tc>
        <w:tc>
          <w:tcPr>
            <w:tcW w:w="174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rights</w:t>
            </w:r>
          </w:p>
        </w:tc>
        <w:tc>
          <w:tcPr>
            <w:tcW w:w="1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security holders</w:t>
            </w:r>
          </w:p>
        </w:tc>
        <w:tc>
          <w:tcPr>
            <w:tcW w:w="208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b w:val="1"/>
                <w:bCs w:val="1"/>
                <w:color w:val="auto"/>
              </w:rPr>
              <w:t>30,062,025</w:t>
            </w:r>
          </w:p>
        </w:tc>
        <w:tc>
          <w:tcPr>
            <w:tcW w:w="174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b w:val="1"/>
                <w:bCs w:val="1"/>
                <w:color w:val="auto"/>
              </w:rPr>
              <w:t>59.83</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6,450,544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3"/>
          </w:tcPr>
          <w:p>
            <w:pPr>
              <w:spacing w:after="0" w:line="149" w:lineRule="exact"/>
              <w:rPr>
                <w:sz w:val="20"/>
                <w:szCs w:val="20"/>
                <w:color w:val="auto"/>
              </w:rPr>
            </w:pPr>
            <w:r>
              <w:rPr>
                <w:rFonts w:ascii="Arial" w:cs="Arial" w:eastAsia="Arial" w:hAnsi="Arial"/>
                <w:sz w:val="14"/>
                <w:szCs w:val="14"/>
                <w:color w:val="auto"/>
              </w:rPr>
              <w:t>Equity compensation plans not approved by security holders</w:t>
            </w:r>
          </w:p>
        </w:tc>
        <w:tc>
          <w:tcPr>
            <w:tcW w:w="208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N/A</w:t>
            </w:r>
          </w:p>
        </w:tc>
        <w:tc>
          <w:tcPr>
            <w:tcW w:w="174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N/A</w:t>
            </w: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208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b w:val="1"/>
                <w:bCs w:val="1"/>
                <w:color w:val="auto"/>
              </w:rPr>
              <w:t>30,062,025</w:t>
            </w:r>
          </w:p>
        </w:tc>
        <w:tc>
          <w:tcPr>
            <w:tcW w:w="174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b w:val="1"/>
                <w:bCs w:val="1"/>
                <w:color w:val="auto"/>
              </w:rPr>
              <w:t>59.83</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6,450.544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and the Schlumberger Discounted Stock Purchase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6. Appointment of Independent Registered Public Accounting Firm</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PricewaterhouseCoopers LLP have been selected by the Board of Directors as independent registered public accountants to audit the accounts of the Company for the year 2005. A majority of the votes cast is required for such approval. A representative of PricewaterhouseCoopers LLP will attend the 2005 Annual General Meeting and will have the opportunity to make a statement and respond to questions.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2004 and 2003 annual financial statements and reviews of quarterly financial statements and other audit services and (ii) the other services described below that were billed in 2004 and 2003.</w:t>
      </w:r>
    </w:p>
    <w:p>
      <w:pPr>
        <w:spacing w:after="0" w:line="122" w:lineRule="exact"/>
        <w:rPr>
          <w:sz w:val="20"/>
          <w:szCs w:val="20"/>
          <w:color w:val="auto"/>
        </w:rPr>
      </w:pPr>
    </w:p>
    <w:p>
      <w:pPr>
        <w:jc w:val="center"/>
        <w:ind w:left="100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10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60325</wp:posOffset>
            </wp:positionV>
            <wp:extent cx="883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00" w:lineRule="exact"/>
        <w:rPr>
          <w:sz w:val="20"/>
          <w:szCs w:val="20"/>
          <w:color w:val="auto"/>
        </w:rPr>
      </w:pPr>
    </w:p>
    <w:p>
      <w:pPr>
        <w:jc w:val="both"/>
        <w:ind w:left="10120"/>
        <w:spacing w:after="0"/>
        <w:tabs>
          <w:tab w:leader="none" w:pos="1112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68580</wp:posOffset>
            </wp:positionV>
            <wp:extent cx="231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7011670</wp:posOffset>
            </wp:positionH>
            <wp:positionV relativeFrom="paragraph">
              <wp:posOffset>68580</wp:posOffset>
            </wp:positionV>
            <wp:extent cx="240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197"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auto"/>
        </w:rPr>
        <w:t>(in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Audit Fees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Audit-Related Fees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Tax Fees (3)</w:t>
      </w:r>
    </w:p>
    <w:p>
      <w:pPr>
        <w:spacing w:after="0"/>
        <w:rPr>
          <w:sz w:val="20"/>
          <w:szCs w:val="20"/>
          <w:color w:val="auto"/>
        </w:rPr>
      </w:pPr>
      <w:r>
        <w:rPr>
          <w:rFonts w:ascii="Arial" w:cs="Arial" w:eastAsia="Arial" w:hAnsi="Arial"/>
          <w:sz w:val="14"/>
          <w:szCs w:val="14"/>
          <w:color w:val="auto"/>
        </w:rPr>
        <w:t>All Other Fees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4" w:name="page35"/>
    <w:bookmarkEnd w:id="3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2004,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Proposals for 2006 Annual General Meeting</w:t>
      </w:r>
    </w:p>
    <w:p>
      <w:pPr>
        <w:spacing w:after="0" w:line="83"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2006 Annual General Meeting of Stockholders, written proposals must be received by the Secretary of the Company, 153 East 53rd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15, 2005.</w:t>
      </w:r>
    </w:p>
    <w:p>
      <w:pPr>
        <w:spacing w:after="0" w:line="1" w:lineRule="exact"/>
        <w:rPr>
          <w:sz w:val="20"/>
          <w:szCs w:val="20"/>
          <w:color w:val="auto"/>
        </w:rPr>
      </w:pPr>
    </w:p>
    <w:p>
      <w:pPr>
        <w:ind w:right="200" w:firstLine="228"/>
        <w:spacing w:after="0" w:line="350" w:lineRule="auto"/>
        <w:rPr>
          <w:sz w:val="20"/>
          <w:szCs w:val="20"/>
          <w:color w:val="auto"/>
        </w:rPr>
      </w:pPr>
      <w:r>
        <w:rPr>
          <w:rFonts w:ascii="Arial" w:cs="Arial" w:eastAsia="Arial" w:hAnsi="Arial"/>
          <w:sz w:val="15"/>
          <w:szCs w:val="15"/>
          <w:color w:val="auto"/>
        </w:rPr>
        <w:t>Pursuant to the rules under the Securities Exchange Act of 1934, the Company may use discretionary authority to vote with respect to stockholder proposals presented in person at the 2006 Annual General Meeting if the stockholder making the proposal has not given notice to the Company by January 29,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20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March</w:t>
        <w:tab/>
        <w:t>,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Articles of Incorporation of the Corporation with Limited Liability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ARTICLES OF INCORPORATION OF THE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CORPORATION WITH LIMITED LIABILITY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N.V.</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AND DOMICILE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The Company is incorporated in the Netherlands Antilles and has its corporate seat in Curaçao.</w:t>
      </w:r>
    </w:p>
    <w:p>
      <w:pPr>
        <w:spacing w:after="0" w:line="77" w:lineRule="exact"/>
        <w:rPr>
          <w:sz w:val="20"/>
          <w:szCs w:val="20"/>
          <w:color w:val="auto"/>
        </w:rPr>
      </w:pPr>
    </w:p>
    <w:p>
      <w:pPr>
        <w:ind w:left="460" w:right="320" w:hanging="445"/>
        <w:spacing w:after="0" w:line="256" w:lineRule="auto"/>
        <w:tabs>
          <w:tab w:leader="none" w:pos="440" w:val="left"/>
        </w:tabs>
        <w:rPr>
          <w:sz w:val="20"/>
          <w:szCs w:val="20"/>
          <w:color w:val="auto"/>
        </w:rPr>
      </w:pPr>
      <w:r>
        <w:rPr>
          <w:rFonts w:ascii="Arial" w:cs="Arial" w:eastAsia="Arial" w:hAnsi="Arial"/>
          <w:sz w:val="18"/>
          <w:szCs w:val="18"/>
          <w:color w:val="auto"/>
        </w:rPr>
        <w:t>1.4.</w:t>
        <w:tab/>
        <w:t>The Board of Directors has the authority to move the corporate seat of the Company to, or to convert the Company into a legal entity under the laws of, another jurisdiction, as, when, and in the manner permitted by the laws of the Netherlands Antilles. In particular, the Company may change its place of domicile in accordance with the Netherlands Antilles Ordinance on Transfer of Domicile to Third Countries pursuant to a resolution of the Board of Directors.</w:t>
      </w:r>
    </w:p>
    <w:p>
      <w:pPr>
        <w:spacing w:after="0" w:line="12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OBJECTS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The objects of the Company are:</w:t>
      </w:r>
    </w:p>
    <w:p>
      <w:pPr>
        <w:spacing w:after="0" w:line="15" w:lineRule="exact"/>
        <w:rPr>
          <w:sz w:val="20"/>
          <w:szCs w:val="20"/>
          <w:color w:val="auto"/>
        </w:rPr>
      </w:pPr>
    </w:p>
    <w:p>
      <w:pPr>
        <w:ind w:left="900" w:right="200" w:hanging="446"/>
        <w:spacing w:after="0" w:line="25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ind w:left="900" w:right="280" w:hanging="446"/>
        <w:spacing w:after="0" w:line="25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1" w:lineRule="exact"/>
        <w:rPr>
          <w:rFonts w:ascii="Arial" w:cs="Arial" w:eastAsia="Arial" w:hAnsi="Arial"/>
          <w:sz w:val="18"/>
          <w:szCs w:val="18"/>
          <w:color w:val="auto"/>
        </w:rPr>
      </w:pPr>
    </w:p>
    <w:p>
      <w:pPr>
        <w:ind w:left="900" w:right="80" w:hanging="446"/>
        <w:spacing w:after="0" w:line="25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9" w:lineRule="exact"/>
        <w:rPr>
          <w:rFonts w:ascii="Arial" w:cs="Arial" w:eastAsia="Arial" w:hAnsi="Arial"/>
          <w:sz w:val="18"/>
          <w:szCs w:val="18"/>
          <w:color w:val="auto"/>
        </w:rPr>
      </w:pPr>
    </w:p>
    <w:p>
      <w:pPr>
        <w:ind w:left="900" w:right="140" w:hanging="446"/>
        <w:spacing w:after="0" w:line="28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 w:lineRule="exact"/>
        <w:rPr>
          <w:rFonts w:ascii="Arial" w:cs="Arial" w:eastAsia="Arial" w:hAnsi="Arial"/>
          <w:sz w:val="16"/>
          <w:szCs w:val="16"/>
          <w:color w:val="auto"/>
        </w:rPr>
      </w:pPr>
    </w:p>
    <w:p>
      <w:pPr>
        <w:ind w:left="900" w:right="160" w:hanging="446"/>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6" w:name="page37"/>
    <w:bookmarkEnd w:id="36"/>
    <w:p>
      <w:pPr>
        <w:ind w:left="900" w:right="560" w:hanging="446"/>
        <w:spacing w:after="0" w:line="25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establish, participate in and manage limited liability and other corporations, organizations, companies, undertakings, entities, trusts, other arrangements or persons of every kind or nature whatsoever, and to engage in industry and trade;</w:t>
      </w:r>
    </w:p>
    <w:p>
      <w:pPr>
        <w:jc w:val="both"/>
        <w:ind w:left="900" w:right="180" w:hanging="446"/>
        <w:spacing w:after="0" w:line="25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70"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2.2.</w:t>
        <w:tab/>
        <w:t>The Company is entitled to do all that in any way may be useful or necessary for the attainment of the above objects or that is connected therewith in the widest sense.</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DURATION</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 AND SHARES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151" w:lineRule="exact"/>
        <w:rPr>
          <w:sz w:val="20"/>
          <w:szCs w:val="20"/>
          <w:color w:val="auto"/>
        </w:rPr>
      </w:pPr>
    </w:p>
    <w:p>
      <w:pPr>
        <w:ind w:left="460" w:right="60" w:hanging="445"/>
        <w:spacing w:after="0" w:line="28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nominal capital of the Company (nominal capital being defined in the law and in these Articles of Incorporation as the sum of the par values of all of the issued and outstanding shares in the Company’s capital stock at any time) shall not exceed SEVENTEEN MILLION UNITED STATES DOLLARS (US$17,000,000.-), divided into (a) one billion five hundred million (1,500,000,000)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24"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4.2.</w:t>
        <w:tab/>
        <w:t>The actual issue of shares shall be effected by way of written instrument signed by the Company and the acquirer or as otherwise permitted by applicable law. The Company cannot issue shares to itself.</w:t>
      </w:r>
    </w:p>
    <w:p>
      <w:pPr>
        <w:spacing w:after="0" w:line="37" w:lineRule="exact"/>
        <w:rPr>
          <w:sz w:val="20"/>
          <w:szCs w:val="20"/>
          <w:color w:val="auto"/>
        </w:rPr>
      </w:pPr>
    </w:p>
    <w:p>
      <w:pPr>
        <w:ind w:left="460" w:right="140" w:hanging="445"/>
        <w:spacing w:after="0" w:line="306"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2" w:lineRule="exact"/>
        <w:rPr>
          <w:sz w:val="20"/>
          <w:szCs w:val="20"/>
          <w:color w:val="auto"/>
        </w:rPr>
      </w:pPr>
    </w:p>
    <w:p>
      <w:pPr>
        <w:ind w:left="460" w:right="80" w:hanging="445"/>
        <w:spacing w:after="0" w:line="254" w:lineRule="auto"/>
        <w:tabs>
          <w:tab w:leader="none" w:pos="440" w:val="left"/>
        </w:tabs>
        <w:rPr>
          <w:sz w:val="20"/>
          <w:szCs w:val="20"/>
          <w:color w:val="auto"/>
        </w:rPr>
      </w:pPr>
      <w:r>
        <w:rPr>
          <w:rFonts w:ascii="Arial" w:cs="Arial" w:eastAsia="Arial" w:hAnsi="Arial"/>
          <w:sz w:val="18"/>
          <w:szCs w:val="18"/>
          <w:color w:val="auto"/>
        </w:rPr>
        <w:t>4.4.</w:t>
        <w:tab/>
        <w:t>With respect to the issuance of shares, options, warrants or rights to purchase or subscribe for shares, the Board of Directors may enter into and conclude agreements without necessity of any action by the general meeting of stockholders:</w:t>
      </w: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the Netherlands Antilles.</w:t>
      </w:r>
    </w:p>
    <w:p>
      <w:pPr>
        <w:spacing w:after="0" w:line="70"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taking into account the terms and conditions for the issuance thereof and the relative voting, dividend and liquidation rights of such preferred shares.</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Prior to the issuance of any series of preferred shares, the Board of Directors shall specify:</w:t>
      </w:r>
    </w:p>
    <w:p>
      <w:pPr>
        <w:spacing w:after="0" w:line="15"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9"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 w:lineRule="exact"/>
        <w:rPr>
          <w:rFonts w:ascii="Arial" w:cs="Arial" w:eastAsia="Arial" w:hAnsi="Arial"/>
          <w:sz w:val="18"/>
          <w:szCs w:val="18"/>
          <w:color w:val="auto"/>
        </w:rPr>
      </w:pPr>
    </w:p>
    <w:p>
      <w:pPr>
        <w:ind w:left="1460" w:right="380" w:hanging="547"/>
        <w:spacing w:after="0" w:line="250"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1" w:lineRule="exact"/>
        <w:rPr>
          <w:rFonts w:ascii="Arial" w:cs="Arial" w:eastAsia="Arial" w:hAnsi="Arial"/>
          <w:sz w:val="18"/>
          <w:szCs w:val="18"/>
          <w:color w:val="auto"/>
        </w:rPr>
      </w:pPr>
    </w:p>
    <w:p>
      <w:pPr>
        <w:ind w:left="1460" w:right="140" w:hanging="547"/>
        <w:spacing w:after="0" w:line="300" w:lineRule="auto"/>
        <w:tabs>
          <w:tab w:leader="none" w:pos="14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1" w:lineRule="exact"/>
        <w:rPr>
          <w:rFonts w:ascii="Arial" w:cs="Arial" w:eastAsia="Arial" w:hAnsi="Arial"/>
          <w:sz w:val="15"/>
          <w:szCs w:val="15"/>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9" w:lineRule="exact"/>
        <w:rPr>
          <w:rFonts w:ascii="Arial" w:cs="Arial" w:eastAsia="Arial" w:hAnsi="Arial"/>
          <w:sz w:val="18"/>
          <w:szCs w:val="18"/>
          <w:color w:val="auto"/>
        </w:rPr>
      </w:pPr>
    </w:p>
    <w:p>
      <w:pPr>
        <w:ind w:left="900" w:right="540" w:hanging="446"/>
        <w:spacing w:after="0" w:line="28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1" w:lineRule="exact"/>
        <w:rPr>
          <w:rFonts w:ascii="Arial" w:cs="Arial" w:eastAsia="Arial" w:hAnsi="Arial"/>
          <w:sz w:val="16"/>
          <w:szCs w:val="16"/>
          <w:color w:val="auto"/>
        </w:rPr>
      </w:pPr>
    </w:p>
    <w:p>
      <w:pPr>
        <w:ind w:left="900" w:right="60" w:hanging="446"/>
        <w:spacing w:after="0" w:line="28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terms and conditions of such series which are not inconsistent with these Articles of Incorporation or Netherlands Antilles law.</w:t>
      </w:r>
    </w:p>
    <w:p>
      <w:pPr>
        <w:spacing w:after="0" w:line="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Certificates for preferred shares may be issued bearing a legend describing the terms and conditions thereof specified by the Board of Directors.</w:t>
      </w:r>
    </w:p>
    <w:p>
      <w:pPr>
        <w:spacing w:after="0" w:line="77" w:lineRule="exact"/>
        <w:rPr>
          <w:sz w:val="20"/>
          <w:szCs w:val="20"/>
          <w:color w:val="auto"/>
        </w:rPr>
      </w:pPr>
    </w:p>
    <w:p>
      <w:pPr>
        <w:ind w:left="460" w:right="60" w:hanging="445"/>
        <w:spacing w:after="0" w:line="298" w:lineRule="auto"/>
        <w:tabs>
          <w:tab w:leader="none" w:pos="4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18" w:lineRule="exact"/>
        <w:rPr>
          <w:sz w:val="20"/>
          <w:szCs w:val="20"/>
          <w:color w:val="auto"/>
        </w:rPr>
      </w:pPr>
    </w:p>
    <w:p>
      <w:pPr>
        <w:jc w:val="both"/>
        <w:ind w:left="460" w:right="80" w:hanging="445"/>
        <w:spacing w:after="0" w:line="253" w:lineRule="auto"/>
        <w:tabs>
          <w:tab w:leader="none" w:pos="440" w:val="left"/>
        </w:tabs>
        <w:rPr>
          <w:sz w:val="20"/>
          <w:szCs w:val="20"/>
          <w:color w:val="auto"/>
        </w:rPr>
      </w:pPr>
      <w:r>
        <w:rPr>
          <w:rFonts w:ascii="Arial" w:cs="Arial" w:eastAsia="Arial" w:hAnsi="Arial"/>
          <w:sz w:val="18"/>
          <w:szCs w:val="18"/>
          <w:color w:val="auto"/>
        </w:rPr>
        <w:t>4.9.</w:t>
        <w:tab/>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64"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64" w:lineRule="exact"/>
        <w:rPr>
          <w:sz w:val="20"/>
          <w:szCs w:val="20"/>
          <w:color w:val="auto"/>
        </w:rPr>
      </w:pPr>
    </w:p>
    <w:p>
      <w:pPr>
        <w:ind w:left="460" w:right="20" w:hanging="445"/>
        <w:spacing w:after="0" w:line="294"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Netherlands Antilles Civil Code (“NACC”)) of the Company at the time of acquisition at least equals the nominal capital and (y) as a result of the acquisition, the equity will not fall below the nominal capital. The authority to make any such acquisition is vested in the Board of Directors.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Any shares so acquired may be canceled by the Board of Directors without the prior approval of the general meeting of stockholders.</w:t>
      </w:r>
    </w:p>
    <w:p>
      <w:pPr>
        <w:spacing w:after="0" w:line="7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6.3.</w:t>
        <w:tab/>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46" w:lineRule="exact"/>
        <w:rPr>
          <w:sz w:val="20"/>
          <w:szCs w:val="20"/>
          <w:color w:val="auto"/>
        </w:rPr>
      </w:pPr>
    </w:p>
    <w:p>
      <w:pPr>
        <w:ind w:left="460" w:right="60" w:hanging="445"/>
        <w:spacing w:after="0" w:line="268" w:lineRule="auto"/>
        <w:tabs>
          <w:tab w:leader="none" w:pos="440" w:val="left"/>
        </w:tabs>
        <w:rPr>
          <w:sz w:val="20"/>
          <w:szCs w:val="20"/>
          <w:color w:val="auto"/>
        </w:rPr>
      </w:pPr>
      <w:r>
        <w:rPr>
          <w:rFonts w:ascii="Arial" w:cs="Arial" w:eastAsia="Arial" w:hAnsi="Arial"/>
          <w:sz w:val="18"/>
          <w:szCs w:val="18"/>
          <w:color w:val="auto"/>
        </w:rPr>
        <w:t>6.4.</w:t>
        <w:tab/>
        <w:t>Shares of its stock owned by the Company may be sold at such times, under such conditions and for such consideration as may be determined from time to time by the Board of Directors.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The shares shall be in registered form.</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Share certificates for common shares may be issued at the request of the stockholder.</w:t>
      </w:r>
    </w:p>
    <w:p>
      <w:pPr>
        <w:spacing w:after="0" w:line="77"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NACC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24"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7.4.</w:t>
        <w:tab/>
        <w:t>Every transfer and devolution of a share shall be entered in the Register and every such entry shall be signed or otherwise acknowledged by or on behalf of the Board of Directors or by the Registrar.</w:t>
      </w:r>
    </w:p>
    <w:p>
      <w:pPr>
        <w:spacing w:after="0" w:line="37"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7.5.</w:t>
        <w:tab/>
        <w:t>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9" w:name="page40"/>
    <w:bookmarkEnd w:id="39"/>
    <w:p>
      <w:pPr>
        <w:ind w:left="460"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acknowledgement can only occur on a deed of transfer that has a formally fixed date as required by applicable law (Article 2:110.2 NACC). The transfer of shares listed on a stock exchange may also be effected in accordance with the trading system applied by such exchange.</w:t>
      </w:r>
    </w:p>
    <w:p>
      <w:pPr>
        <w:spacing w:after="0" w:line="4"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77" w:lineRule="exact"/>
        <w:rPr>
          <w:sz w:val="20"/>
          <w:szCs w:val="20"/>
          <w:color w:val="auto"/>
        </w:rPr>
      </w:pPr>
    </w:p>
    <w:p>
      <w:pPr>
        <w:ind w:left="460" w:right="40" w:hanging="445"/>
        <w:spacing w:after="0" w:line="289" w:lineRule="auto"/>
        <w:tabs>
          <w:tab w:leader="none" w:pos="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51" w:lineRule="exact"/>
        <w:rPr>
          <w:sz w:val="20"/>
          <w:szCs w:val="20"/>
          <w:color w:val="auto"/>
        </w:rPr>
      </w:pPr>
    </w:p>
    <w:p>
      <w:pPr>
        <w:ind w:left="460" w:right="440" w:hanging="445"/>
        <w:spacing w:after="0" w:line="325" w:lineRule="auto"/>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1" w:lineRule="exact"/>
        <w:rPr>
          <w:sz w:val="20"/>
          <w:szCs w:val="20"/>
          <w:color w:val="auto"/>
        </w:rPr>
      </w:pPr>
    </w:p>
    <w:p>
      <w:pPr>
        <w:ind w:left="460" w:right="340" w:hanging="445"/>
        <w:spacing w:after="0" w:line="256" w:lineRule="auto"/>
        <w:tabs>
          <w:tab w:leader="none" w:pos="440" w:val="left"/>
        </w:tabs>
        <w:rPr>
          <w:sz w:val="20"/>
          <w:szCs w:val="20"/>
          <w:color w:val="auto"/>
        </w:rPr>
      </w:pPr>
      <w:r>
        <w:rPr>
          <w:rFonts w:ascii="Arial" w:cs="Arial" w:eastAsia="Arial" w:hAnsi="Arial"/>
          <w:sz w:val="18"/>
          <w:szCs w:val="18"/>
          <w:color w:val="auto"/>
        </w:rPr>
        <w:t>8.2.</w:t>
        <w:tab/>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49" w:lineRule="exact"/>
        <w:rPr>
          <w:sz w:val="20"/>
          <w:szCs w:val="20"/>
          <w:color w:val="auto"/>
        </w:rPr>
      </w:pPr>
    </w:p>
    <w:p>
      <w:pPr>
        <w:ind w:left="460" w:right="40" w:hanging="445"/>
        <w:spacing w:after="0" w:line="287" w:lineRule="auto"/>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directors shall be elected at a general meeting of stockholders by a majority of votes cast, in person or by proxy, by the stockholders entitled to vote. The Board of Directors shall be authorized to appoint directors to fill any vacancies on the Board of Directors and to appoint up to two (2) additional directors, any such appointment to be effective until the next general meeting of stockholders. The number of persons constituting the whole Board of Directors shall be not less than five (5) nor more than twenty-four (24), as fixed and elected by the general meeting of stockholders, unless the Board of Directors appoints any additional director or directors in between two general meetings of stockholders. The number of persons constituting the whole Board of Directors shall, until changed at any succeeding general meeting of stockholders, be the number so fixed and elected (as may be increased by those appointed).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28"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8.4.</w:t>
        <w:tab/>
        <w:t>Each director shall be elected to serve until the next annual general meeting of stockholders and until his successor shall be elected and qualify, or until his death, resignation or removal.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0" w:name="page41"/>
    <w:bookmarkEnd w:id="4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8.5.</w:t>
      </w:r>
      <w:r>
        <w:rPr>
          <w:sz w:val="20"/>
          <w:szCs w:val="20"/>
          <w:color w:val="auto"/>
        </w:rPr>
        <w:tab/>
      </w:r>
      <w:r>
        <w:rPr>
          <w:rFonts w:ascii="Arial" w:cs="Arial" w:eastAsia="Arial" w:hAnsi="Arial"/>
          <w:sz w:val="15"/>
          <w:szCs w:val="15"/>
          <w:color w:val="auto"/>
        </w:rPr>
        <w:t>Directors need not be Netherlands Antilles citizens or residents of the Netherlands Antilles or stockholders of the Company.</w:t>
      </w:r>
    </w:p>
    <w:p>
      <w:pPr>
        <w:spacing w:after="0" w:line="77" w:lineRule="exact"/>
        <w:rPr>
          <w:sz w:val="20"/>
          <w:szCs w:val="20"/>
          <w:color w:val="auto"/>
        </w:rPr>
      </w:pPr>
    </w:p>
    <w:p>
      <w:pPr>
        <w:ind w:left="460" w:right="60" w:hanging="445"/>
        <w:spacing w:after="0" w:line="287" w:lineRule="auto"/>
        <w:tabs>
          <w:tab w:leader="none" w:pos="4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28" w:lineRule="exact"/>
        <w:rPr>
          <w:sz w:val="20"/>
          <w:szCs w:val="20"/>
          <w:color w:val="auto"/>
        </w:rPr>
      </w:pPr>
    </w:p>
    <w:p>
      <w:pPr>
        <w:ind w:left="460" w:right="80" w:hanging="445"/>
        <w:spacing w:after="0" w:line="325" w:lineRule="auto"/>
        <w:tabs>
          <w:tab w:leader="none" w:pos="4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the Netherlands Antilles.</w:t>
      </w:r>
    </w:p>
    <w:p>
      <w:pPr>
        <w:spacing w:after="0" w:line="77"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46" w:lineRule="exact"/>
        <w:rPr>
          <w:sz w:val="20"/>
          <w:szCs w:val="20"/>
          <w:color w:val="auto"/>
        </w:rPr>
      </w:pPr>
    </w:p>
    <w:p>
      <w:pPr>
        <w:ind w:left="460" w:right="60" w:hanging="458"/>
        <w:spacing w:after="0" w:line="306" w:lineRule="auto"/>
        <w:rPr>
          <w:sz w:val="20"/>
          <w:szCs w:val="20"/>
          <w:color w:val="auto"/>
        </w:rPr>
      </w:pPr>
      <w:r>
        <w:rPr>
          <w:rFonts w:ascii="Arial" w:cs="Arial" w:eastAsia="Arial" w:hAnsi="Arial"/>
          <w:sz w:val="16"/>
          <w:szCs w:val="16"/>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2" w:lineRule="exact"/>
        <w:rPr>
          <w:sz w:val="20"/>
          <w:szCs w:val="20"/>
          <w:color w:val="auto"/>
        </w:rPr>
      </w:pPr>
    </w:p>
    <w:p>
      <w:pPr>
        <w:ind w:left="460" w:hanging="458"/>
        <w:spacing w:after="0" w:line="256"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164" w:lineRule="exact"/>
        <w:rPr>
          <w:sz w:val="20"/>
          <w:szCs w:val="20"/>
          <w:color w:val="auto"/>
        </w:rPr>
      </w:pPr>
    </w:p>
    <w:p>
      <w:pPr>
        <w:ind w:left="460" w:right="20" w:hanging="445"/>
        <w:spacing w:after="0" w:line="289" w:lineRule="auto"/>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1" w:name="page42"/>
    <w:bookmarkEnd w:id="4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9.2.</w:t>
      </w:r>
      <w:r>
        <w:rPr>
          <w:sz w:val="20"/>
          <w:szCs w:val="20"/>
          <w:color w:val="auto"/>
        </w:rPr>
        <w:tab/>
      </w:r>
      <w:r>
        <w:rPr>
          <w:rFonts w:ascii="Arial" w:cs="Arial" w:eastAsia="Arial" w:hAnsi="Arial"/>
          <w:sz w:val="15"/>
          <w:szCs w:val="15"/>
          <w:color w:val="auto"/>
        </w:rPr>
        <w:t>The Company shall be represented at law and otherwise, and shall be bound with respect to third parties, by the Board of Directors and by:</w:t>
      </w:r>
    </w:p>
    <w:p>
      <w:pPr>
        <w:spacing w:after="0" w:line="15" w:lineRule="exact"/>
        <w:rPr>
          <w:sz w:val="20"/>
          <w:szCs w:val="20"/>
          <w:color w:val="auto"/>
        </w:rPr>
      </w:pPr>
    </w:p>
    <w:p>
      <w:pPr>
        <w:ind w:left="900" w:right="220" w:hanging="446"/>
        <w:spacing w:after="0" w:line="25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9"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President;</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Controller;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9" w:lineRule="exact"/>
        <w:rPr>
          <w:rFonts w:ascii="Arial" w:cs="Arial" w:eastAsia="Arial" w:hAnsi="Arial"/>
          <w:sz w:val="18"/>
          <w:szCs w:val="18"/>
          <w:color w:val="auto"/>
        </w:rPr>
      </w:pPr>
    </w:p>
    <w:p>
      <w:pPr>
        <w:ind w:left="1580" w:hanging="667"/>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9.3.</w:t>
        <w:tab/>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37"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9.4.</w:t>
        <w:tab/>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37" w:lineRule="exact"/>
        <w:rPr>
          <w:sz w:val="20"/>
          <w:szCs w:val="20"/>
          <w:color w:val="auto"/>
        </w:rPr>
      </w:pPr>
    </w:p>
    <w:p>
      <w:pPr>
        <w:ind w:left="460" w:right="300" w:hanging="445"/>
        <w:spacing w:after="0" w:line="325" w:lineRule="auto"/>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1"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9.6.</w:t>
        <w:tab/>
        <w:t>The Board of Directors may grant general or specific authority to additional agents or to committees, giving such agents or committees such general or limited powers or duties as it may deem appropriate.</w:t>
      </w:r>
    </w:p>
    <w:p>
      <w:pPr>
        <w:spacing w:after="0" w:line="37" w:lineRule="exact"/>
        <w:rPr>
          <w:sz w:val="20"/>
          <w:szCs w:val="20"/>
          <w:color w:val="auto"/>
        </w:rPr>
      </w:pPr>
    </w:p>
    <w:p>
      <w:pPr>
        <w:ind w:left="460" w:right="20" w:hanging="445"/>
        <w:spacing w:after="0" w:line="268" w:lineRule="auto"/>
        <w:tabs>
          <w:tab w:leader="none" w:pos="440" w:val="left"/>
        </w:tabs>
        <w:rPr>
          <w:sz w:val="20"/>
          <w:szCs w:val="20"/>
          <w:color w:val="auto"/>
        </w:rPr>
      </w:pPr>
      <w:r>
        <w:rPr>
          <w:rFonts w:ascii="Arial" w:cs="Arial" w:eastAsia="Arial" w:hAnsi="Arial"/>
          <w:sz w:val="18"/>
          <w:szCs w:val="18"/>
          <w:color w:val="auto"/>
        </w:rPr>
        <w:t>9.7.</w:t>
        <w:tab/>
        <w:t>In the event of a conflict of interest between the Company and one or more directors, the Company shall be represented as determined from time to time by the Board of Directors.</w:t>
      </w:r>
    </w:p>
    <w:p>
      <w:pPr>
        <w:spacing w:after="0" w:line="37" w:lineRule="exact"/>
        <w:rPr>
          <w:sz w:val="20"/>
          <w:szCs w:val="20"/>
          <w:color w:val="auto"/>
        </w:rPr>
      </w:pPr>
    </w:p>
    <w:p>
      <w:pPr>
        <w:ind w:left="460" w:hanging="445"/>
        <w:spacing w:after="0" w:line="256" w:lineRule="auto"/>
        <w:tabs>
          <w:tab w:leader="none" w:pos="440" w:val="left"/>
        </w:tabs>
        <w:rPr>
          <w:sz w:val="20"/>
          <w:szCs w:val="20"/>
          <w:color w:val="auto"/>
        </w:rPr>
      </w:pPr>
      <w:r>
        <w:rPr>
          <w:rFonts w:ascii="Arial" w:cs="Arial" w:eastAsia="Arial" w:hAnsi="Arial"/>
          <w:sz w:val="18"/>
          <w:szCs w:val="18"/>
          <w:color w:val="auto"/>
        </w:rPr>
        <w:t>9.8.</w:t>
        <w:tab/>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49"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9.9.</w:t>
        <w:tab/>
        <w:t>The directors, the holders of the above-mentioned offices and other persons authorized by the Board of Directors to represent the Company shall receive such compensation as the Board of Directors may from time to time prescribe.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64" w:lineRule="exact"/>
        <w:rPr>
          <w:sz w:val="20"/>
          <w:szCs w:val="20"/>
          <w:color w:val="auto"/>
        </w:rPr>
      </w:pPr>
    </w:p>
    <w:p>
      <w:pPr>
        <w:ind w:left="460" w:right="20" w:hanging="458"/>
        <w:spacing w:after="0" w:line="291"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2" w:name="page43"/>
    <w:bookmarkEnd w:id="42"/>
    <w:p>
      <w:pPr>
        <w:ind w:left="4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45" w:lineRule="exact"/>
        <w:rPr>
          <w:sz w:val="20"/>
          <w:szCs w:val="20"/>
          <w:color w:val="auto"/>
        </w:rPr>
      </w:pPr>
    </w:p>
    <w:p>
      <w:pPr>
        <w:ind w:left="440" w:right="40" w:hanging="458"/>
        <w:spacing w:after="0" w:line="286" w:lineRule="auto"/>
        <w:rPr>
          <w:sz w:val="20"/>
          <w:szCs w:val="20"/>
          <w:color w:val="auto"/>
        </w:rPr>
      </w:pPr>
      <w:r>
        <w:rPr>
          <w:rFonts w:ascii="Arial" w:cs="Arial" w:eastAsia="Arial" w:hAnsi="Arial"/>
          <w:sz w:val="16"/>
          <w:szCs w:val="16"/>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26" w:lineRule="exact"/>
        <w:rPr>
          <w:sz w:val="20"/>
          <w:szCs w:val="20"/>
          <w:color w:val="auto"/>
        </w:rPr>
      </w:pPr>
    </w:p>
    <w:p>
      <w:pPr>
        <w:jc w:val="both"/>
        <w:ind w:left="440" w:right="280" w:hanging="458"/>
        <w:spacing w:after="0" w:line="306" w:lineRule="auto"/>
        <w:rPr>
          <w:sz w:val="20"/>
          <w:szCs w:val="20"/>
          <w:color w:val="auto"/>
        </w:rPr>
      </w:pPr>
      <w:r>
        <w:rPr>
          <w:rFonts w:ascii="Arial" w:cs="Arial" w:eastAsia="Arial" w:hAnsi="Arial"/>
          <w:sz w:val="16"/>
          <w:szCs w:val="16"/>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12" w:lineRule="exact"/>
        <w:rPr>
          <w:sz w:val="20"/>
          <w:szCs w:val="20"/>
          <w:color w:val="auto"/>
        </w:rPr>
      </w:pPr>
    </w:p>
    <w:p>
      <w:pPr>
        <w:ind w:left="440" w:right="220" w:hanging="458"/>
        <w:spacing w:after="0" w:line="259" w:lineRule="auto"/>
        <w:rPr>
          <w:sz w:val="20"/>
          <w:szCs w:val="20"/>
          <w:color w:val="auto"/>
        </w:rPr>
      </w:pPr>
      <w:r>
        <w:rPr>
          <w:rFonts w:ascii="Arial" w:cs="Arial" w:eastAsia="Arial" w:hAnsi="Arial"/>
          <w:sz w:val="18"/>
          <w:szCs w:val="18"/>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46" w:lineRule="exact"/>
        <w:rPr>
          <w:sz w:val="20"/>
          <w:szCs w:val="20"/>
          <w:color w:val="auto"/>
        </w:rPr>
      </w:pPr>
    </w:p>
    <w:p>
      <w:pPr>
        <w:ind w:left="440" w:hanging="458"/>
        <w:spacing w:after="0" w:line="298" w:lineRule="auto"/>
        <w:rPr>
          <w:sz w:val="20"/>
          <w:szCs w:val="20"/>
          <w:color w:val="auto"/>
        </w:rPr>
      </w:pPr>
      <w:r>
        <w:rPr>
          <w:rFonts w:ascii="Arial" w:cs="Arial" w:eastAsia="Arial" w:hAnsi="Arial"/>
          <w:sz w:val="16"/>
          <w:szCs w:val="16"/>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former officers or other employees and agents may be so paid upon such terms and conditions, if any, as the Company deems appropriate.</w:t>
      </w:r>
    </w:p>
    <w:p>
      <w:pPr>
        <w:spacing w:after="0" w:line="113" w:lineRule="exact"/>
        <w:rPr>
          <w:sz w:val="20"/>
          <w:szCs w:val="20"/>
          <w:color w:val="auto"/>
        </w:rPr>
      </w:pPr>
    </w:p>
    <w:p>
      <w:pPr>
        <w:ind w:left="460" w:right="60" w:hanging="458"/>
        <w:spacing w:after="0" w:line="294" w:lineRule="auto"/>
        <w:rPr>
          <w:sz w:val="20"/>
          <w:szCs w:val="20"/>
          <w:color w:val="auto"/>
        </w:rPr>
      </w:pPr>
      <w:r>
        <w:rPr>
          <w:rFonts w:ascii="Arial" w:cs="Arial" w:eastAsia="Arial" w:hAnsi="Arial"/>
          <w:sz w:val="16"/>
          <w:szCs w:val="16"/>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1" w:lineRule="exact"/>
        <w:rPr>
          <w:sz w:val="20"/>
          <w:szCs w:val="20"/>
          <w:color w:val="auto"/>
        </w:rPr>
      </w:pPr>
    </w:p>
    <w:p>
      <w:pPr>
        <w:jc w:val="both"/>
        <w:ind w:left="460" w:right="260" w:hanging="458"/>
        <w:spacing w:after="0" w:line="323" w:lineRule="auto"/>
        <w:rPr>
          <w:sz w:val="20"/>
          <w:szCs w:val="20"/>
          <w:color w:val="auto"/>
        </w:rPr>
      </w:pPr>
      <w:r>
        <w:rPr>
          <w:rFonts w:ascii="Arial" w:cs="Arial" w:eastAsia="Arial" w:hAnsi="Arial"/>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3" w:lineRule="exact"/>
        <w:rPr>
          <w:sz w:val="20"/>
          <w:szCs w:val="20"/>
          <w:color w:val="auto"/>
        </w:rPr>
      </w:pPr>
    </w:p>
    <w:p>
      <w:pPr>
        <w:ind w:left="460" w:hanging="458"/>
        <w:spacing w:after="0" w:line="291" w:lineRule="auto"/>
        <w:rPr>
          <w:sz w:val="20"/>
          <w:szCs w:val="20"/>
          <w:color w:val="auto"/>
        </w:rPr>
      </w:pPr>
      <w:r>
        <w:rPr>
          <w:rFonts w:ascii="Arial" w:cs="Arial" w:eastAsia="Arial" w:hAnsi="Arial"/>
          <w:sz w:val="16"/>
          <w:szCs w:val="16"/>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26" w:lineRule="exact"/>
        <w:rPr>
          <w:sz w:val="20"/>
          <w:szCs w:val="20"/>
          <w:color w:val="auto"/>
        </w:rPr>
      </w:pPr>
    </w:p>
    <w:p>
      <w:pPr>
        <w:ind w:left="460" w:hanging="458"/>
        <w:spacing w:after="0" w:line="254"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11.1.  All general meetings of stockholders shall be held in Curaçao or anywhere else in the Netherlands Antilles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11.2.  The annual general meeting of stockholders shall be held within the maximum period allowed under applicable law, on a date determined from year to year</w:t>
      </w:r>
    </w:p>
    <w:p>
      <w:pPr>
        <w:spacing w:after="0" w:line="38" w:lineRule="exact"/>
        <w:rPr>
          <w:sz w:val="20"/>
          <w:szCs w:val="20"/>
          <w:color w:val="auto"/>
        </w:rPr>
      </w:pPr>
    </w:p>
    <w:p>
      <w:pPr>
        <w:ind w:left="460" w:right="180"/>
        <w:spacing w:after="0" w:line="255" w:lineRule="auto"/>
        <w:rPr>
          <w:sz w:val="20"/>
          <w:szCs w:val="20"/>
          <w:color w:val="auto"/>
        </w:rPr>
      </w:pPr>
      <w:r>
        <w:rPr>
          <w:rFonts w:ascii="Arial" w:cs="Arial" w:eastAsia="Arial" w:hAnsi="Arial"/>
          <w:sz w:val="18"/>
          <w:szCs w:val="18"/>
          <w:color w:val="auto"/>
        </w:rPr>
        <w:t>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50" w:lineRule="exact"/>
        <w:rPr>
          <w:sz w:val="20"/>
          <w:szCs w:val="20"/>
          <w:color w:val="auto"/>
        </w:rPr>
      </w:pPr>
    </w:p>
    <w:p>
      <w:pPr>
        <w:ind w:left="460" w:right="40" w:hanging="458"/>
        <w:spacing w:after="0" w:line="298" w:lineRule="auto"/>
        <w:rPr>
          <w:sz w:val="20"/>
          <w:szCs w:val="20"/>
          <w:color w:val="auto"/>
        </w:rPr>
      </w:pPr>
      <w:r>
        <w:rPr>
          <w:rFonts w:ascii="Arial" w:cs="Arial" w:eastAsia="Arial" w:hAnsi="Arial"/>
          <w:sz w:val="16"/>
          <w:szCs w:val="16"/>
          <w:color w:val="auto"/>
        </w:rPr>
        <w:t>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NACC, or by one or more holders of shares representing in the aggregate a majority of the shares then outstanding, or as provided for in Article 8.6.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4" w:name="page45"/>
    <w:bookmarkEnd w:id="44"/>
    <w:p>
      <w:pPr>
        <w:ind w:left="460" w:right="120" w:hanging="45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11.4. Notice of meetings of stockholders, whether annual general meetings or special general meetings, stating the time and place of the meeting, shall be given to the stockholders not less than twenty (20) or more than sixty (60) days prior to the date of the meeting in question by notice to each stockholder at the address thereof appearing in the Register.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11.5.  All notices of general meetings of stockholders shall state the matters to be considered at the meeting.</w:t>
      </w:r>
    </w:p>
    <w:p>
      <w:pPr>
        <w:spacing w:after="0" w:line="77" w:lineRule="exact"/>
        <w:rPr>
          <w:sz w:val="20"/>
          <w:szCs w:val="20"/>
          <w:color w:val="auto"/>
        </w:rPr>
      </w:pPr>
    </w:p>
    <w:p>
      <w:pPr>
        <w:ind w:left="460" w:right="280" w:hanging="458"/>
        <w:spacing w:after="0" w:line="259" w:lineRule="auto"/>
        <w:rPr>
          <w:sz w:val="20"/>
          <w:szCs w:val="20"/>
          <w:color w:val="auto"/>
        </w:rPr>
      </w:pPr>
      <w:r>
        <w:rPr>
          <w:rFonts w:ascii="Arial" w:cs="Arial" w:eastAsia="Arial" w:hAnsi="Arial"/>
          <w:sz w:val="18"/>
          <w:szCs w:val="18"/>
          <w:color w:val="auto"/>
        </w:rPr>
        <w:t>11.6. 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46" w:lineRule="exact"/>
        <w:rPr>
          <w:sz w:val="20"/>
          <w:szCs w:val="20"/>
          <w:color w:val="auto"/>
        </w:rPr>
      </w:pPr>
    </w:p>
    <w:p>
      <w:pPr>
        <w:ind w:left="460" w:right="60" w:hanging="458"/>
        <w:spacing w:after="0" w:line="318" w:lineRule="auto"/>
        <w:rPr>
          <w:sz w:val="20"/>
          <w:szCs w:val="20"/>
          <w:color w:val="auto"/>
        </w:rPr>
      </w:pPr>
      <w:r>
        <w:rPr>
          <w:rFonts w:ascii="Arial" w:cs="Arial" w:eastAsia="Arial" w:hAnsi="Arial"/>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5" w:lineRule="exact"/>
        <w:rPr>
          <w:sz w:val="20"/>
          <w:szCs w:val="20"/>
          <w:color w:val="auto"/>
        </w:rPr>
      </w:pPr>
    </w:p>
    <w:p>
      <w:pPr>
        <w:ind w:left="460" w:right="800" w:hanging="458"/>
        <w:spacing w:after="0" w:line="332" w:lineRule="auto"/>
        <w:rPr>
          <w:sz w:val="20"/>
          <w:szCs w:val="20"/>
          <w:color w:val="auto"/>
        </w:rPr>
      </w:pPr>
      <w:r>
        <w:rPr>
          <w:rFonts w:ascii="Arial" w:cs="Arial" w:eastAsia="Arial" w:hAnsi="Arial"/>
          <w:sz w:val="16"/>
          <w:szCs w:val="16"/>
          <w:color w:val="auto"/>
        </w:rPr>
        <w:t>11.8. 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164" w:lineRule="exact"/>
        <w:rPr>
          <w:sz w:val="20"/>
          <w:szCs w:val="20"/>
          <w:color w:val="auto"/>
        </w:rPr>
      </w:pPr>
    </w:p>
    <w:p>
      <w:pPr>
        <w:jc w:val="both"/>
        <w:ind w:left="460" w:hanging="458"/>
        <w:spacing w:after="0" w:line="259" w:lineRule="auto"/>
        <w:rPr>
          <w:sz w:val="20"/>
          <w:szCs w:val="20"/>
          <w:color w:val="auto"/>
        </w:rPr>
      </w:pPr>
      <w:r>
        <w:rPr>
          <w:rFonts w:ascii="Arial" w:cs="Arial" w:eastAsia="Arial" w:hAnsi="Arial"/>
          <w:sz w:val="18"/>
          <w:szCs w:val="18"/>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12.2. Each holder of common shares and each holder of preferred shares shall be entitled to one vote for each common share or preferred share held.</w:t>
      </w:r>
    </w:p>
    <w:p>
      <w:pPr>
        <w:spacing w:after="0" w:line="100" w:lineRule="exact"/>
        <w:rPr>
          <w:sz w:val="20"/>
          <w:szCs w:val="20"/>
          <w:color w:val="auto"/>
        </w:rPr>
      </w:pPr>
    </w:p>
    <w:p>
      <w:pPr>
        <w:ind w:left="460" w:right="20" w:hanging="458"/>
        <w:spacing w:after="0" w:line="285"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64" w:lineRule="exact"/>
        <w:rPr>
          <w:sz w:val="20"/>
          <w:szCs w:val="20"/>
          <w:color w:val="auto"/>
        </w:rPr>
      </w:pPr>
    </w:p>
    <w:p>
      <w:pPr>
        <w:ind w:left="460" w:right="220" w:hanging="458"/>
        <w:spacing w:after="0" w:line="325" w:lineRule="auto"/>
        <w:rPr>
          <w:sz w:val="20"/>
          <w:szCs w:val="20"/>
          <w:color w:val="auto"/>
        </w:rPr>
      </w:pPr>
      <w:r>
        <w:rPr>
          <w:rFonts w:ascii="Arial" w:cs="Arial" w:eastAsia="Arial" w:hAnsi="Arial"/>
          <w:sz w:val="16"/>
          <w:szCs w:val="16"/>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 w:lineRule="exact"/>
        <w:rPr>
          <w:sz w:val="20"/>
          <w:szCs w:val="20"/>
          <w:color w:val="auto"/>
        </w:rPr>
      </w:pPr>
    </w:p>
    <w:p>
      <w:pPr>
        <w:ind w:left="460" w:right="80" w:hanging="458"/>
        <w:spacing w:after="0" w:line="298" w:lineRule="auto"/>
        <w:rPr>
          <w:sz w:val="20"/>
          <w:szCs w:val="20"/>
          <w:color w:val="auto"/>
        </w:rPr>
      </w:pPr>
      <w:r>
        <w:rPr>
          <w:rFonts w:ascii="Arial" w:cs="Arial" w:eastAsia="Arial" w:hAnsi="Arial"/>
          <w:sz w:val="16"/>
          <w:szCs w:val="16"/>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8"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77" w:lineRule="exact"/>
        <w:rPr>
          <w:sz w:val="20"/>
          <w:szCs w:val="20"/>
          <w:color w:val="auto"/>
        </w:rPr>
      </w:pPr>
    </w:p>
    <w:p>
      <w:pPr>
        <w:ind w:left="460" w:right="80" w:hanging="458"/>
        <w:spacing w:after="0" w:line="325" w:lineRule="auto"/>
        <w:rPr>
          <w:sz w:val="20"/>
          <w:szCs w:val="20"/>
          <w:color w:val="auto"/>
        </w:rPr>
      </w:pPr>
      <w:r>
        <w:rPr>
          <w:rFonts w:ascii="Arial" w:cs="Arial" w:eastAsia="Arial" w:hAnsi="Arial"/>
          <w:sz w:val="16"/>
          <w:szCs w:val="16"/>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1"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13.6. Shares belonging to a legal entity in which the Company (as a result of voting rights or otherwise) directly or indirectly has or may exercise control shall entitle the holder thereof to vote.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 MEETINGS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51" w:lineRule="exact"/>
        <w:rPr>
          <w:sz w:val="20"/>
          <w:szCs w:val="20"/>
          <w:color w:val="auto"/>
        </w:rPr>
      </w:pPr>
    </w:p>
    <w:p>
      <w:pPr>
        <w:ind w:left="460" w:right="160" w:hanging="458"/>
        <w:spacing w:after="0" w:line="268"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37" w:lineRule="exact"/>
        <w:rPr>
          <w:sz w:val="20"/>
          <w:szCs w:val="20"/>
          <w:color w:val="auto"/>
        </w:rPr>
      </w:pPr>
    </w:p>
    <w:p>
      <w:pPr>
        <w:ind w:left="460" w:right="20" w:hanging="458"/>
        <w:spacing w:after="0" w:line="268"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37" w:lineRule="exact"/>
        <w:rPr>
          <w:sz w:val="20"/>
          <w:szCs w:val="20"/>
          <w:color w:val="auto"/>
        </w:rPr>
      </w:pPr>
    </w:p>
    <w:p>
      <w:pPr>
        <w:ind w:left="460" w:right="440" w:hanging="458"/>
        <w:spacing w:after="0" w:line="268"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14.4. The Series Meetings do not have to be held in the Netherlands Antilles but may be held in conjunction with any general meeting of stockholders.</w:t>
      </w:r>
    </w:p>
    <w:p>
      <w:pPr>
        <w:spacing w:after="0" w:line="100" w:lineRule="exact"/>
        <w:rPr>
          <w:sz w:val="20"/>
          <w:szCs w:val="20"/>
          <w:color w:val="auto"/>
        </w:rPr>
      </w:pPr>
    </w:p>
    <w:p>
      <w:pPr>
        <w:ind w:left="460" w:right="200" w:hanging="458"/>
        <w:spacing w:after="0" w:line="268" w:lineRule="auto"/>
        <w:rPr>
          <w:sz w:val="20"/>
          <w:szCs w:val="20"/>
          <w:color w:val="auto"/>
        </w:rPr>
      </w:pPr>
      <w:r>
        <w:rPr>
          <w:rFonts w:ascii="Arial" w:cs="Arial" w:eastAsia="Arial" w:hAnsi="Arial"/>
          <w:sz w:val="18"/>
          <w:szCs w:val="18"/>
          <w:color w:val="auto"/>
        </w:rPr>
        <w:t>14.5. To a Series Meeting all the provisions of these Articles of Incorporation and the laws of the Netherlands Antilles as to General Meetings of Stockholders shall, mutatis mutandis, apply, if not otherwise provided in this Article.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BALANCE SHEET AND PROFIT AND LOSS ACCOUNT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151" w:lineRule="exact"/>
        <w:rPr>
          <w:sz w:val="20"/>
          <w:szCs w:val="20"/>
          <w:color w:val="auto"/>
        </w:rPr>
      </w:pPr>
    </w:p>
    <w:p>
      <w:pPr>
        <w:ind w:left="460" w:hanging="458"/>
        <w:spacing w:after="0" w:line="298" w:lineRule="auto"/>
        <w:rPr>
          <w:sz w:val="20"/>
          <w:szCs w:val="20"/>
          <w:color w:val="auto"/>
        </w:rPr>
      </w:pPr>
      <w:r>
        <w:rPr>
          <w:rFonts w:ascii="Arial" w:cs="Arial" w:eastAsia="Arial" w:hAnsi="Arial"/>
          <w:sz w:val="16"/>
          <w:szCs w:val="16"/>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6" w:name="page47"/>
    <w:bookmarkEnd w:id="46"/>
    <w:p>
      <w:pPr>
        <w:ind w:left="460"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51" w:lineRule="exact"/>
        <w:rPr>
          <w:sz w:val="20"/>
          <w:szCs w:val="20"/>
          <w:color w:val="auto"/>
        </w:rPr>
      </w:pPr>
    </w:p>
    <w:p>
      <w:pPr>
        <w:ind w:left="460" w:right="100" w:hanging="458"/>
        <w:spacing w:after="0" w:line="268"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PROFITS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151" w:lineRule="exact"/>
        <w:rPr>
          <w:sz w:val="20"/>
          <w:szCs w:val="20"/>
          <w:color w:val="auto"/>
        </w:rPr>
      </w:pPr>
    </w:p>
    <w:p>
      <w:pPr>
        <w:ind w:left="460" w:right="60" w:hanging="458"/>
        <w:spacing w:after="0" w:line="256"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49" w:lineRule="exact"/>
        <w:rPr>
          <w:sz w:val="20"/>
          <w:szCs w:val="20"/>
          <w:color w:val="auto"/>
        </w:rPr>
      </w:pPr>
    </w:p>
    <w:p>
      <w:pPr>
        <w:ind w:left="460" w:right="480" w:hanging="458"/>
        <w:spacing w:after="0" w:line="347" w:lineRule="auto"/>
        <w:rPr>
          <w:sz w:val="20"/>
          <w:szCs w:val="20"/>
          <w:color w:val="auto"/>
        </w:rPr>
      </w:pPr>
      <w:r>
        <w:rPr>
          <w:rFonts w:ascii="Arial" w:cs="Arial" w:eastAsia="Arial" w:hAnsi="Arial"/>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1" w:lineRule="exact"/>
        <w:rPr>
          <w:sz w:val="20"/>
          <w:szCs w:val="20"/>
          <w:color w:val="auto"/>
        </w:rPr>
      </w:pPr>
    </w:p>
    <w:p>
      <w:pPr>
        <w:ind w:left="460" w:right="400" w:hanging="458"/>
        <w:spacing w:after="0" w:line="268"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37" w:lineRule="exact"/>
        <w:rPr>
          <w:sz w:val="20"/>
          <w:szCs w:val="20"/>
          <w:color w:val="auto"/>
        </w:rPr>
      </w:pPr>
    </w:p>
    <w:p>
      <w:pPr>
        <w:ind w:left="460" w:right="700" w:hanging="458"/>
        <w:spacing w:after="0" w:line="268"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37" w:lineRule="exact"/>
        <w:rPr>
          <w:sz w:val="20"/>
          <w:szCs w:val="20"/>
          <w:color w:val="auto"/>
        </w:rPr>
      </w:pPr>
    </w:p>
    <w:p>
      <w:pPr>
        <w:ind w:left="460" w:right="80" w:hanging="458"/>
        <w:spacing w:after="0" w:line="268"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DISPOSITION OF THE COMPANY’S ASSETS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BUY OUT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20</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Any one or more persons holding shares representing at least ninety percent (90%) of the equity of the Company can require the remaining stockholders to transfer their shares as provided by and in accordance with the provisions of Article 2:250 NACC.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21</w:t>
      </w:r>
    </w:p>
    <w:p>
      <w:pPr>
        <w:spacing w:after="0" w:line="151" w:lineRule="exact"/>
        <w:rPr>
          <w:sz w:val="20"/>
          <w:szCs w:val="20"/>
          <w:color w:val="auto"/>
        </w:rPr>
      </w:pPr>
    </w:p>
    <w:p>
      <w:pPr>
        <w:ind w:left="460" w:hanging="458"/>
        <w:spacing w:after="0" w:line="255" w:lineRule="auto"/>
        <w:rPr>
          <w:sz w:val="20"/>
          <w:szCs w:val="20"/>
          <w:color w:val="auto"/>
        </w:rPr>
      </w:pPr>
      <w:r>
        <w:rPr>
          <w:rFonts w:ascii="Arial" w:cs="Arial" w:eastAsia="Arial" w:hAnsi="Arial"/>
          <w:sz w:val="18"/>
          <w:szCs w:val="18"/>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48" w:lineRule="exact"/>
        <w:rPr>
          <w:sz w:val="20"/>
          <w:szCs w:val="20"/>
          <w:color w:val="auto"/>
        </w:rPr>
      </w:pPr>
    </w:p>
    <w:p>
      <w:pPr>
        <w:jc w:val="both"/>
        <w:ind w:left="460" w:right="100" w:hanging="458"/>
        <w:spacing w:after="0" w:line="256"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OFFICIAL LANGUAGE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2005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January 20, 2005)</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Stock Options under this Plan during his or her tenure on the Committee.</w:t>
      </w:r>
    </w:p>
    <w:p>
      <w:pPr>
        <w:spacing w:after="0" w:line="2"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Committee Powers. </w:t>
      </w:r>
      <w:r>
        <w:rPr>
          <w:rFonts w:ascii="Arial" w:cs="Arial" w:eastAsia="Arial" w:hAnsi="Arial"/>
          <w:sz w:val="16"/>
          <w:szCs w:val="16"/>
          <w:color w:val="auto"/>
        </w:rPr>
        <w:t>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Any decision reduced to writing and signed by a majority of the members shall be fully effective as if adopted by a majority at a meeting duly held. The Committee may from time to time grant incentive stock options and non-qualified stock options (“Stock Options”) under the Plan to the persons described in Section 3 hereof.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750,000 shares during the life of the Plan, whether each Stock Option shall be designated an “incentive stock option” or a “non-qualified stock option,” and all other terms of each Stock Option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6" w:lineRule="exact"/>
        <w:rPr>
          <w:rFonts w:ascii="Arial" w:cs="Arial" w:eastAsia="Arial" w:hAnsi="Arial"/>
          <w:sz w:val="16"/>
          <w:szCs w:val="16"/>
          <w:color w:val="auto"/>
        </w:rPr>
      </w:pPr>
    </w:p>
    <w:p>
      <w:pPr>
        <w:ind w:right="200" w:firstLine="236"/>
        <w:spacing w:after="0" w:line="261" w:lineRule="auto"/>
        <w:tabs>
          <w:tab w:leader="none" w:pos="467"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Committee Liability. </w:t>
      </w:r>
      <w:r>
        <w:rPr>
          <w:rFonts w:ascii="Arial" w:cs="Arial" w:eastAsia="Arial" w:hAnsi="Arial"/>
          <w:sz w:val="18"/>
          <w:szCs w:val="18"/>
          <w:color w:val="auto"/>
        </w:rPr>
        <w:t>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Stock Options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Eligibility for Grants</w:t>
      </w:r>
      <w:r>
        <w:rPr>
          <w:rFonts w:ascii="Arial" w:cs="Arial" w:eastAsia="Arial" w:hAnsi="Arial"/>
          <w:sz w:val="16"/>
          <w:szCs w:val="16"/>
          <w:color w:val="auto"/>
        </w:rPr>
        <w:t>. The persons eligible for participation in the Plan as recipients of Stock Options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4" w:lineRule="exact"/>
        <w:rPr>
          <w:rFonts w:ascii="Arial" w:cs="Arial" w:eastAsia="Arial" w:hAnsi="Arial"/>
          <w:sz w:val="16"/>
          <w:szCs w:val="16"/>
          <w:color w:val="auto"/>
        </w:rPr>
      </w:pPr>
    </w:p>
    <w:p>
      <w:pPr>
        <w:ind w:left="480" w:hanging="244"/>
        <w:spacing w:after="0"/>
        <w:tabs>
          <w:tab w:leader="none" w:pos="480"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Discretion in and Documentation of Grants.  </w:t>
      </w:r>
      <w:r>
        <w:rPr>
          <w:rFonts w:ascii="Arial" w:cs="Arial" w:eastAsia="Arial" w:hAnsi="Arial"/>
          <w:sz w:val="16"/>
          <w:szCs w:val="16"/>
          <w:color w:val="auto"/>
        </w:rPr>
        <w:t>The Committee in granting Stock Options hereunder shall have discretion to determine the terms and</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conditions upon which such Stock Options may be exercisable, subject to and as further described in Section 5 of this Plan. Each grant of a Stock Option shall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9" w:name="page50"/>
    <w:bookmarkEnd w:id="49"/>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Stock Option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Employment for Plan Purposes</w:t>
      </w:r>
      <w:r>
        <w:rPr>
          <w:rFonts w:ascii="Arial" w:cs="Arial" w:eastAsia="Arial" w:hAnsi="Arial"/>
          <w:sz w:val="16"/>
          <w:szCs w:val="16"/>
          <w:color w:val="auto"/>
        </w:rPr>
        <w:t>.  For purposes of this Plan, employment with the Company shall include employment with any subsidiary of the</w:t>
      </w:r>
    </w:p>
    <w:p>
      <w:pPr>
        <w:spacing w:after="0" w:line="32" w:lineRule="exact"/>
        <w:rPr>
          <w:rFonts w:ascii="Arial" w:cs="Arial" w:eastAsia="Arial" w:hAnsi="Arial"/>
          <w:sz w:val="16"/>
          <w:szCs w:val="16"/>
          <w:color w:val="auto"/>
        </w:rPr>
      </w:pPr>
    </w:p>
    <w:p>
      <w:pPr>
        <w:ind w:right="280"/>
        <w:spacing w:after="0" w:line="250" w:lineRule="auto"/>
        <w:rPr>
          <w:rFonts w:ascii="Arial" w:cs="Arial" w:eastAsia="Arial" w:hAnsi="Arial"/>
          <w:sz w:val="16"/>
          <w:szCs w:val="16"/>
          <w:color w:val="auto"/>
        </w:rPr>
      </w:pPr>
      <w:r>
        <w:rPr>
          <w:rFonts w:ascii="Arial" w:cs="Arial" w:eastAsia="Arial" w:hAnsi="Arial"/>
          <w:sz w:val="18"/>
          <w:szCs w:val="18"/>
          <w:color w:val="auto"/>
        </w:rPr>
        <w:t>Company, and Stock Options granted under this Plan shall not be affected by an employee’s transfer of employment from the Company to a subsidiary, from a subsidiary to the Company or between subsidiaries.</w:t>
      </w:r>
    </w:p>
    <w:p>
      <w:pPr>
        <w:ind w:right="40" w:firstLine="236"/>
        <w:spacing w:after="0" w:line="254" w:lineRule="auto"/>
        <w:tabs>
          <w:tab w:leader="none" w:pos="477"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Payment of Purchase Price</w:t>
      </w:r>
      <w:r>
        <w:rPr>
          <w:rFonts w:ascii="Arial" w:cs="Arial" w:eastAsia="Arial" w:hAnsi="Arial"/>
          <w:sz w:val="18"/>
          <w:szCs w:val="18"/>
          <w:color w:val="auto"/>
        </w:rPr>
        <w:t>. The purchase price of the shares as to which a Stock Option is exercised shall be paid in full at the time of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2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3"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Stock Options under this Plan that are forfeited or terminated or expire unexercised shall not count against the aggregate plan maximum and shall again immediately become available for option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The Committee may from time to time adopt and observe such rules and procedures concerning the counting of shares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20" w:firstLine="236"/>
        <w:spacing w:after="0" w:line="287" w:lineRule="auto"/>
        <w:tabs>
          <w:tab w:leader="none" w:pos="467"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 Committee may designate a Stock Option as an “incentive stock option” for purposes of Section 422 of the Code,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that is not so designated shall not be an incentive stock option. Stock Options granted under this Plan which are designated as “incentive stock options” may be granted with respect to any number of Shares, up to the full number of shares subject to the Plan, provided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0" w:name="page51"/>
    <w:bookmarkEnd w:id="50"/>
    <w:p>
      <w:pPr>
        <w:ind w:left="-60" w:firstLine="236"/>
        <w:spacing w:after="0" w:line="301" w:lineRule="auto"/>
        <w:tabs>
          <w:tab w:leader="none" w:pos="417"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Price; Fair Market Value</w:t>
      </w:r>
      <w:r>
        <w:rPr>
          <w:rFonts w:ascii="Arial" w:cs="Arial" w:eastAsia="Arial" w:hAnsi="Arial"/>
          <w:sz w:val="15"/>
          <w:szCs w:val="15"/>
          <w:color w:val="auto"/>
        </w:rPr>
        <w:t>. The purchase price of each Share subject to a Stock Option shall be determined by the Committee prior to granting a</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4" w:lineRule="exact"/>
        <w:rPr>
          <w:rFonts w:ascii="Arial" w:cs="Arial" w:eastAsia="Arial" w:hAnsi="Arial"/>
          <w:sz w:val="15"/>
          <w:szCs w:val="15"/>
          <w:color w:val="auto"/>
        </w:rPr>
      </w:pPr>
    </w:p>
    <w:p>
      <w:pPr>
        <w:ind w:left="-60" w:right="60" w:firstLine="236"/>
        <w:spacing w:after="0" w:line="250" w:lineRule="auto"/>
        <w:tabs>
          <w:tab w:leader="none" w:pos="407"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Permitted Restriction on Transfer of Option Shares. </w:t>
      </w:r>
      <w:r>
        <w:rPr>
          <w:rFonts w:ascii="Arial" w:cs="Arial" w:eastAsia="Arial" w:hAnsi="Arial"/>
          <w:sz w:val="18"/>
          <w:szCs w:val="18"/>
          <w:color w:val="auto"/>
        </w:rPr>
        <w:t>At the time of the grant of a Stock Option, the Committee may determine that the Shares covered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 shall be restricted as to transferability when and if such Shares are delivered upon exercise.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w:t>
      </w:r>
    </w:p>
    <w:p>
      <w:pPr>
        <w:spacing w:after="0" w:line="2" w:lineRule="exact"/>
        <w:rPr>
          <w:rFonts w:ascii="Arial" w:cs="Arial" w:eastAsia="Arial" w:hAnsi="Arial"/>
          <w:sz w:val="18"/>
          <w:szCs w:val="18"/>
          <w:color w:val="auto"/>
        </w:rPr>
      </w:pPr>
    </w:p>
    <w:p>
      <w:pPr>
        <w:ind w:left="420" w:hanging="244"/>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p>
    <w:p>
      <w:pPr>
        <w:spacing w:after="0" w:line="9" w:lineRule="exact"/>
        <w:rPr>
          <w:rFonts w:ascii="Arial" w:cs="Arial" w:eastAsia="Arial" w:hAnsi="Arial"/>
          <w:sz w:val="18"/>
          <w:szCs w:val="18"/>
          <w:color w:val="auto"/>
        </w:rPr>
      </w:pPr>
    </w:p>
    <w:p>
      <w:pPr>
        <w:ind w:left="180" w:right="300" w:firstLine="220"/>
        <w:spacing w:after="0" w:line="250" w:lineRule="auto"/>
        <w:tabs>
          <w:tab w:leader="none" w:pos="61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1400" w:hanging="547"/>
        <w:spacing w:after="0"/>
        <w:tabs>
          <w:tab w:leader="none" w:pos="1400" w:val="left"/>
        </w:tabs>
        <w:numPr>
          <w:ilvl w:val="4"/>
          <w:numId w:val="42"/>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w:t>
      </w:r>
    </w:p>
    <w:p>
      <w:pPr>
        <w:spacing w:after="0" w:line="9" w:lineRule="exact"/>
        <w:rPr>
          <w:rFonts w:ascii="Arial" w:cs="Arial" w:eastAsia="Arial" w:hAnsi="Arial"/>
          <w:sz w:val="18"/>
          <w:szCs w:val="18"/>
          <w:color w:val="auto"/>
        </w:rPr>
      </w:pPr>
    </w:p>
    <w:p>
      <w:pPr>
        <w:jc w:val="both"/>
        <w:ind w:left="1400" w:right="100" w:hanging="547"/>
        <w:spacing w:after="0" w:line="281" w:lineRule="auto"/>
        <w:tabs>
          <w:tab w:leader="none" w:pos="1400" w:val="left"/>
        </w:tabs>
        <w:numPr>
          <w:ilvl w:val="4"/>
          <w:numId w:val="42"/>
        </w:numPr>
        <w:rPr>
          <w:rFonts w:ascii="Arial" w:cs="Arial" w:eastAsia="Arial" w:hAnsi="Arial"/>
          <w:sz w:val="16"/>
          <w:szCs w:val="16"/>
          <w:color w:val="auto"/>
        </w:rPr>
      </w:pPr>
      <w:r>
        <w:rPr>
          <w:rFonts w:ascii="Arial" w:cs="Arial" w:eastAsia="Arial" w:hAnsi="Arial"/>
          <w:sz w:val="16"/>
          <w:szCs w:val="16"/>
          <w:color w:val="auto"/>
        </w:rPr>
        <w:t>No Stock Option shall vest or become exercisable with respect to any portion of the shares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2" w:lineRule="exact"/>
        <w:rPr>
          <w:rFonts w:ascii="Arial" w:cs="Arial" w:eastAsia="Arial" w:hAnsi="Arial"/>
          <w:sz w:val="16"/>
          <w:szCs w:val="16"/>
          <w:color w:val="auto"/>
        </w:rPr>
      </w:pPr>
    </w:p>
    <w:p>
      <w:pPr>
        <w:ind w:left="180" w:firstLine="220"/>
        <w:spacing w:after="0" w:line="250" w:lineRule="auto"/>
        <w:tabs>
          <w:tab w:leader="none" w:pos="662"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shall be cumulative so that when the right to purchase any Shares has accrued, such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thereof may be purchased at any time thereafter until the expiration or termination of the Stock Option.</w:t>
      </w:r>
    </w:p>
    <w:p>
      <w:pPr>
        <w:ind w:left="700" w:hanging="300"/>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00" w:right="200" w:firstLine="224"/>
        <w:spacing w:after="0" w:line="281" w:lineRule="auto"/>
        <w:tabs>
          <w:tab w:leader="none" w:pos="907" w:val="left"/>
        </w:tabs>
        <w:numPr>
          <w:ilvl w:val="3"/>
          <w:numId w:val="42"/>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only before its expiration and may be exercised within such three-month period only to the extent it was exercisable on the date of such termination.</w:t>
      </w:r>
    </w:p>
    <w:p>
      <w:pPr>
        <w:spacing w:after="0" w:line="2" w:lineRule="exact"/>
        <w:rPr>
          <w:rFonts w:ascii="Arial" w:cs="Arial" w:eastAsia="Arial" w:hAnsi="Arial"/>
          <w:sz w:val="16"/>
          <w:szCs w:val="16"/>
          <w:color w:val="auto"/>
        </w:rPr>
      </w:pPr>
    </w:p>
    <w:p>
      <w:pPr>
        <w:ind w:left="400" w:right="20" w:firstLine="224"/>
        <w:spacing w:after="0" w:line="300" w:lineRule="auto"/>
        <w:tabs>
          <w:tab w:leader="none" w:pos="897" w:val="left"/>
        </w:tabs>
        <w:numPr>
          <w:ilvl w:val="3"/>
          <w:numId w:val="42"/>
        </w:numPr>
        <w:rPr>
          <w:rFonts w:ascii="Arial" w:cs="Arial" w:eastAsia="Arial" w:hAnsi="Arial"/>
          <w:sz w:val="15"/>
          <w:szCs w:val="15"/>
          <w:color w:val="auto"/>
        </w:rPr>
      </w:pPr>
      <w:r>
        <w:rPr>
          <w:rFonts w:ascii="Arial" w:cs="Arial" w:eastAsia="Arial" w:hAnsi="Arial"/>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w:t>
      </w:r>
    </w:p>
    <w:p>
      <w:pPr>
        <w:spacing w:after="0" w:line="1" w:lineRule="exact"/>
        <w:rPr>
          <w:rFonts w:ascii="Arial" w:cs="Arial" w:eastAsia="Arial" w:hAnsi="Arial"/>
          <w:sz w:val="15"/>
          <w:szCs w:val="15"/>
          <w:color w:val="auto"/>
        </w:rPr>
      </w:pPr>
    </w:p>
    <w:p>
      <w:pPr>
        <w:ind w:left="740" w:hanging="336"/>
        <w:spacing w:after="0"/>
        <w:tabs>
          <w:tab w:leader="none" w:pos="7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months after the date of death (or, if earlier, the date of termination of employment).</w:t>
      </w:r>
    </w:p>
    <w:p>
      <w:pPr>
        <w:spacing w:after="0" w:line="9" w:lineRule="exact"/>
        <w:rPr>
          <w:rFonts w:ascii="Arial" w:cs="Arial" w:eastAsia="Arial" w:hAnsi="Arial"/>
          <w:sz w:val="18"/>
          <w:szCs w:val="18"/>
          <w:color w:val="auto"/>
        </w:rPr>
      </w:pPr>
    </w:p>
    <w:p>
      <w:pPr>
        <w:jc w:val="both"/>
        <w:ind w:left="400" w:right="60" w:firstLine="224"/>
        <w:spacing w:after="0" w:line="254" w:lineRule="auto"/>
        <w:tabs>
          <w:tab w:leader="none" w:pos="897" w:val="left"/>
        </w:tabs>
        <w:numPr>
          <w:ilvl w:val="3"/>
          <w:numId w:val="4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300" w:top="280" w:right="279" w:bottom="1440" w:gutter="0" w:footer="0" w:header="0"/>
        </w:sectPr>
      </w:pPr>
    </w:p>
    <w:bookmarkStart w:id="51" w:name="page52"/>
    <w:bookmarkEnd w:id="51"/>
    <w:p>
      <w:pPr>
        <w:ind w:left="460" w:right="20" w:firstLine="224"/>
        <w:spacing w:after="0" w:line="282" w:lineRule="auto"/>
        <w:tabs>
          <w:tab w:leader="none" w:pos="967" w:val="left"/>
        </w:tabs>
        <w:numPr>
          <w:ilvl w:val="2"/>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 w:lineRule="exact"/>
        <w:rPr>
          <w:rFonts w:ascii="Arial" w:cs="Arial" w:eastAsia="Arial" w:hAnsi="Arial"/>
          <w:sz w:val="16"/>
          <w:szCs w:val="16"/>
          <w:color w:val="auto"/>
        </w:rPr>
      </w:pPr>
    </w:p>
    <w:p>
      <w:pPr>
        <w:ind w:left="700" w:hanging="240"/>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Retirement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60" w:right="80" w:firstLine="224"/>
        <w:spacing w:after="0" w:line="281" w:lineRule="auto"/>
        <w:tabs>
          <w:tab w:leader="none" w:pos="967" w:val="left"/>
        </w:tabs>
        <w:numPr>
          <w:ilvl w:val="2"/>
          <w:numId w:val="4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left="460" w:right="20" w:firstLine="224"/>
        <w:spacing w:after="0" w:line="281" w:lineRule="auto"/>
        <w:tabs>
          <w:tab w:leader="none" w:pos="957" w:val="left"/>
        </w:tabs>
        <w:numPr>
          <w:ilvl w:val="2"/>
          <w:numId w:val="45"/>
        </w:numPr>
        <w:rPr>
          <w:rFonts w:ascii="Arial" w:cs="Arial" w:eastAsia="Arial" w:hAnsi="Arial"/>
          <w:sz w:val="16"/>
          <w:szCs w:val="16"/>
          <w:color w:val="auto"/>
        </w:rPr>
      </w:pPr>
      <w:r>
        <w:rPr>
          <w:rFonts w:ascii="Arial" w:cs="Arial" w:eastAsia="Arial" w:hAnsi="Arial"/>
          <w:sz w:val="16"/>
          <w:szCs w:val="16"/>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57" w:val="left"/>
        </w:tabs>
        <w:numPr>
          <w:ilvl w:val="2"/>
          <w:numId w:val="45"/>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300" w:hanging="292"/>
        <w:spacing w:after="0"/>
        <w:tabs>
          <w:tab w:leader="none" w:pos="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2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in the documentation of the grant for Stock Options other than “incentive stock options”) only by the recipient for his or her individual account, and no purported assignment or transfer of such Stock Options thereunder,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2" w:name="page53"/>
    <w:bookmarkEnd w:id="52"/>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26"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80" w:firstLine="236"/>
        <w:spacing w:after="0" w:line="250" w:lineRule="auto"/>
        <w:tabs>
          <w:tab w:leader="none" w:pos="46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firstLine="236"/>
        <w:spacing w:after="0" w:line="250" w:lineRule="auto"/>
        <w:tabs>
          <w:tab w:leader="none" w:pos="47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 w:lineRule="exact"/>
        <w:rPr>
          <w:rFonts w:ascii="Arial" w:cs="Arial" w:eastAsia="Arial" w:hAnsi="Arial"/>
          <w:sz w:val="18"/>
          <w:szCs w:val="18"/>
          <w:color w:val="auto"/>
        </w:rPr>
      </w:pPr>
    </w:p>
    <w:p>
      <w:pPr>
        <w:ind w:right="40" w:firstLine="236"/>
        <w:spacing w:after="0" w:line="300" w:lineRule="auto"/>
        <w:tabs>
          <w:tab w:leader="none" w:pos="467"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2" w:lineRule="exact"/>
        <w:rPr>
          <w:rFonts w:ascii="Arial" w:cs="Arial" w:eastAsia="Arial" w:hAnsi="Arial"/>
          <w:sz w:val="15"/>
          <w:szCs w:val="15"/>
          <w:color w:val="auto"/>
        </w:rPr>
      </w:pPr>
    </w:p>
    <w:p>
      <w:pPr>
        <w:ind w:left="240" w:right="60" w:firstLine="220"/>
        <w:spacing w:after="0" w:line="250" w:lineRule="auto"/>
        <w:tabs>
          <w:tab w:leader="none" w:pos="673"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ind w:left="240" w:right="120" w:firstLine="220"/>
        <w:spacing w:after="0" w:line="250" w:lineRule="auto"/>
        <w:tabs>
          <w:tab w:leader="none" w:pos="722"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ind w:right="20" w:firstLine="236"/>
        <w:spacing w:after="0" w:line="287" w:lineRule="auto"/>
        <w:tabs>
          <w:tab w:leader="none" w:pos="47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 w:lineRule="exact"/>
        <w:rPr>
          <w:sz w:val="20"/>
          <w:szCs w:val="20"/>
          <w:color w:val="auto"/>
        </w:rPr>
      </w:pPr>
    </w:p>
    <w:p>
      <w:pPr>
        <w:ind w:right="220" w:firstLine="236"/>
        <w:spacing w:after="0" w:line="261" w:lineRule="auto"/>
        <w:tabs>
          <w:tab w:leader="none" w:pos="467"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8 applies to any transaction or event and to determine any adjustment or other action that it deems appropriate under this Section 8.</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Plan Term</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Plan shall be effective January 20, 2005, subject to approval within twelve (12) months from the effective date by the holders of a majority of the votes cast at a meeting of Company stockholders. In the event the Plan is not so approved, the Plan shall automatically terminate and be of no further force or effect. No Stock Options shall be granted pursuant to this Plan after January 20, 2015.</w:t>
      </w:r>
    </w:p>
    <w:p>
      <w:pPr>
        <w:spacing w:after="0" w:line="1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jc w:val="both"/>
        <w:ind w:left="240" w:right="40" w:firstLine="220"/>
        <w:spacing w:after="0" w:line="250"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No amendment of the Plan shall alter or impair any of the rights or obligations of any person, without his or her consent, under any option or right theretofore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the Plan.</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Government Regulations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not exercise or convert any option granted hereunder, and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Stock Options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thereafter amended (the “Plan”), and having reserved the right under Section 21 thereof to amend the Plan, does hereby amend the Plan, effective January 20, 2005, as follows:</w:t>
      </w:r>
    </w:p>
    <w:p>
      <w:pPr>
        <w:ind w:left="240"/>
        <w:spacing w:after="0"/>
        <w:rPr>
          <w:sz w:val="20"/>
          <w:szCs w:val="20"/>
          <w:color w:val="auto"/>
        </w:rPr>
      </w:pPr>
      <w:r>
        <w:rPr>
          <w:rFonts w:ascii="Arial" w:cs="Arial" w:eastAsia="Arial" w:hAnsi="Arial"/>
          <w:sz w:val="18"/>
          <w:szCs w:val="18"/>
          <w:color w:val="auto"/>
        </w:rPr>
        <w:t>The second sentence of Section 3 of the Plan is hereby amended to read as follows:</w:t>
      </w:r>
    </w:p>
    <w:p>
      <w:pPr>
        <w:spacing w:after="0" w:line="9"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“Except as provided in Section 20 hereof, effective from and after January 20, 2005, the aggregate number of shares which may be issued under the Plan and authorized by this amendment shall not exceed 8,052,228, the sum of (i) the 2,052,228 shares of Common Stock available for issuance under this Plan on January 1, 2005 (prior to the issuance of any such shares attributable to the Purchase Period ending December 31, 2004) and (ii) the 6,000,000 shares of Common Stock authorized by this amendment.”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32"/>
          <w:szCs w:val="32"/>
          <w:b w:val="1"/>
          <w:bCs w:val="1"/>
          <w:color w:val="auto"/>
        </w:rPr>
        <w:t>P</w:t>
      </w:r>
    </w:p>
    <w:p>
      <w:pPr>
        <w:spacing w:after="0" w:line="33" w:lineRule="exact"/>
        <w:rPr>
          <w:sz w:val="20"/>
          <w:szCs w:val="20"/>
          <w:color w:val="auto"/>
        </w:rPr>
      </w:pPr>
    </w:p>
    <w:p>
      <w:pPr>
        <w:jc w:val="both"/>
        <w:ind w:left="20" w:firstLine="9"/>
        <w:spacing w:after="0" w:line="262" w:lineRule="auto"/>
        <w:rPr>
          <w:sz w:val="20"/>
          <w:szCs w:val="20"/>
          <w:color w:val="auto"/>
        </w:rPr>
      </w:pPr>
      <w:r>
        <w:rPr>
          <w:rFonts w:ascii="Arial" w:cs="Arial" w:eastAsia="Arial" w:hAnsi="Arial"/>
          <w:sz w:val="30"/>
          <w:szCs w:val="30"/>
          <w:b w:val="1"/>
          <w:bCs w:val="1"/>
          <w:color w:val="auto"/>
        </w:rPr>
        <w:t>R O X 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13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30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undersigned, having received the Notice and Proxy Statement of the Annual General Meeting of Stockholders and the 2004 Annual Report to Stockholders, hereby appoints Maike Bergervoet, Aede Gerbranda, Gerard C.A. Smeets and Willem van Bokhorst and each of them proxies, with power of substitution,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Curaçao Marriott Beach Resort, Piscadera Bay, Willemstad, Curaçao, Netherlands Antilles on April 13, 2005, and at any adjournment or adjournments thereof.</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344274"/>
        </w:rPr>
        <w:t>If no other indication is made, the proxies will vote FOR the election of the director nominees and FOR Proposals 2, 3, 4, 5 and 6.</w:t>
      </w:r>
    </w:p>
    <w:p>
      <w:pPr>
        <w:spacing w:after="0" w:line="451" w:lineRule="exact"/>
        <w:rPr>
          <w:sz w:val="20"/>
          <w:szCs w:val="20"/>
          <w:color w:val="auto"/>
        </w:rPr>
      </w:pPr>
    </w:p>
    <w:p>
      <w:pPr>
        <w:sectPr>
          <w:pgSz w:w="11900" w:h="16838" w:orient="portrait"/>
          <w:cols w:equalWidth="0" w:num="2">
            <w:col w:w="260" w:space="220"/>
            <w:col w:w="10940"/>
          </w:cols>
          <w:pgMar w:left="240" w:top="260" w:right="239" w:bottom="1440" w:gutter="0" w:footer="0" w:header="0"/>
          <w:type w:val="continuous"/>
        </w:sectPr>
      </w:pP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80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344274"/>
              </w:rPr>
              <w:t>SEE REVERSE</w:t>
            </w:r>
          </w:p>
        </w:tc>
        <w:tc>
          <w:tcPr>
            <w:tcW w:w="7800" w:type="dxa"/>
            <w:vAlign w:val="bottom"/>
            <w:tcBorders>
              <w:right w:val="single" w:sz="8" w:color="auto"/>
            </w:tcBorders>
            <w:vMerge w:val="restart"/>
          </w:tcPr>
          <w:p>
            <w:pPr>
              <w:ind w:left="2340"/>
              <w:spacing w:after="0"/>
              <w:rPr>
                <w:sz w:val="20"/>
                <w:szCs w:val="20"/>
                <w:color w:val="auto"/>
              </w:rPr>
            </w:pPr>
            <w:r>
              <w:rPr>
                <w:rFonts w:ascii="Arial" w:cs="Arial" w:eastAsia="Arial" w:hAnsi="Arial"/>
                <w:sz w:val="18"/>
                <w:szCs w:val="18"/>
                <w:b w:val="1"/>
                <w:bCs w:val="1"/>
                <w:color w:val="344274"/>
              </w:rPr>
              <w:t>Continued and to be signed on reverse side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344274"/>
                <w:w w:val="94"/>
              </w:rPr>
              <w:t>SEE REVERSE</w:t>
            </w:r>
          </w:p>
        </w:tc>
        <w:tc>
          <w:tcPr>
            <w:tcW w:w="0" w:type="dxa"/>
            <w:vAlign w:val="bottom"/>
          </w:tcPr>
          <w:p>
            <w:pPr>
              <w:spacing w:after="0"/>
              <w:rPr>
                <w:sz w:val="1"/>
                <w:szCs w:val="1"/>
                <w:color w:val="auto"/>
              </w:rPr>
            </w:pPr>
          </w:p>
        </w:tc>
      </w:tr>
      <w:tr>
        <w:trPr>
          <w:trHeight w:val="120"/>
        </w:trPr>
        <w:tc>
          <w:tcPr>
            <w:tcW w:w="180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8"/>
                <w:szCs w:val="18"/>
                <w:b w:val="1"/>
                <w:bCs w:val="1"/>
                <w:color w:val="344274"/>
              </w:rPr>
              <w:t>SIDE</w:t>
            </w:r>
          </w:p>
        </w:tc>
        <w:tc>
          <w:tcPr>
            <w:tcW w:w="780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344274"/>
                <w:w w:val="95"/>
              </w:rPr>
              <w:t>SIDE</w:t>
            </w:r>
          </w:p>
        </w:tc>
        <w:tc>
          <w:tcPr>
            <w:tcW w:w="0" w:type="dxa"/>
            <w:vAlign w:val="bottom"/>
          </w:tcPr>
          <w:p>
            <w:pPr>
              <w:spacing w:after="0"/>
              <w:rPr>
                <w:sz w:val="1"/>
                <w:szCs w:val="1"/>
                <w:color w:val="auto"/>
              </w:rPr>
            </w:pPr>
          </w:p>
        </w:tc>
      </w:tr>
      <w:tr>
        <w:trPr>
          <w:trHeight w:val="125"/>
        </w:trPr>
        <w:tc>
          <w:tcPr>
            <w:tcW w:w="18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7800" w:type="dxa"/>
            <w:vAlign w:val="bottom"/>
            <w:tcBorders>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 EQUISERVE TRUST COMPANY,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101600</wp:posOffset>
            </wp:positionV>
            <wp:extent cx="2169795"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6979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Your vote is important. Please vote immediately.</w:t>
            </w:r>
          </w:p>
        </w:tc>
        <w:tc>
          <w:tcPr>
            <w:tcW w:w="0" w:type="dxa"/>
            <w:vAlign w:val="bottom"/>
          </w:tcPr>
          <w:p>
            <w:pPr>
              <w:spacing w:after="0"/>
              <w:rPr>
                <w:sz w:val="1"/>
                <w:szCs w:val="1"/>
                <w:color w:val="auto"/>
              </w:rPr>
            </w:pPr>
          </w:p>
        </w:tc>
      </w:tr>
      <w:tr>
        <w:trPr>
          <w:trHeight w:val="70"/>
        </w:trPr>
        <w:tc>
          <w:tcPr>
            <w:tcW w:w="274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5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740" w:type="dxa"/>
            <w:vAlign w:val="bottom"/>
            <w:tcBorders>
              <w:lef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Vote-by-Internet</w:t>
            </w:r>
          </w:p>
        </w:tc>
        <w:tc>
          <w:tcPr>
            <w:tcW w:w="286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5"/>
              </w:rPr>
              <w:t>1. Log on to the Internet and go to</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344274"/>
              </w:rPr>
              <w:t>OR</w:t>
            </w: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 Call toll-free:</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w w:val="97"/>
              </w:rPr>
              <w:t>http://www.eproxyvote.com/slb</w:t>
            </w: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52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1-877-PRX-VOTE (1-877-779-8683)</w:t>
            </w:r>
          </w:p>
        </w:tc>
        <w:tc>
          <w:tcPr>
            <w:tcW w:w="0" w:type="dxa"/>
            <w:vAlign w:val="bottom"/>
          </w:tcPr>
          <w:p>
            <w:pPr>
              <w:spacing w:after="0"/>
              <w:rPr>
                <w:sz w:val="1"/>
                <w:szCs w:val="1"/>
                <w:color w:val="auto"/>
              </w:rPr>
            </w:pPr>
          </w:p>
        </w:tc>
      </w:tr>
      <w:tr>
        <w:trPr>
          <w:trHeight w:val="216"/>
        </w:trPr>
        <w:tc>
          <w:tcPr>
            <w:tcW w:w="2740" w:type="dxa"/>
            <w:vAlign w:val="bottom"/>
            <w:tcBorders>
              <w:lef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If outside the Continental U.S., call collect on a touch-</w:t>
            </w: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tone phone: 201-536-8073</w:t>
            </w:r>
          </w:p>
        </w:tc>
        <w:tc>
          <w:tcPr>
            <w:tcW w:w="0" w:type="dxa"/>
            <w:vAlign w:val="bottom"/>
          </w:tcPr>
          <w:p>
            <w:pPr>
              <w:spacing w:after="0"/>
              <w:rPr>
                <w:sz w:val="1"/>
                <w:szCs w:val="1"/>
                <w:color w:val="auto"/>
              </w:rPr>
            </w:pPr>
          </w:p>
        </w:tc>
      </w:tr>
      <w:tr>
        <w:trPr>
          <w:trHeight w:val="350"/>
        </w:trPr>
        <w:tc>
          <w:tcPr>
            <w:tcW w:w="2740" w:type="dxa"/>
            <w:vAlign w:val="bottom"/>
          </w:tcPr>
          <w:p>
            <w:pPr>
              <w:spacing w:after="0"/>
              <w:rPr>
                <w:sz w:val="24"/>
                <w:szCs w:val="24"/>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87"/>
              </w:rPr>
              <w:t>If you vote over the Internet or by telephone, please do not mail your card.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80" w:type="dxa"/>
            <w:vAlign w:val="bottom"/>
            <w:gridSpan w:val="3"/>
          </w:tcPr>
          <w:p>
            <w:pPr>
              <w:jc w:val="center"/>
              <w:ind w:right="2632"/>
              <w:spacing w:after="0"/>
              <w:rPr>
                <w:sz w:val="20"/>
                <w:szCs w:val="20"/>
                <w:color w:val="auto"/>
              </w:rPr>
            </w:pPr>
            <w:r>
              <w:rPr>
                <w:rFonts w:ascii="Arial" w:cs="Arial" w:eastAsia="Arial" w:hAnsi="Arial"/>
                <w:sz w:val="18"/>
                <w:szCs w:val="18"/>
                <w:b w:val="1"/>
                <w:bCs w:val="1"/>
                <w:color w:val="344274"/>
                <w:w w:val="86"/>
              </w:rPr>
              <w:t>Proxies voted by Telephone or Internet must be received by</w:t>
            </w: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8680" w:type="dxa"/>
            <w:vAlign w:val="bottom"/>
            <w:gridSpan w:val="3"/>
          </w:tcPr>
          <w:p>
            <w:pPr>
              <w:jc w:val="center"/>
              <w:ind w:right="2652"/>
              <w:spacing w:after="0"/>
              <w:rPr>
                <w:sz w:val="20"/>
                <w:szCs w:val="20"/>
                <w:color w:val="auto"/>
              </w:rPr>
            </w:pPr>
            <w:r>
              <w:rPr>
                <w:rFonts w:ascii="Arial" w:cs="Arial" w:eastAsia="Arial" w:hAnsi="Arial"/>
                <w:sz w:val="18"/>
                <w:szCs w:val="18"/>
                <w:b w:val="1"/>
                <w:bCs w:val="1"/>
                <w:color w:val="344274"/>
                <w:w w:val="91"/>
              </w:rPr>
              <w:t>11:59 P.M. EDT – April 12,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-1130300</wp:posOffset>
            </wp:positionV>
            <wp:extent cx="617220" cy="531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 cy="53149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-1087120</wp:posOffset>
            </wp:positionV>
            <wp:extent cx="557530" cy="43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530" cy="437515"/>
                    </a:xfrm>
                    <a:prstGeom prst="rect">
                      <a:avLst/>
                    </a:prstGeom>
                    <a:noFill/>
                  </pic:spPr>
                </pic:pic>
              </a:graphicData>
            </a:graphic>
          </wp:anchor>
        </w:drawing>
      </w:r>
    </w:p>
    <w:p>
      <w:pPr>
        <w:spacing w:after="0" w:line="268" w:lineRule="exact"/>
        <w:rPr>
          <w:sz w:val="20"/>
          <w:szCs w:val="20"/>
          <w:color w:val="auto"/>
        </w:rPr>
      </w:pPr>
    </w:p>
    <w:p>
      <w:pPr>
        <w:ind w:left="580" w:right="10140" w:hanging="572"/>
        <w:spacing w:after="0" w:line="381" w:lineRule="auto"/>
        <w:tabs>
          <w:tab w:leader="none" w:pos="580" w:val="left"/>
        </w:tabs>
        <w:numPr>
          <w:ilvl w:val="0"/>
          <w:numId w:val="51"/>
        </w:numPr>
        <w:rPr>
          <w:rFonts w:ascii="MS PGothic" w:cs="MS PGothic" w:eastAsia="MS PGothic" w:hAnsi="MS PGothic"/>
          <w:sz w:val="12"/>
          <w:szCs w:val="12"/>
          <w:color w:val="auto"/>
        </w:rPr>
      </w:pPr>
      <w:r>
        <w:rPr>
          <w:rFonts w:ascii="Arial" w:cs="Arial" w:eastAsia="Arial" w:hAnsi="Arial"/>
          <w:sz w:val="8"/>
          <w:szCs w:val="8"/>
          <w:color w:val="auto"/>
        </w:rPr>
        <w:t>votes as in this example</w:t>
      </w:r>
      <w:r>
        <w:rPr>
          <w:rFonts w:ascii="Arial" w:cs="Arial" w:eastAsia="Arial" w:hAnsi="Arial"/>
          <w:sz w:val="11"/>
          <w:szCs w:val="11"/>
          <w:color w:val="auto"/>
          <w:vertAlign w:val="superscript"/>
        </w:rPr>
        <w:t>Pleasemark</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you indicate otherwise, this proxy will be voted in accordance with the Board of Directors’ recommendations.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Directors recommend a vote FOR items 1, 2, 3, 4, 5, and 6.</w:t>
      </w:r>
    </w:p>
    <w:p>
      <w:pPr>
        <w:spacing w:after="0" w:line="124" w:lineRule="exact"/>
        <w:rPr>
          <w:sz w:val="20"/>
          <w:szCs w:val="20"/>
          <w:color w:val="auto"/>
        </w:rPr>
      </w:pPr>
    </w:p>
    <w:p>
      <w:pPr>
        <w:ind w:left="960" w:hanging="371"/>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Election of 12 Directors</w:t>
      </w:r>
    </w:p>
    <w:p>
      <w:pPr>
        <w:spacing w:after="0" w:line="15" w:lineRule="exact"/>
        <w:rPr>
          <w:rFonts w:ascii="Arial" w:cs="Arial" w:eastAsia="Arial" w:hAnsi="Arial"/>
          <w:sz w:val="18"/>
          <w:szCs w:val="18"/>
          <w:color w:val="auto"/>
        </w:rPr>
      </w:pPr>
    </w:p>
    <w:p>
      <w:pPr>
        <w:ind w:left="960" w:right="2660"/>
        <w:spacing w:after="0" w:line="323" w:lineRule="auto"/>
        <w:rPr>
          <w:rFonts w:ascii="Arial" w:cs="Arial" w:eastAsia="Arial" w:hAnsi="Arial"/>
          <w:sz w:val="18"/>
          <w:szCs w:val="18"/>
          <w:color w:val="auto"/>
        </w:rPr>
      </w:pPr>
      <w:r>
        <w:rPr>
          <w:rFonts w:ascii="Arial" w:cs="Arial" w:eastAsia="Arial" w:hAnsi="Arial"/>
          <w:sz w:val="16"/>
          <w:szCs w:val="16"/>
          <w:b w:val="1"/>
          <w:bCs w:val="1"/>
          <w:color w:val="auto"/>
        </w:rPr>
        <w:t xml:space="preserve">Nominees: </w:t>
      </w:r>
      <w:r>
        <w:rPr>
          <w:rFonts w:ascii="Arial" w:cs="Arial" w:eastAsia="Arial" w:hAnsi="Arial"/>
          <w:sz w:val="16"/>
          <w:szCs w:val="16"/>
          <w:color w:val="auto"/>
        </w:rPr>
        <w:t>(01) J. Deutch, (02) J.S. Gorelick, (03) A. Gould, (04) T. Isaac, (05) A. Lajous, (06) A. Lévy-Lang,</w:t>
      </w:r>
      <w:r>
        <w:rPr>
          <w:rFonts w:ascii="Arial" w:cs="Arial" w:eastAsia="Arial" w:hAnsi="Arial"/>
          <w:sz w:val="16"/>
          <w:szCs w:val="16"/>
          <w:b w:val="1"/>
          <w:bCs w:val="1"/>
          <w:color w:val="auto"/>
        </w:rPr>
        <w:t xml:space="preserve"> </w:t>
      </w:r>
      <w:r>
        <w:rPr>
          <w:rFonts w:ascii="Arial" w:cs="Arial" w:eastAsia="Arial" w:hAnsi="Arial"/>
          <w:sz w:val="16"/>
          <w:szCs w:val="16"/>
          <w:color w:val="auto"/>
        </w:rPr>
        <w:t>(07) M.E. Marks, (08) D. Primat, (09) T.I. Sandvold, (10) N. Seydoux, (11) L.G. Stuntz, (12) R. Talwar</w:t>
      </w:r>
    </w:p>
    <w:p>
      <w:pPr>
        <w:spacing w:after="0" w:line="5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9"/>
              </w:rPr>
              <w:t>FOR</w:t>
            </w:r>
          </w:p>
        </w:tc>
        <w:tc>
          <w:tcPr>
            <w:tcW w:w="398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660" w:type="dxa"/>
            <w:vAlign w:val="bottom"/>
            <w:vMerge w:val="restart"/>
          </w:tcPr>
          <w:p>
            <w:pPr>
              <w:ind w:left="300"/>
              <w:spacing w:after="0" w:line="271" w:lineRule="exact"/>
              <w:rPr>
                <w:sz w:val="20"/>
                <w:szCs w:val="20"/>
                <w:color w:val="auto"/>
              </w:rPr>
            </w:pPr>
            <w:r>
              <w:rPr>
                <w:rFonts w:ascii="MS PGothic" w:cs="MS PGothic" w:eastAsia="MS PGothic" w:hAnsi="MS PGothic"/>
                <w:sz w:val="27"/>
                <w:szCs w:val="27"/>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WITHHELD</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rPr>
              <w:t>ALL</w:t>
            </w:r>
          </w:p>
        </w:tc>
        <w:tc>
          <w:tcPr>
            <w:tcW w:w="39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w w:val="97"/>
              </w:rPr>
              <w:t>FROM ALL</w:t>
            </w:r>
          </w:p>
        </w:tc>
        <w:tc>
          <w:tcPr>
            <w:tcW w:w="0" w:type="dxa"/>
            <w:vAlign w:val="bottom"/>
          </w:tcPr>
          <w:p>
            <w:pPr>
              <w:spacing w:after="0"/>
              <w:rPr>
                <w:sz w:val="1"/>
                <w:szCs w:val="1"/>
                <w:color w:val="auto"/>
              </w:rPr>
            </w:pPr>
          </w:p>
        </w:tc>
      </w:tr>
      <w:tr>
        <w:trPr>
          <w:trHeight w:val="222"/>
        </w:trPr>
        <w:tc>
          <w:tcPr>
            <w:tcW w:w="900" w:type="dxa"/>
            <w:vAlign w:val="bottom"/>
          </w:tcPr>
          <w:p>
            <w:pPr>
              <w:jc w:val="center"/>
              <w:spacing w:after="0"/>
              <w:rPr>
                <w:sz w:val="20"/>
                <w:szCs w:val="20"/>
                <w:color w:val="auto"/>
              </w:rPr>
            </w:pPr>
            <w:r>
              <w:rPr>
                <w:rFonts w:ascii="Arial" w:cs="Arial" w:eastAsia="Arial" w:hAnsi="Arial"/>
                <w:sz w:val="18"/>
                <w:szCs w:val="18"/>
                <w:color w:val="auto"/>
                <w:w w:val="93"/>
              </w:rPr>
              <w:t>NOMINEES</w:t>
            </w:r>
          </w:p>
        </w:tc>
        <w:tc>
          <w:tcPr>
            <w:tcW w:w="3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w w:val="93"/>
              </w:rPr>
              <w:t>NOMINEES</w:t>
            </w:r>
          </w:p>
        </w:tc>
        <w:tc>
          <w:tcPr>
            <w:tcW w:w="0" w:type="dxa"/>
            <w:vAlign w:val="bottom"/>
          </w:tcPr>
          <w:p>
            <w:pPr>
              <w:spacing w:after="0"/>
              <w:rPr>
                <w:sz w:val="1"/>
                <w:szCs w:val="1"/>
                <w:color w:val="auto"/>
              </w:rPr>
            </w:pPr>
          </w:p>
        </w:tc>
      </w:tr>
      <w:tr>
        <w:trPr>
          <w:trHeight w:val="490"/>
        </w:trPr>
        <w:tc>
          <w:tcPr>
            <w:tcW w:w="900" w:type="dxa"/>
            <w:vAlign w:val="bottom"/>
          </w:tcPr>
          <w:p>
            <w:pPr>
              <w:ind w:left="480"/>
              <w:spacing w:after="0" w:line="271" w:lineRule="exact"/>
              <w:rPr>
                <w:sz w:val="20"/>
                <w:szCs w:val="20"/>
                <w:color w:val="auto"/>
              </w:rPr>
            </w:pPr>
            <w:r>
              <w:rPr>
                <w:rFonts w:ascii="MS PGothic" w:cs="MS PGothic" w:eastAsia="MS PGothic" w:hAnsi="MS PGothic"/>
                <w:sz w:val="27"/>
                <w:szCs w:val="27"/>
                <w:color w:val="auto"/>
              </w:rPr>
              <w:t>☐</w:t>
            </w:r>
          </w:p>
        </w:tc>
        <w:tc>
          <w:tcPr>
            <w:tcW w:w="3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900" w:type="dxa"/>
            <w:vAlign w:val="bottom"/>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980" w:type="dxa"/>
            <w:vAlign w:val="bottom"/>
          </w:tcPr>
          <w:p>
            <w:pPr>
              <w:ind w:left="220"/>
              <w:spacing w:after="0"/>
              <w:rPr>
                <w:sz w:val="20"/>
                <w:szCs w:val="20"/>
                <w:color w:val="auto"/>
              </w:rPr>
            </w:pPr>
            <w:r>
              <w:rPr>
                <w:rFonts w:ascii="Arial" w:cs="Arial" w:eastAsia="Arial" w:hAnsi="Arial"/>
                <w:sz w:val="18"/>
                <w:szCs w:val="18"/>
                <w:color w:val="auto"/>
              </w:rPr>
              <w:t>For all nominees except as noted above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480"/>
        <w:spacing w:after="0"/>
        <w:tabs>
          <w:tab w:leader="none" w:pos="10000" w:val="left"/>
          <w:tab w:leader="none" w:pos="1082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ectPr>
          <w:pgSz w:w="11900" w:h="16838" w:orient="portrait"/>
          <w:cols w:equalWidth="0" w:num="1">
            <w:col w:w="11420"/>
          </w:cols>
          <w:pgMar w:left="240" w:top="274" w:right="239" w:bottom="1440" w:gutter="0" w:footer="0" w:header="0"/>
        </w:sectPr>
      </w:pPr>
    </w:p>
    <w:p>
      <w:pPr>
        <w:spacing w:after="0" w:line="98" w:lineRule="exact"/>
        <w:rPr>
          <w:sz w:val="20"/>
          <w:szCs w:val="20"/>
          <w:color w:val="auto"/>
        </w:rPr>
      </w:pPr>
    </w:p>
    <w:p>
      <w:pPr>
        <w:ind w:left="860" w:hanging="352"/>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279" w:lineRule="exact"/>
        <w:rPr>
          <w:rFonts w:ascii="Arial" w:cs="Arial" w:eastAsia="Arial" w:hAnsi="Arial"/>
          <w:sz w:val="18"/>
          <w:szCs w:val="18"/>
          <w:color w:val="auto"/>
        </w:rPr>
      </w:pPr>
    </w:p>
    <w:p>
      <w:pPr>
        <w:ind w:left="860" w:hanging="352"/>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Adoption of Amendments to the Articles of Incorporation</w:t>
      </w:r>
    </w:p>
    <w:p>
      <w:pPr>
        <w:spacing w:after="0" w:line="279" w:lineRule="exact"/>
        <w:rPr>
          <w:rFonts w:ascii="Arial" w:cs="Arial" w:eastAsia="Arial" w:hAnsi="Arial"/>
          <w:sz w:val="18"/>
          <w:szCs w:val="18"/>
          <w:color w:val="auto"/>
        </w:rPr>
      </w:pPr>
    </w:p>
    <w:p>
      <w:pPr>
        <w:ind w:left="860" w:hanging="352"/>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Approval of Adoption of the Schlumberger 2005 Option Plan</w:t>
      </w:r>
    </w:p>
    <w:p>
      <w:pPr>
        <w:spacing w:after="0" w:line="279" w:lineRule="exact"/>
        <w:rPr>
          <w:rFonts w:ascii="Arial" w:cs="Arial" w:eastAsia="Arial" w:hAnsi="Arial"/>
          <w:sz w:val="18"/>
          <w:szCs w:val="18"/>
          <w:color w:val="auto"/>
        </w:rPr>
      </w:pPr>
    </w:p>
    <w:p>
      <w:pPr>
        <w:ind w:left="860" w:hanging="352"/>
        <w:spacing w:after="0"/>
        <w:tabs>
          <w:tab w:leader="none" w:pos="8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Approval of Adoption of an Amendment to the Schlumberger Discounted Stock Purchase Plan</w:t>
      </w:r>
    </w:p>
    <w:p>
      <w:pPr>
        <w:spacing w:after="0" w:line="302" w:lineRule="exact"/>
        <w:rPr>
          <w:rFonts w:ascii="Arial" w:cs="Arial" w:eastAsia="Arial" w:hAnsi="Arial"/>
          <w:sz w:val="16"/>
          <w:szCs w:val="16"/>
          <w:color w:val="auto"/>
        </w:rPr>
      </w:pPr>
    </w:p>
    <w:p>
      <w:pPr>
        <w:ind w:left="860" w:hanging="352"/>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Approval of Independent Registered Public Accounting Firm</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486"/>
        </w:trPr>
        <w:tc>
          <w:tcPr>
            <w:tcW w:w="460" w:type="dxa"/>
            <w:vAlign w:val="bottom"/>
          </w:tcPr>
          <w:p>
            <w:pPr>
              <w:spacing w:after="0" w:line="271" w:lineRule="exact"/>
              <w:rPr>
                <w:sz w:val="20"/>
                <w:szCs w:val="20"/>
                <w:color w:val="auto"/>
              </w:rPr>
            </w:pPr>
            <w:r>
              <w:rPr>
                <w:rFonts w:ascii="MS PGothic" w:cs="MS PGothic" w:eastAsia="MS PGothic" w:hAnsi="MS PGothic"/>
                <w:sz w:val="27"/>
                <w:szCs w:val="27"/>
                <w:color w:val="auto"/>
              </w:rPr>
              <w:t>☐</w:t>
            </w:r>
          </w:p>
        </w:tc>
        <w:tc>
          <w:tcPr>
            <w:tcW w:w="740" w:type="dxa"/>
            <w:vAlign w:val="bottom"/>
          </w:tcPr>
          <w:p>
            <w:pPr>
              <w:ind w:left="220"/>
              <w:spacing w:after="0" w:line="271" w:lineRule="exact"/>
              <w:rPr>
                <w:sz w:val="20"/>
                <w:szCs w:val="20"/>
                <w:color w:val="auto"/>
              </w:rPr>
            </w:pPr>
            <w:r>
              <w:rPr>
                <w:rFonts w:ascii="MS PGothic" w:cs="MS PGothic" w:eastAsia="MS PGothic" w:hAnsi="MS PGothic"/>
                <w:sz w:val="27"/>
                <w:szCs w:val="27"/>
                <w:color w:val="auto"/>
              </w:rPr>
              <w:t>☐</w:t>
            </w: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r>
        <w:trPr>
          <w:trHeight w:val="594"/>
        </w:trPr>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280"/>
              <w:spacing w:after="0" w:line="271" w:lineRule="exact"/>
              <w:rPr>
                <w:sz w:val="20"/>
                <w:szCs w:val="20"/>
                <w:color w:val="auto"/>
              </w:rPr>
            </w:pPr>
            <w:r>
              <w:rPr>
                <w:rFonts w:ascii="MS PGothic" w:cs="MS PGothic" w:eastAsia="MS PGothic" w:hAnsi="MS PGothic"/>
                <w:sz w:val="27"/>
                <w:szCs w:val="27"/>
                <w:color w:val="auto"/>
                <w:w w:val="88"/>
              </w:rPr>
              <w:t>☐</w:t>
            </w:r>
          </w:p>
        </w:tc>
      </w:tr>
    </w:tbl>
    <w:p>
      <w:pPr>
        <w:spacing w:after="0" w:line="200" w:lineRule="exact"/>
        <w:rPr>
          <w:sz w:val="20"/>
          <w:szCs w:val="20"/>
          <w:color w:val="auto"/>
        </w:rPr>
      </w:pPr>
    </w:p>
    <w:p>
      <w:pPr>
        <w:sectPr>
          <w:pgSz w:w="11900" w:h="16838" w:orient="portrait"/>
          <w:cols w:equalWidth="0" w:num="2">
            <w:col w:w="8800" w:space="720"/>
            <w:col w:w="1900"/>
          </w:cols>
          <w:pgMar w:left="240" w:top="274" w:right="239" w:bottom="1440" w:gutter="0" w:footer="0" w:header="0"/>
          <w:type w:val="continuous"/>
        </w:sectPr>
      </w:pPr>
    </w:p>
    <w:p>
      <w:pPr>
        <w:spacing w:after="0" w:line="19" w:lineRule="exact"/>
        <w:rPr>
          <w:sz w:val="20"/>
          <w:szCs w:val="20"/>
          <w:color w:val="auto"/>
        </w:rPr>
      </w:pPr>
    </w:p>
    <w:p>
      <w:pPr>
        <w:ind w:left="500" w:right="220"/>
        <w:spacing w:after="0" w:line="268" w:lineRule="auto"/>
        <w:rPr>
          <w:sz w:val="20"/>
          <w:szCs w:val="20"/>
          <w:color w:val="auto"/>
        </w:rPr>
      </w:pPr>
      <w:r>
        <w:rPr>
          <w:rFonts w:ascii="Arial" w:cs="Arial" w:eastAsia="Arial" w:hAnsi="Arial"/>
          <w:sz w:val="18"/>
          <w:szCs w:val="18"/>
          <w:color w:val="auto"/>
        </w:rPr>
        <w:t>Please sign names exactly as printed hereon. If signing as attorney, administrator, executor, guardian or trustee, please give full title as such. Please sign, date and return in the enclosed envelope.</w:t>
      </w:r>
    </w:p>
    <w:p>
      <w:pPr>
        <w:spacing w:after="0" w:line="267" w:lineRule="exact"/>
        <w:rPr>
          <w:sz w:val="20"/>
          <w:szCs w:val="20"/>
          <w:color w:val="auto"/>
        </w:rPr>
      </w:pPr>
    </w:p>
    <w:p>
      <w:pPr>
        <w:spacing w:after="0"/>
        <w:tabs>
          <w:tab w:leader="none" w:pos="2940" w:val="left"/>
          <w:tab w:leader="none" w:pos="4780" w:val="left"/>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-13970</wp:posOffset>
            </wp:positionV>
            <wp:extent cx="5372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721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6"/>
          <w:szCs w:val="16"/>
          <w:b w:val="1"/>
          <w:bCs w:val="1"/>
          <w:color w:val="auto"/>
        </w:rPr>
        <w:t xml:space="preserve">[LETTERHEAD OF BAKER BOTTS </w:t>
      </w:r>
      <w:r>
        <w:rPr>
          <w:rFonts w:ascii="Arial" w:cs="Arial" w:eastAsia="Arial" w:hAnsi="Arial"/>
          <w:sz w:val="13"/>
          <w:szCs w:val="13"/>
          <w:b w:val="1"/>
          <w:bCs w:val="1"/>
          <w:color w:val="auto"/>
        </w:rPr>
        <w:t>LLP</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125" w:right="259" w:bottom="1440" w:gutter="0" w:footer="0" w:header="0"/>
        </w:sectPr>
      </w:pPr>
    </w:p>
    <w:p>
      <w:pPr>
        <w:spacing w:after="0" w:line="15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Schlumberger Limited (Schlumberger N.V.)</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2005 Annual General Meeting of Stockholders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Preliminary Proxy Statement</w:t>
      </w:r>
    </w:p>
    <w:p>
      <w:pPr>
        <w:spacing w:after="0" w:line="151" w:lineRule="exact"/>
        <w:rPr>
          <w:sz w:val="20"/>
          <w:szCs w:val="20"/>
          <w:color w:val="auto"/>
        </w:rPr>
      </w:pPr>
    </w:p>
    <w:p>
      <w:pPr>
        <w:sectPr>
          <w:pgSz w:w="11900" w:h="16838" w:orient="portrait"/>
          <w:cols w:equalWidth="0" w:num="2">
            <w:col w:w="1160" w:space="300"/>
            <w:col w:w="994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On behalf of our client, Schlumberger Limited (Schlumberger N.V.) (the “Company”), we hereby submit for filing with the Securities and Exchange Commission (the “Commission”) pursuant to Rule 14a-6(a) under the Securities Exchange Act of 1934, as amended, a preliminary proxy statement on Schedule 14A and the form of proxy relating to the Company’s 2005 Annual General Meeting of Stockholders (the “Annual Meeting”), which is currently scheduled to be held on April 13, 2005. Definitive copies of the proxy statement and the form of proxy are expected to be filed with the Commission and mailed to the Company’s stockholders on or about March 15, 2005.</w:t>
      </w:r>
    </w:p>
    <w:p>
      <w:pPr>
        <w:spacing w:after="0" w:line="12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Annual Meeting is being called for the following purposes: (1) to elect 12 directors; (2) to report on the course of business during fiscal 2004 and to adopt and approve the Company’s consolidated balance sheet as at December 31, 2004, its consolidated statement of income for the year ended December 31, 2004, and the declaration of dividends as reflected in the Company’s 2004 Annual Report to Stockholders; (3) to amend the Company’s Articles of Incorporation; (4) to approve the Schlumberger 2005 Stock Option Plan; (5) to approve an amendment to the Schlumberger Discounted Stock Purchase Plan; (6) to approve the appointment of PricewaterhouseCoopers LLP as independent public auditors to audit the accounts of the Company for 2005, and (7) to transact such other business as may properly come before the Annual Meeting.</w:t>
      </w:r>
    </w:p>
    <w:p>
      <w:pPr>
        <w:spacing w:after="0" w:line="10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Company’s financial statements as of and for the year ended December 31, 2004 are still being prepared and, accordingly, are not included with the preliminary proxy statement being filed today. The Company has advised us that it plans to file its 2004 financial statements at least 10 days prior to the date its definitive proxy statement is first sent or given to security holders.</w:t>
      </w:r>
    </w:p>
    <w:p>
      <w:pPr>
        <w:spacing w:after="0" w:line="12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Please telephone the undersigned at 713.229.4062 or J. David Kirkland, Jr. of this Firm at 713.229.1101 with any questions or comments regarding this filing. In addition, please send copies of all correspondence with the Company directly to Mr. J. David Kirkland, Jr., Baker</w:t>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BAKER BOTTS </w:t>
      </w:r>
      <w:r>
        <w:rPr>
          <w:rFonts w:ascii="Arial" w:cs="Arial" w:eastAsia="Arial" w:hAnsi="Arial"/>
          <w:sz w:val="14"/>
          <w:szCs w:val="14"/>
          <w:b w:val="1"/>
          <w:bCs w:val="1"/>
          <w:color w:val="auto"/>
        </w:rPr>
        <w:t>L</w:t>
      </w:r>
      <w:r>
        <w:rPr>
          <w:rFonts w:ascii="Arial" w:cs="Arial" w:eastAsia="Arial" w:hAnsi="Arial"/>
          <w:sz w:val="18"/>
          <w:szCs w:val="18"/>
          <w:b w:val="1"/>
          <w:bCs w:val="1"/>
          <w:color w:val="auto"/>
        </w:rPr>
        <w:t>.</w:t>
      </w:r>
      <w:r>
        <w:rPr>
          <w:rFonts w:ascii="Arial" w:cs="Arial" w:eastAsia="Arial" w:hAnsi="Arial"/>
          <w:sz w:val="14"/>
          <w:szCs w:val="14"/>
          <w:b w:val="1"/>
          <w:bCs w:val="1"/>
          <w:color w:val="auto"/>
        </w:rPr>
        <w:t>L</w:t>
      </w:r>
      <w:r>
        <w:rPr>
          <w:rFonts w:ascii="Arial" w:cs="Arial" w:eastAsia="Arial" w:hAnsi="Arial"/>
          <w:sz w:val="18"/>
          <w:szCs w:val="18"/>
          <w:b w:val="1"/>
          <w:bCs w:val="1"/>
          <w:color w:val="auto"/>
        </w:rPr>
        <w:t>.</w:t>
      </w:r>
      <w:r>
        <w:rPr>
          <w:rFonts w:ascii="Arial" w:cs="Arial" w:eastAsia="Arial" w:hAnsi="Arial"/>
          <w:sz w:val="14"/>
          <w:szCs w:val="14"/>
          <w:b w:val="1"/>
          <w:bCs w:val="1"/>
          <w:color w:val="auto"/>
        </w:rPr>
        <w:t>P</w:t>
      </w:r>
      <w:r>
        <w:rPr>
          <w:rFonts w:ascii="Arial" w:cs="Arial" w:eastAsia="Arial" w:hAnsi="Arial"/>
          <w:sz w:val="18"/>
          <w:szCs w:val="18"/>
          <w:b w:val="1"/>
          <w:bCs w:val="1"/>
          <w:color w:val="auto"/>
        </w:rPr>
        <w:t>.</w:t>
      </w:r>
    </w:p>
    <w:p>
      <w:pPr>
        <w:spacing w:after="0" w:line="164" w:lineRule="exact"/>
        <w:rPr>
          <w:sz w:val="20"/>
          <w:szCs w:val="20"/>
          <w:color w:val="auto"/>
        </w:rPr>
      </w:pPr>
    </w:p>
    <w:p>
      <w:pPr>
        <w:jc w:val="right"/>
        <w:spacing w:after="0"/>
        <w:tabs>
          <w:tab w:leader="none" w:pos="11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8, 2005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Botts L.L.P., One Shell Plaza, 910 Louisiana, Houston, Texas 77002-4995 (facsimile: 713.229.7701).</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BOTTS L.L.P.</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Patrick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Patrick Whitman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right="8980" w:hanging="452"/>
        <w:spacing w:after="0" w:line="370" w:lineRule="auto"/>
        <w:tabs>
          <w:tab w:leader="none" w:pos="449" w:val="left"/>
        </w:tabs>
        <w:numPr>
          <w:ilvl w:val="0"/>
          <w:numId w:val="54"/>
        </w:numPr>
        <w:rPr>
          <w:rFonts w:ascii="Arial" w:cs="Arial" w:eastAsia="Arial" w:hAnsi="Arial"/>
          <w:sz w:val="15"/>
          <w:szCs w:val="15"/>
          <w:color w:val="auto"/>
        </w:rPr>
      </w:pPr>
      <w:r>
        <w:rPr>
          <w:rFonts w:ascii="Arial" w:cs="Arial" w:eastAsia="Arial" w:hAnsi="Arial"/>
          <w:sz w:val="15"/>
          <w:szCs w:val="15"/>
          <w:color w:val="auto"/>
        </w:rPr>
        <w:t>Ms. Janet B. Glassmacher Schlumberger Limited</w:t>
      </w:r>
    </w:p>
    <w:p>
      <w:pPr>
        <w:spacing w:after="0" w:line="48" w:lineRule="exact"/>
        <w:rPr>
          <w:rFonts w:ascii="Arial" w:cs="Arial" w:eastAsia="Arial" w:hAnsi="Arial"/>
          <w:sz w:val="15"/>
          <w:szCs w:val="15"/>
          <w:color w:val="auto"/>
        </w:rPr>
      </w:pPr>
    </w:p>
    <w:p>
      <w:pPr>
        <w:ind w:left="460" w:right="9000"/>
        <w:spacing w:after="0" w:line="306" w:lineRule="auto"/>
        <w:rPr>
          <w:rFonts w:ascii="Arial" w:cs="Arial" w:eastAsia="Arial" w:hAnsi="Arial"/>
          <w:sz w:val="15"/>
          <w:szCs w:val="15"/>
          <w:color w:val="auto"/>
        </w:rPr>
      </w:pPr>
      <w:r>
        <w:rPr>
          <w:rFonts w:ascii="Arial" w:cs="Arial" w:eastAsia="Arial" w:hAnsi="Arial"/>
          <w:sz w:val="16"/>
          <w:szCs w:val="16"/>
          <w:color w:val="auto"/>
        </w:rPr>
        <w:t>Mr. J. David Kirkland, Jr. Mr. Sean T. Wheeler Baker Botts L.L.P.</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lvl w:ilvl="1">
      <w:lvlJc w:val="left"/>
      <w:lvlText w:val="(%2)"/>
      <w:numFmt w:val="lowerLetter"/>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lvl w:ilvl="1">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lvl w:ilvl="1">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lvl w:ilvl="1">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8"/>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lvl w:ilvl="1">
      <w:lvlJc w:val="left"/>
      <w:lvlText w:val="(%2)"/>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lowerLetter"/>
      <w:start w:val="1"/>
    </w:lvl>
    <w:lvl w:ilvl="1">
      <w:lvlJc w:val="left"/>
      <w:lvlText w:val="(%2)"/>
      <w:numFmt w:val="lowerRoman"/>
      <w:start w:val="1"/>
    </w:lvl>
  </w:abstractNum>
  <w:abstractNum w:abstractNumId="37">
    <w:nsid w:val="4B588F54"/>
    <w:multiLevelType w:val="hybridMultilevel"/>
    <w:lvl w:ilvl="0">
      <w:lvlJc w:val="left"/>
      <w:lvlText w:val="%1."/>
      <w:numFmt w:val="decimal"/>
      <w:start w:val="2"/>
    </w:lvl>
    <w:lvl w:ilvl="1">
      <w:lvlJc w:val="left"/>
      <w:lvlText w:val="(%2)"/>
      <w:numFmt w:val="lowerLetter"/>
      <w:start w:val="1"/>
    </w:lvl>
  </w:abstractNum>
  <w:abstractNum w:abstractNumId="38">
    <w:nsid w:val="542289EC"/>
    <w:multiLevelType w:val="hybridMultilevel"/>
    <w:lvl w:ilvl="0">
      <w:lvlJc w:val="left"/>
      <w:lvlText w:val="%1"/>
      <w:numFmt w:val="decimal"/>
      <w:start w:val="1"/>
    </w:lvl>
    <w:lvl w:ilvl="1">
      <w:lvlJc w:val="left"/>
      <w:lvlText w:val="(%2)"/>
      <w:numFmt w:val="lowerLetter"/>
      <w:start w:val="3"/>
    </w:lvl>
  </w:abstractNum>
  <w:abstractNum w:abstractNumId="39">
    <w:nsid w:val="6DE91B18"/>
    <w:multiLevelType w:val="hybridMultilevel"/>
    <w:lvl w:ilvl="0">
      <w:lvlJc w:val="left"/>
      <w:lvlText w:val="%1."/>
      <w:numFmt w:val="decimal"/>
      <w:start w:val="4"/>
    </w:lvl>
    <w:lvl w:ilvl="1">
      <w:lvlJc w:val="left"/>
      <w:lvlText w:val="%2"/>
      <w:numFmt w:val="lowerLetter"/>
      <w:start w:val="1"/>
    </w:lvl>
  </w:abstractNum>
  <w:abstractNum w:abstractNumId="40">
    <w:nsid w:val="38437FDB"/>
    <w:multiLevelType w:val="hybridMultilevel"/>
    <w:lvl w:ilvl="0">
      <w:lvlJc w:val="left"/>
      <w:lvlText w:val="%1."/>
      <w:numFmt w:val="decimal"/>
      <w:start w:val="5"/>
    </w:lvl>
    <w:lvl w:ilvl="1">
      <w:lvlJc w:val="left"/>
      <w:lvlText w:val="(%2)"/>
      <w:numFmt w:val="lowerLetter"/>
      <w:start w:val="1"/>
    </w:lvl>
  </w:abstractNum>
  <w:abstractNum w:abstractNumId="41">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59"/>
    </w:lvl>
    <w:lvl w:ilvl="3">
      <w:lvlJc w:val="left"/>
      <w:lvlText w:val="(%4)"/>
      <w:numFmt w:val="upperLetter"/>
      <w:start w:val="1"/>
    </w:lvl>
    <w:lvl w:ilvl="4">
      <w:lvlJc w:val="left"/>
      <w:lvlText w:val="(%5)"/>
      <w:numFmt w:val="upperLetter"/>
      <w:start w:val="1"/>
    </w:lvl>
  </w:abstractNum>
  <w:abstractNum w:abstractNumId="42">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lvl w:ilvl="4">
      <w:lvlJc w:val="left"/>
      <w:lvlText w:val="%5"/>
      <w:numFmt w:val="upperLetter"/>
      <w:start w:val="1"/>
    </w:lvl>
  </w:abstractNum>
  <w:abstractNum w:abstractNumId="43">
    <w:nsid w:val="684A481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44">
    <w:nsid w:val="579478FE"/>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abstractNum>
  <w:abstractNum w:abstractNumId="45">
    <w:nsid w:val="749ABB43"/>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46">
    <w:nsid w:val="3DC240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
    <w:nsid w:val="1BA026FA"/>
    <w:multiLevelType w:val="hybridMultilevel"/>
    <w:lvl w:ilvl="0">
      <w:lvlJc w:val="left"/>
      <w:lvlText w:val="%1"/>
      <w:numFmt w:val="decimal"/>
      <w:start w:val="1"/>
    </w:lvl>
    <w:lvl w:ilvl="1">
      <w:lvlJc w:val="left"/>
      <w:lvlText w:val="(%2)"/>
      <w:numFmt w:val="lowerLetter"/>
      <w:start w:val="5"/>
    </w:lvl>
  </w:abstractNum>
  <w:abstractNum w:abstractNumId="48">
    <w:nsid w:val="79A1DEAA"/>
    <w:multiLevelType w:val="hybridMultilevel"/>
    <w:lvl w:ilvl="0">
      <w:lvlJc w:val="left"/>
      <w:lvlText w:val="%1."/>
      <w:numFmt w:val="decimal"/>
      <w:start w:val="9"/>
    </w:lvl>
    <w:lvl w:ilvl="1">
      <w:lvlJc w:val="left"/>
      <w:lvlText w:val="%2"/>
      <w:numFmt w:val="lowerLetter"/>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2"/>
    </w:lvl>
  </w:abstractNum>
  <w:abstractNum w:abstractNumId="53">
    <w:nsid w:val="374A3FE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2019-12-11T19:09:44Z</dcterms:created>
  <dcterms:modified xsi:type="dcterms:W3CDTF">2019-12-11T19:09:44Z</dcterms:modified>
</cp:coreProperties>
</file>