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Gassen Steve Matthew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5599 SAN FELIPE,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SLB LIMITED/NV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EVP, Geographies</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center"/>
              <w:ind w:left="58"/>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77056</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6"/>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tcBorders>
              <w:bottom w:val="single" w:sz="8" w:color="2C2C2C"/>
            </w:tcBorders>
            <w:gridSpan w:val="3"/>
          </w:tcPr>
          <w:p>
            <w:pPr>
              <w:jc w:val="right"/>
              <w:ind w:right="78"/>
              <w:spacing w:after="0"/>
              <w:rPr>
                <w:sz w:val="20"/>
                <w:szCs w:val="20"/>
                <w:color w:val="auto"/>
              </w:rPr>
            </w:pPr>
            <w:r>
              <w:rPr>
                <w:rFonts w:ascii="Times New Roman" w:cs="Times New Roman" w:eastAsia="Times New Roman" w:hAnsi="Times New Roman"/>
                <w:sz w:val="17"/>
                <w:szCs w:val="17"/>
                <w:color w:val="0000FF"/>
              </w:rPr>
              <w:t>03/13/2026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1,201</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67,894</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gridSpan w:val="3"/>
          </w:tcPr>
          <w:p>
            <w:pPr>
              <w:jc w:val="right"/>
              <w:ind w:right="78"/>
              <w:spacing w:after="0"/>
              <w:rPr>
                <w:sz w:val="20"/>
                <w:szCs w:val="20"/>
                <w:color w:val="auto"/>
              </w:rPr>
            </w:pPr>
            <w:r>
              <w:rPr>
                <w:rFonts w:ascii="Times New Roman" w:cs="Times New Roman" w:eastAsia="Times New Roman" w:hAnsi="Times New Roman"/>
                <w:sz w:val="17"/>
                <w:szCs w:val="17"/>
                <w:color w:val="0000FF"/>
              </w:rPr>
              <w:t>03/13/2026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0000FF"/>
              </w:rPr>
              <w:t>473</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44.22</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67,421</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SLB</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20"/>
              <w:spacing w:after="0" w:line="213" w:lineRule="exact"/>
              <w:rPr>
                <w:sz w:val="20"/>
                <w:szCs w:val="20"/>
                <w:color w:val="auto"/>
              </w:rPr>
            </w:pPr>
            <w:r>
              <w:rPr>
                <w:rFonts w:ascii="Times New Roman" w:cs="Times New Roman" w:eastAsia="Times New Roman" w:hAnsi="Times New Roman"/>
                <w:sz w:val="17"/>
                <w:szCs w:val="17"/>
                <w:color w:val="0000FF"/>
                <w:w w:val="93"/>
              </w:rPr>
              <w:t>5,739</w:t>
            </w:r>
            <w:r>
              <w:rPr>
                <w:rFonts w:ascii="Times New Roman" w:cs="Times New Roman" w:eastAsia="Times New Roman" w:hAnsi="Times New Roman"/>
                <w:sz w:val="22"/>
                <w:szCs w:val="22"/>
                <w:color w:val="008000"/>
                <w:w w:val="93"/>
                <w:vertAlign w:val="superscript"/>
              </w:rPr>
              <w:t>(2)</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18, 2023. Vesting of the PSUs was based on three-year Company performance relative to select key competitors. Most of these competitors had not reported their 2025 audited financial results when the Company's compensation committee met in January 2026 to certify performance under the PSUs. As a result, the Company's compensation committee approved the issuance of 80% of the shares that the committee determined had been earned according to the information available to the committee at the time. As of March 13, 2026, all such competitors had reported their 2025 audited financial results. Shares of common stock reported hereunder represent shares finally determined to have been earned under the PSUs.</w:t>
      </w:r>
    </w:p>
    <w:p>
      <w:pPr>
        <w:spacing w:after="0" w:line="178"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Equivalent shares as updated November 2025.</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LaToyia Tilley,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03/17/2026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5028"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2026-03-17T16:00:35Z</dcterms:created>
  <dcterms:modified xsi:type="dcterms:W3CDTF">2026-03-17T16:00:35Z</dcterms:modified>
</cp:coreProperties>
</file>