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SLB LIMITED/NV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05"/>
        <w:spacing w:after="0"/>
        <w:rPr>
          <w:sz w:val="20"/>
          <w:szCs w:val="20"/>
          <w:color w:val="auto"/>
        </w:rPr>
      </w:pPr>
      <w:r>
        <w:rPr>
          <w:rFonts w:ascii="Times New Roman" w:cs="Times New Roman" w:eastAsia="Times New Roman" w:hAnsi="Times New Roman"/>
          <w:sz w:val="17"/>
          <w:szCs w:val="17"/>
          <w:color w:val="0000FF"/>
        </w:rPr>
        <w:t>EVP, Core Services &amp; Equipment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77056</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6"/>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3,504</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144,106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3"/>
          </w:tcPr>
          <w:p>
            <w:pPr>
              <w:jc w:val="right"/>
              <w:ind w:right="78"/>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1,379</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44.22</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142,727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18, 2023. Vesting of the PSUs was based on three-year Company performance relative to select key competitors. Most of these competitors had not reported their 2025 audited financial results when the Company's compensation committee met in January 2026 to certify performance under the PSUs. As a result, the Company's compensation committee approved the issuance of 80% of the shares that the committee determined had been earned according to the information available to the committee at the time. As of March 13, 2026, all such competitors had reported their 2025 audited financial results. Shares of common stock reported hereunder represent shares finally determined to have been earned under the PSUs.</w:t>
      </w:r>
    </w:p>
    <w:p>
      <w:pPr>
        <w:spacing w:after="0" w:line="19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LaToyia Tilley,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03/17/2026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2026-03-17T16:13:48Z</dcterms:created>
  <dcterms:modified xsi:type="dcterms:W3CDTF">2026-03-17T16:13:48Z</dcterms:modified>
</cp:coreProperties>
</file>