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257175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March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SLB N.V. (SLB LIMITED)</w:t>
      </w:r>
    </w:p>
    <w:p>
      <w:pPr>
        <w:spacing w:after="0" w:line="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45" w:lineRule="exact"/>
        <w:rPr>
          <w:sz w:val="24"/>
          <w:szCs w:val="24"/>
          <w:color w:val="auto"/>
        </w:rPr>
      </w:pPr>
    </w:p>
    <w:p>
      <w:pPr>
        <w:sectPr>
          <w:pgSz w:w="11900" w:h="16838" w:orient="portrait"/>
          <w:cols w:equalWidth="0" w:num="3">
            <w:col w:w="4624" w:space="720"/>
            <w:col w:w="2720" w:space="720"/>
            <w:col w:w="2240"/>
          </w:cols>
          <w:pgMar w:left="436" w:top="460"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460" w:right="439" w:bottom="1440" w:gutter="0" w:footer="0" w:header="0"/>
          <w:type w:val="continuous"/>
        </w:sectPr>
      </w:pP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 U.S.A . 77056</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460" w:right="439" w:bottom="1440" w:gutter="0" w:footer="0" w:header="0"/>
          <w:type w:val="continuous"/>
        </w:sectPr>
      </w:pP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8"/>
          <w:szCs w:val="18"/>
          <w:b w:val="1"/>
          <w:bCs w:val="1"/>
          <w:color w:val="auto"/>
        </w:rPr>
        <w:t>Regulation FD Disclosure.</w:t>
      </w:r>
    </w:p>
    <w:p>
      <w:pPr>
        <w:spacing w:after="0" w:line="104" w:lineRule="exact"/>
        <w:rPr>
          <w:sz w:val="20"/>
          <w:szCs w:val="20"/>
          <w:color w:val="auto"/>
        </w:rPr>
      </w:pPr>
    </w:p>
    <w:p>
      <w:pPr>
        <w:ind w:right="640" w:firstLine="440"/>
        <w:spacing w:after="0" w:line="271" w:lineRule="auto"/>
        <w:rPr>
          <w:sz w:val="20"/>
          <w:szCs w:val="20"/>
          <w:color w:val="auto"/>
        </w:rPr>
      </w:pPr>
      <w:r>
        <w:rPr>
          <w:rFonts w:ascii="Arial" w:cs="Arial" w:eastAsia="Arial" w:hAnsi="Arial"/>
          <w:sz w:val="18"/>
          <w:szCs w:val="18"/>
          <w:color w:val="auto"/>
        </w:rPr>
        <w:t>On March 11, 2026, SLB issued a press release providing the following update on its Middle East operations and first quarter outlook:</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“SLB (NYSE: SLB) continues to closely monitor the unfolding situation in the Middle East and adapt its operations.</w:t>
      </w:r>
    </w:p>
    <w:p>
      <w:pPr>
        <w:spacing w:after="0" w:line="212" w:lineRule="exact"/>
        <w:rPr>
          <w:sz w:val="20"/>
          <w:szCs w:val="20"/>
          <w:color w:val="auto"/>
        </w:rPr>
      </w:pPr>
    </w:p>
    <w:p>
      <w:pPr>
        <w:ind w:right="20" w:firstLine="440"/>
        <w:spacing w:after="0" w:line="244" w:lineRule="auto"/>
        <w:rPr>
          <w:sz w:val="20"/>
          <w:szCs w:val="20"/>
          <w:color w:val="auto"/>
        </w:rPr>
      </w:pPr>
      <w:r>
        <w:rPr>
          <w:rFonts w:ascii="Arial" w:cs="Arial" w:eastAsia="Arial" w:hAnsi="Arial"/>
          <w:sz w:val="18"/>
          <w:szCs w:val="18"/>
          <w:color w:val="auto"/>
        </w:rPr>
        <w:t>“The safety and security of SLB’s employees is the highest priority, and the company has activated local and regional crisis response teams that are meeting daily. Travel to and transit through the region have been suspended, and the company has begun to demobilize operations in a few countries in response to customer actions to safeguard personnel and facilities. These measures will continue as long as necessary until the environment in the region has stabilized. SLB is working closely with local authorities and its customers to monitor the situation and will begin a phased resumption of full activity as conditions allow.</w:t>
      </w:r>
    </w:p>
    <w:p>
      <w:pPr>
        <w:spacing w:after="0" w:line="176" w:lineRule="exact"/>
        <w:rPr>
          <w:sz w:val="20"/>
          <w:szCs w:val="20"/>
          <w:color w:val="auto"/>
        </w:rPr>
      </w:pPr>
    </w:p>
    <w:p>
      <w:pPr>
        <w:ind w:right="240" w:firstLine="440"/>
        <w:spacing w:after="0" w:line="253" w:lineRule="auto"/>
        <w:rPr>
          <w:sz w:val="20"/>
          <w:szCs w:val="20"/>
          <w:color w:val="auto"/>
        </w:rPr>
      </w:pPr>
      <w:r>
        <w:rPr>
          <w:rFonts w:ascii="Arial" w:cs="Arial" w:eastAsia="Arial" w:hAnsi="Arial"/>
          <w:sz w:val="18"/>
          <w:szCs w:val="18"/>
          <w:color w:val="auto"/>
        </w:rPr>
        <w:t>“SLB revenue for the first quarter will be lower than expected, and the company expects to incur additional costs resulting in an impact of approximately 6-9 cents of earnings per diluted share for the first quarter. Given the dynamic nature of the environment, these factors could change, and we will continue to closely monitor developments and their impact.</w:t>
      </w:r>
    </w:p>
    <w:p>
      <w:pPr>
        <w:spacing w:after="0" w:line="169" w:lineRule="exact"/>
        <w:rPr>
          <w:sz w:val="20"/>
          <w:szCs w:val="20"/>
          <w:color w:val="auto"/>
        </w:rPr>
      </w:pPr>
    </w:p>
    <w:p>
      <w:pPr>
        <w:jc w:val="both"/>
        <w:ind w:right="80" w:firstLine="440"/>
        <w:spacing w:after="0" w:line="253" w:lineRule="auto"/>
        <w:rPr>
          <w:sz w:val="20"/>
          <w:szCs w:val="20"/>
          <w:color w:val="auto"/>
        </w:rPr>
      </w:pPr>
      <w:r>
        <w:rPr>
          <w:rFonts w:ascii="Arial" w:cs="Arial" w:eastAsia="Arial" w:hAnsi="Arial"/>
          <w:sz w:val="18"/>
          <w:szCs w:val="18"/>
          <w:color w:val="auto"/>
        </w:rPr>
        <w:t>“Despite these near-term disruptions, SLB remains confident in the underlying resilience of its global business, including the Middle East. The company has dealt with numerous geopolitical crises throughout its 100-year history and has deep experience navigating these challenges while remaining focused on serving its global customer base.”</w:t>
      </w:r>
    </w:p>
    <w:p>
      <w:pPr>
        <w:spacing w:after="0" w:line="169" w:lineRule="exact"/>
        <w:rPr>
          <w:sz w:val="20"/>
          <w:szCs w:val="20"/>
          <w:color w:val="auto"/>
        </w:rPr>
      </w:pPr>
    </w:p>
    <w:p>
      <w:pPr>
        <w:ind w:right="520" w:firstLine="440"/>
        <w:spacing w:after="0" w:line="247" w:lineRule="auto"/>
        <w:rPr>
          <w:sz w:val="20"/>
          <w:szCs w:val="20"/>
          <w:color w:val="auto"/>
        </w:rPr>
      </w:pPr>
      <w:r>
        <w:rPr>
          <w:rFonts w:ascii="Arial" w:cs="Arial" w:eastAsia="Arial" w:hAnsi="Arial"/>
          <w:sz w:val="18"/>
          <w:szCs w:val="18"/>
          <w:color w:val="auto"/>
        </w:rPr>
        <w:t>A copy of this press release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04"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This Form 8-K and the press release furnished as Exhibit 99 hereto,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future global economic and geopolitical conditions; future liquidity, including free cash flow; and future results of operations.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w:t>
      </w:r>
    </w:p>
    <w:p>
      <w:pPr>
        <w:sectPr>
          <w:pgSz w:w="11900" w:h="16838" w:orient="portrait"/>
          <w:cols w:equalWidth="0" w:num="1">
            <w:col w:w="11000"/>
          </w:cols>
          <w:pgMar w:left="440" w:top="296" w:right="459" w:bottom="1440" w:gutter="0" w:footer="0" w:header="0"/>
        </w:sectPr>
      </w:pPr>
    </w:p>
    <w:bookmarkStart w:id="2" w:name="page3"/>
    <w:bookmarkEnd w:id="2"/>
    <w:p>
      <w:pPr>
        <w:ind w:left="4" w:right="2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technology to meet new challenges in exploration; the competitiveness of alternative energy sources or product substitutes; and other risks and uncertainties detailed in this Form 8-K and the press release furnished hereto and our most recent Forms 10-K, 10-Q, and 8-K filed with or furnished to the SEC.</w:t>
      </w:r>
    </w:p>
    <w:p>
      <w:pPr>
        <w:spacing w:after="0" w:line="169" w:lineRule="exact"/>
        <w:rPr>
          <w:sz w:val="20"/>
          <w:szCs w:val="20"/>
          <w:color w:val="auto"/>
        </w:rPr>
      </w:pPr>
    </w:p>
    <w:p>
      <w:pPr>
        <w:ind w:left="4" w:firstLine="440"/>
        <w:spacing w:after="0" w:line="266" w:lineRule="auto"/>
        <w:rPr>
          <w:sz w:val="20"/>
          <w:szCs w:val="20"/>
          <w:color w:val="auto"/>
        </w:rPr>
      </w:pPr>
      <w:r>
        <w:rPr>
          <w:rFonts w:ascii="Arial" w:cs="Arial" w:eastAsia="Arial" w:hAnsi="Arial"/>
          <w:sz w:val="17"/>
          <w:szCs w:val="17"/>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Statements in this Form 8-K and the press release furnished hereto are made as of the date hereof, and SLB disclaims any intention or obligation to update publicly or revise such statements, whether as a result of new information, future events, or otherwise.</w:t>
      </w:r>
    </w:p>
    <w:p>
      <w:pPr>
        <w:spacing w:after="0" w:line="30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664" w:hanging="664"/>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Press Release.</w:t>
      </w:r>
    </w:p>
    <w:p>
      <w:pPr>
        <w:spacing w:after="0" w:line="117"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96" w:right="45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Dianne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Dianne Ralston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2026</w:t>
      </w:r>
    </w:p>
    <w:p>
      <w:pPr>
        <w:sectPr>
          <w:pgSz w:w="11900" w:h="16838" w:orient="portrait"/>
          <w:cols w:equalWidth="0" w:num="1">
            <w:col w:w="10840"/>
          </w:cols>
          <w:pgMar w:left="440" w:top="296"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5809615</wp:posOffset>
            </wp:positionH>
            <wp:positionV relativeFrom="paragraph">
              <wp:posOffset>-118745</wp:posOffset>
            </wp:positionV>
            <wp:extent cx="1183005" cy="822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8300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SLB Provides Update on Middle East Operations and First Quarter Outlook</w:t>
      </w:r>
    </w:p>
    <w:p>
      <w:pPr>
        <w:spacing w:after="0" w:line="21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 xml:space="preserve">HOUSTON, March 11, 2026 — </w:t>
      </w:r>
      <w:r>
        <w:rPr>
          <w:rFonts w:ascii="Arial" w:cs="Arial" w:eastAsia="Arial" w:hAnsi="Arial"/>
          <w:sz w:val="18"/>
          <w:szCs w:val="18"/>
          <w:color w:val="auto"/>
        </w:rPr>
        <w:t>SLB (NYSE: SLB) continues to closely monitor the unfolding situation in the Middle East and adapt its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5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safety and security of SLB’s employees is the highest priority, and the company has activated local and regional crisis response teams that are meeting daily. Travel to and transit through the region have been suspended, and the company has begun to demobilize operations in a few countries in response to customer actions to safeguard personnel and facilities. These measures will continue as long as necessary until the environment in the region has stabilized. SLB is working closely with local authorities and its customers to monitor the situation and will begin a phased resumption of full activity as conditions allow.</w:t>
      </w:r>
    </w:p>
    <w:p>
      <w:pPr>
        <w:spacing w:after="0" w:line="17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SLB revenue for the first quarter will be lower than expected, and the company expects to incur additional costs resulting in an impact of approximately 6-9 cents of earnings per diluted share for the first quarter. Given the dynamic nature of the environment, these factors could change, and we will continue to closely monitor developments and their impact.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Despite these near-term disruptions, SLB remains confident in the underlying resilience of its global business, including the Middle</w:t>
      </w:r>
    </w:p>
    <w:p>
      <w:pPr>
        <w:spacing w:after="0" w:line="1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East. The company has dealt with numerous geopolitical crises throughout its 100-year history and has deep experience navigating these challenges while remaining focused on serving its global customer base.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SLB</w:t>
      </w:r>
    </w:p>
    <w:p>
      <w:pPr>
        <w:spacing w:after="0" w:line="10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SLB (NYSE: SLB) is a global technology company that has driven energy innovation for 100 years. With a global footprint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slb.com/newsroom</w:t>
      </w:r>
    </w:p>
    <w:p>
      <w:pPr>
        <w:sectPr>
          <w:pgSz w:w="11900" w:h="16838" w:orient="portrait"/>
          <w:cols w:equalWidth="0" w:num="1">
            <w:col w:w="11020"/>
          </w:cols>
          <w:pgMar w:left="440" w:top="122" w:right="4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Media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-205740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5020" w:space="720"/>
            <w:col w:w="5240"/>
          </w:cols>
          <w:pgMar w:left="440" w:top="269" w:right="479" w:bottom="1440" w:gutter="0" w:footer="0" w:header="0"/>
        </w:sectPr>
      </w:pPr>
    </w:p>
    <w:p>
      <w:pPr>
        <w:spacing w:after="0"/>
        <w:rPr>
          <w:sz w:val="20"/>
          <w:szCs w:val="20"/>
          <w:color w:val="auto"/>
        </w:rPr>
      </w:pPr>
      <w:r>
        <w:rPr>
          <w:rFonts w:ascii="Arial" w:cs="Arial" w:eastAsia="Arial" w:hAnsi="Arial"/>
          <w:sz w:val="18"/>
          <w:szCs w:val="18"/>
          <w:color w:val="auto"/>
        </w:rPr>
        <w:t>Josh Byerly – SVP of Global Communications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Moira Duff – Director of External Communications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b w:val="1"/>
          <w:bCs w:val="1"/>
          <w:color w:val="auto"/>
        </w:rPr>
        <w:t>media@slb.com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James R. McDonald – SVP of Investor Relations &amp; Industry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Affairs</w:t>
      </w:r>
    </w:p>
    <w:p>
      <w:pPr>
        <w:spacing w:after="0" w:line="234" w:lineRule="auto"/>
        <w:rPr>
          <w:sz w:val="20"/>
          <w:szCs w:val="20"/>
          <w:color w:val="auto"/>
        </w:rPr>
      </w:pPr>
      <w:r>
        <w:rPr>
          <w:rFonts w:ascii="Arial" w:cs="Arial" w:eastAsia="Arial" w:hAnsi="Arial"/>
          <w:sz w:val="18"/>
          <w:szCs w:val="18"/>
          <w:color w:val="auto"/>
        </w:rPr>
        <w:t>Joy V. Domingo – Director of Investor Relations SLB</w:t>
      </w:r>
    </w:p>
    <w:p>
      <w:pPr>
        <w:spacing w:after="0" w:line="235"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investor-relations@slb.com</w:t>
      </w:r>
    </w:p>
    <w:p>
      <w:pPr>
        <w:spacing w:after="0" w:line="200" w:lineRule="exact"/>
        <w:rPr>
          <w:sz w:val="20"/>
          <w:szCs w:val="20"/>
          <w:color w:val="auto"/>
        </w:rPr>
      </w:pPr>
    </w:p>
    <w:p>
      <w:pPr>
        <w:sectPr>
          <w:pgSz w:w="11900" w:h="16838" w:orient="portrait"/>
          <w:cols w:equalWidth="0" w:num="2">
            <w:col w:w="5020" w:space="720"/>
            <w:col w:w="5240"/>
          </w:cols>
          <w:pgMar w:left="440" w:top="269" w:right="47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press release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future global economic and geopolitical conditions; future liquidity, including free cash flow; and future results of operations.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w:t>
      </w:r>
    </w:p>
    <w:p>
      <w:pPr>
        <w:spacing w:after="0" w:line="18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Statements in this press release furnished hereto are made as of the date hereof, and SLB disclaims any intention or obligation to update publicly or revise such statements, whether as a result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slb.com/newsroom</w:t>
      </w:r>
    </w:p>
    <w:sectPr>
      <w:pgSz w:w="11900" w:h="16838" w:orient="portrait"/>
      <w:cols w:equalWidth="0" w:num="1">
        <w:col w:w="10980"/>
      </w:cols>
      <w:pgMar w:left="440" w:top="269"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2026-03-11T07:15:42Z</dcterms:created>
  <dcterms:modified xsi:type="dcterms:W3CDTF">2026-03-11T07:15:42Z</dcterms:modified>
</cp:coreProperties>
</file>