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QUARTERLY REPORT UNDER SECTION 13 OR 15(d)</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March 31, 2003</w:t>
      </w:r>
    </w:p>
    <w:p>
      <w:pPr>
        <w:spacing w:after="0" w:line="15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(SCHLUMBERGER LIMITED)</w:t>
      </w:r>
    </w:p>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8" w:lineRule="exact"/>
        <w:rPr>
          <w:sz w:val="24"/>
          <w:szCs w:val="24"/>
          <w:color w:val="auto"/>
        </w:rPr>
      </w:pPr>
    </w:p>
    <w:tbl>
      <w:tblPr>
        <w:tblLayout w:type="fixed"/>
        <w:tblInd w:w="1460" w:type="dxa"/>
        <w:tblCellMar>
          <w:top w:w="0" w:type="dxa"/>
          <w:left w:w="0" w:type="dxa"/>
          <w:bottom w:w="0" w:type="dxa"/>
          <w:right w:w="0" w:type="dxa"/>
        </w:tblCellMar>
      </w:tblPr>
      <w:tr>
        <w:trPr>
          <w:trHeight w:val="218"/>
        </w:trPr>
        <w:tc>
          <w:tcPr>
            <w:tcW w:w="4640" w:type="dxa"/>
            <w:vAlign w:val="bottom"/>
          </w:tcPr>
          <w:p>
            <w:pPr>
              <w:jc w:val="center"/>
              <w:ind w:right="1938"/>
              <w:spacing w:after="0"/>
              <w:rPr>
                <w:sz w:val="20"/>
                <w:szCs w:val="20"/>
                <w:color w:val="auto"/>
              </w:rPr>
            </w:pPr>
            <w:r>
              <w:rPr>
                <w:rFonts w:ascii="Arial" w:cs="Arial" w:eastAsia="Arial" w:hAnsi="Arial"/>
                <w:sz w:val="18"/>
                <w:szCs w:val="18"/>
                <w:b w:val="1"/>
                <w:bCs w:val="1"/>
                <w:color w:val="auto"/>
                <w:w w:val="98"/>
              </w:rPr>
              <w:t>NETHERLANDS ANTILLES</w:t>
            </w:r>
          </w:p>
        </w:tc>
        <w:tc>
          <w:tcPr>
            <w:tcW w:w="3080" w:type="dxa"/>
            <w:vAlign w:val="bottom"/>
          </w:tcPr>
          <w:p>
            <w:pPr>
              <w:jc w:val="center"/>
              <w:ind w:left="19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640" w:type="dxa"/>
            <w:vAlign w:val="bottom"/>
          </w:tcPr>
          <w:p>
            <w:pPr>
              <w:jc w:val="center"/>
              <w:ind w:right="193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080" w:type="dxa"/>
            <w:vAlign w:val="bottom"/>
          </w:tcPr>
          <w:p>
            <w:pPr>
              <w:jc w:val="center"/>
              <w:ind w:left="194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40" w:type="dxa"/>
            <w:vAlign w:val="bottom"/>
          </w:tcPr>
          <w:p>
            <w:pPr>
              <w:jc w:val="center"/>
              <w:ind w:right="1938"/>
              <w:spacing w:after="0"/>
              <w:rPr>
                <w:sz w:val="20"/>
                <w:szCs w:val="20"/>
                <w:color w:val="auto"/>
              </w:rPr>
            </w:pPr>
            <w:r>
              <w:rPr>
                <w:rFonts w:ascii="Arial" w:cs="Arial" w:eastAsia="Arial" w:hAnsi="Arial"/>
                <w:sz w:val="14"/>
                <w:szCs w:val="14"/>
                <w:b w:val="1"/>
                <w:bCs w:val="1"/>
                <w:color w:val="auto"/>
                <w:w w:val="89"/>
              </w:rPr>
              <w:t>incorporation or organization)</w:t>
            </w:r>
          </w:p>
        </w:tc>
        <w:tc>
          <w:tcPr>
            <w:tcW w:w="3080" w:type="dxa"/>
            <w:vAlign w:val="bottom"/>
          </w:tcPr>
          <w:p>
            <w:pPr>
              <w:jc w:val="center"/>
              <w:ind w:left="1941"/>
              <w:spacing w:after="0"/>
              <w:rPr>
                <w:sz w:val="20"/>
                <w:szCs w:val="20"/>
                <w:color w:val="auto"/>
              </w:rPr>
            </w:pPr>
            <w:r>
              <w:rPr>
                <w:rFonts w:ascii="Arial" w:cs="Arial" w:eastAsia="Arial" w:hAnsi="Arial"/>
                <w:sz w:val="14"/>
                <w:szCs w:val="14"/>
                <w:b w:val="1"/>
                <w:bCs w:val="1"/>
                <w:color w:val="auto"/>
                <w:w w:val="89"/>
              </w:rPr>
              <w:t>Identification No.)</w:t>
            </w:r>
          </w:p>
        </w:tc>
      </w:tr>
      <w:tr>
        <w:trPr>
          <w:trHeight w:val="364"/>
        </w:trPr>
        <w:tc>
          <w:tcPr>
            <w:tcW w:w="4640" w:type="dxa"/>
            <w:vAlign w:val="bottom"/>
          </w:tcPr>
          <w:p>
            <w:pPr>
              <w:jc w:val="center"/>
              <w:ind w:right="1938"/>
              <w:spacing w:after="0"/>
              <w:rPr>
                <w:sz w:val="20"/>
                <w:szCs w:val="20"/>
                <w:color w:val="auto"/>
              </w:rPr>
            </w:pPr>
            <w:r>
              <w:rPr>
                <w:rFonts w:ascii="Arial" w:cs="Arial" w:eastAsia="Arial" w:hAnsi="Arial"/>
                <w:sz w:val="18"/>
                <w:szCs w:val="18"/>
                <w:b w:val="1"/>
                <w:bCs w:val="1"/>
                <w:color w:val="auto"/>
                <w:w w:val="91"/>
              </w:rPr>
              <w:t>153 EAST 53 STREET, 57th Floor</w:t>
            </w:r>
          </w:p>
        </w:tc>
        <w:tc>
          <w:tcPr>
            <w:tcW w:w="3080" w:type="dxa"/>
            <w:vAlign w:val="bottom"/>
          </w:tcPr>
          <w:p>
            <w:pPr>
              <w:spacing w:after="0"/>
              <w:rPr>
                <w:sz w:val="24"/>
                <w:szCs w:val="24"/>
                <w:color w:val="auto"/>
              </w:rPr>
            </w:pPr>
          </w:p>
        </w:tc>
      </w:tr>
      <w:tr>
        <w:trPr>
          <w:trHeight w:val="228"/>
        </w:trPr>
        <w:tc>
          <w:tcPr>
            <w:tcW w:w="4640" w:type="dxa"/>
            <w:vAlign w:val="bottom"/>
          </w:tcPr>
          <w:p>
            <w:pPr>
              <w:jc w:val="center"/>
              <w:ind w:right="1938"/>
              <w:spacing w:after="0"/>
              <w:rPr>
                <w:sz w:val="20"/>
                <w:szCs w:val="20"/>
                <w:color w:val="auto"/>
              </w:rPr>
            </w:pPr>
            <w:r>
              <w:rPr>
                <w:rFonts w:ascii="Arial" w:cs="Arial" w:eastAsia="Arial" w:hAnsi="Arial"/>
                <w:sz w:val="18"/>
                <w:szCs w:val="18"/>
                <w:b w:val="1"/>
                <w:bCs w:val="1"/>
                <w:color w:val="auto"/>
                <w:w w:val="96"/>
              </w:rPr>
              <w:t>NEW YORK, NEW YORK, U.S.A.</w:t>
            </w:r>
          </w:p>
        </w:tc>
        <w:tc>
          <w:tcPr>
            <w:tcW w:w="3080" w:type="dxa"/>
            <w:vAlign w:val="bottom"/>
          </w:tcPr>
          <w:p>
            <w:pPr>
              <w:jc w:val="center"/>
              <w:ind w:left="1921"/>
              <w:spacing w:after="0"/>
              <w:rPr>
                <w:sz w:val="20"/>
                <w:szCs w:val="20"/>
                <w:color w:val="auto"/>
              </w:rPr>
            </w:pPr>
            <w:r>
              <w:rPr>
                <w:rFonts w:ascii="Arial" w:cs="Arial" w:eastAsia="Arial" w:hAnsi="Arial"/>
                <w:sz w:val="18"/>
                <w:szCs w:val="18"/>
                <w:b w:val="1"/>
                <w:bCs w:val="1"/>
                <w:color w:val="auto"/>
                <w:w w:val="87"/>
              </w:rPr>
              <w:t>10022</w:t>
            </w:r>
          </w:p>
        </w:tc>
      </w:tr>
      <w:tr>
        <w:trPr>
          <w:trHeight w:val="379"/>
        </w:trPr>
        <w:tc>
          <w:tcPr>
            <w:tcW w:w="4640" w:type="dxa"/>
            <w:vAlign w:val="bottom"/>
          </w:tcPr>
          <w:p>
            <w:pPr>
              <w:jc w:val="center"/>
              <w:ind w:right="1938"/>
              <w:spacing w:after="0"/>
              <w:rPr>
                <w:sz w:val="20"/>
                <w:szCs w:val="20"/>
                <w:color w:val="auto"/>
              </w:rPr>
            </w:pPr>
            <w:r>
              <w:rPr>
                <w:rFonts w:ascii="Arial" w:cs="Arial" w:eastAsia="Arial" w:hAnsi="Arial"/>
                <w:sz w:val="18"/>
                <w:szCs w:val="18"/>
                <w:b w:val="1"/>
                <w:bCs w:val="1"/>
                <w:color w:val="auto"/>
                <w:w w:val="99"/>
              </w:rPr>
              <w:t>42 RUE SAINT-DOMINIQUE</w:t>
            </w:r>
          </w:p>
        </w:tc>
        <w:tc>
          <w:tcPr>
            <w:tcW w:w="3080" w:type="dxa"/>
            <w:vAlign w:val="bottom"/>
          </w:tcPr>
          <w:p>
            <w:pPr>
              <w:spacing w:after="0"/>
              <w:rPr>
                <w:sz w:val="24"/>
                <w:szCs w:val="24"/>
                <w:color w:val="auto"/>
              </w:rPr>
            </w:pPr>
          </w:p>
        </w:tc>
      </w:tr>
      <w:tr>
        <w:trPr>
          <w:trHeight w:val="228"/>
        </w:trPr>
        <w:tc>
          <w:tcPr>
            <w:tcW w:w="4640" w:type="dxa"/>
            <w:vAlign w:val="bottom"/>
          </w:tcPr>
          <w:p>
            <w:pPr>
              <w:jc w:val="center"/>
              <w:ind w:right="1938"/>
              <w:spacing w:after="0"/>
              <w:rPr>
                <w:sz w:val="20"/>
                <w:szCs w:val="20"/>
                <w:color w:val="auto"/>
              </w:rPr>
            </w:pPr>
            <w:r>
              <w:rPr>
                <w:rFonts w:ascii="Arial" w:cs="Arial" w:eastAsia="Arial" w:hAnsi="Arial"/>
                <w:sz w:val="18"/>
                <w:szCs w:val="18"/>
                <w:b w:val="1"/>
                <w:bCs w:val="1"/>
                <w:color w:val="auto"/>
                <w:w w:val="95"/>
              </w:rPr>
              <w:t>PARIS, FRANCE</w:t>
            </w:r>
          </w:p>
        </w:tc>
        <w:tc>
          <w:tcPr>
            <w:tcW w:w="3080" w:type="dxa"/>
            <w:vAlign w:val="bottom"/>
          </w:tcPr>
          <w:p>
            <w:pPr>
              <w:jc w:val="center"/>
              <w:ind w:left="1921"/>
              <w:spacing w:after="0"/>
              <w:rPr>
                <w:sz w:val="20"/>
                <w:szCs w:val="20"/>
                <w:color w:val="auto"/>
              </w:rPr>
            </w:pPr>
            <w:r>
              <w:rPr>
                <w:rFonts w:ascii="Arial" w:cs="Arial" w:eastAsia="Arial" w:hAnsi="Arial"/>
                <w:sz w:val="18"/>
                <w:szCs w:val="18"/>
                <w:b w:val="1"/>
                <w:bCs w:val="1"/>
                <w:color w:val="auto"/>
                <w:w w:val="87"/>
              </w:rPr>
              <w:t>75007</w:t>
            </w:r>
          </w:p>
        </w:tc>
      </w:tr>
      <w:tr>
        <w:trPr>
          <w:trHeight w:val="379"/>
        </w:trPr>
        <w:tc>
          <w:tcPr>
            <w:tcW w:w="4640" w:type="dxa"/>
            <w:vAlign w:val="bottom"/>
          </w:tcPr>
          <w:p>
            <w:pPr>
              <w:jc w:val="center"/>
              <w:ind w:right="1958"/>
              <w:spacing w:after="0"/>
              <w:rPr>
                <w:sz w:val="20"/>
                <w:szCs w:val="20"/>
                <w:color w:val="auto"/>
              </w:rPr>
            </w:pPr>
            <w:r>
              <w:rPr>
                <w:rFonts w:ascii="Arial" w:cs="Arial" w:eastAsia="Arial" w:hAnsi="Arial"/>
                <w:sz w:val="18"/>
                <w:szCs w:val="18"/>
                <w:b w:val="1"/>
                <w:bCs w:val="1"/>
                <w:color w:val="auto"/>
                <w:w w:val="94"/>
              </w:rPr>
              <w:t>PARKSTRAAT 83T</w:t>
            </w:r>
          </w:p>
        </w:tc>
        <w:tc>
          <w:tcPr>
            <w:tcW w:w="3080" w:type="dxa"/>
            <w:vAlign w:val="bottom"/>
          </w:tcPr>
          <w:p>
            <w:pPr>
              <w:spacing w:after="0"/>
              <w:rPr>
                <w:sz w:val="24"/>
                <w:szCs w:val="24"/>
                <w:color w:val="auto"/>
              </w:rPr>
            </w:pPr>
          </w:p>
        </w:tc>
      </w:tr>
      <w:tr>
        <w:trPr>
          <w:trHeight w:val="216"/>
        </w:trPr>
        <w:tc>
          <w:tcPr>
            <w:tcW w:w="4640" w:type="dxa"/>
            <w:vAlign w:val="bottom"/>
          </w:tcPr>
          <w:p>
            <w:pPr>
              <w:jc w:val="center"/>
              <w:ind w:right="1938"/>
              <w:spacing w:after="0"/>
              <w:rPr>
                <w:sz w:val="20"/>
                <w:szCs w:val="20"/>
                <w:color w:val="auto"/>
              </w:rPr>
            </w:pPr>
            <w:r>
              <w:rPr>
                <w:rFonts w:ascii="Arial" w:cs="Arial" w:eastAsia="Arial" w:hAnsi="Arial"/>
                <w:sz w:val="18"/>
                <w:szCs w:val="18"/>
                <w:b w:val="1"/>
                <w:bCs w:val="1"/>
                <w:color w:val="auto"/>
                <w:w w:val="99"/>
              </w:rPr>
              <w:t>THE HAGUE,</w:t>
            </w:r>
          </w:p>
        </w:tc>
        <w:tc>
          <w:tcPr>
            <w:tcW w:w="3080" w:type="dxa"/>
            <w:vAlign w:val="bottom"/>
          </w:tcPr>
          <w:p>
            <w:pPr>
              <w:spacing w:after="0"/>
              <w:rPr>
                <w:sz w:val="18"/>
                <w:szCs w:val="18"/>
                <w:color w:val="auto"/>
              </w:rPr>
            </w:pPr>
          </w:p>
        </w:tc>
      </w:tr>
      <w:tr>
        <w:trPr>
          <w:trHeight w:val="218"/>
        </w:trPr>
        <w:tc>
          <w:tcPr>
            <w:tcW w:w="4640" w:type="dxa"/>
            <w:vAlign w:val="bottom"/>
          </w:tcPr>
          <w:p>
            <w:pPr>
              <w:jc w:val="center"/>
              <w:ind w:right="1938"/>
              <w:spacing w:after="0"/>
              <w:rPr>
                <w:sz w:val="20"/>
                <w:szCs w:val="20"/>
                <w:color w:val="auto"/>
              </w:rPr>
            </w:pPr>
            <w:r>
              <w:rPr>
                <w:rFonts w:ascii="Arial" w:cs="Arial" w:eastAsia="Arial" w:hAnsi="Arial"/>
                <w:sz w:val="18"/>
                <w:szCs w:val="18"/>
                <w:b w:val="1"/>
                <w:bCs w:val="1"/>
                <w:color w:val="auto"/>
                <w:w w:val="98"/>
              </w:rPr>
              <w:t>THE NETHERLANDS</w:t>
            </w:r>
          </w:p>
        </w:tc>
        <w:tc>
          <w:tcPr>
            <w:tcW w:w="3080" w:type="dxa"/>
            <w:vAlign w:val="bottom"/>
          </w:tcPr>
          <w:p>
            <w:pPr>
              <w:jc w:val="center"/>
              <w:ind w:left="194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640" w:type="dxa"/>
            <w:vAlign w:val="bottom"/>
          </w:tcPr>
          <w:p>
            <w:pPr>
              <w:jc w:val="center"/>
              <w:ind w:right="193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080" w:type="dxa"/>
            <w:vAlign w:val="bottom"/>
          </w:tcPr>
          <w:p>
            <w:pPr>
              <w:jc w:val="center"/>
              <w:ind w:left="1921"/>
              <w:spacing w:after="0"/>
              <w:rPr>
                <w:sz w:val="20"/>
                <w:szCs w:val="20"/>
                <w:color w:val="auto"/>
              </w:rPr>
            </w:pPr>
            <w:r>
              <w:rPr>
                <w:rFonts w:ascii="Arial" w:cs="Arial" w:eastAsia="Arial" w:hAnsi="Arial"/>
                <w:sz w:val="14"/>
                <w:szCs w:val="14"/>
                <w:b w:val="1"/>
                <w:bCs w:val="1"/>
                <w:color w:val="auto"/>
                <w:w w:val="88"/>
              </w:rPr>
              <w:t>(Zip Codes)</w:t>
            </w:r>
          </w:p>
        </w:tc>
      </w:tr>
    </w:tbl>
    <w:p>
      <w:pPr>
        <w:spacing w:after="0" w:line="1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right="520" w:firstLine="456"/>
        <w:spacing w:after="0" w:line="230" w:lineRule="exact"/>
        <w:rPr>
          <w:sz w:val="20"/>
          <w:szCs w:val="20"/>
          <w:color w:val="auto"/>
        </w:rPr>
      </w:pPr>
      <w:r>
        <w:rPr>
          <w:rFonts w:ascii="Arial" w:cs="Arial" w:eastAsia="Arial" w:hAnsi="Arial"/>
          <w:sz w:val="16"/>
          <w:szCs w:val="16"/>
          <w:color w:val="auto"/>
        </w:rPr>
        <w:t xml:space="preserve">Indicate by check mark whether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560" w:type="dxa"/>
            <w:vAlign w:val="bottom"/>
          </w:tcPr>
          <w:p>
            <w:pPr>
              <w:spacing w:after="0"/>
              <w:rPr>
                <w:sz w:val="15"/>
                <w:szCs w:val="15"/>
                <w:color w:val="auto"/>
              </w:rPr>
            </w:pPr>
          </w:p>
        </w:tc>
        <w:tc>
          <w:tcPr>
            <w:tcW w:w="4900" w:type="dxa"/>
            <w:vAlign w:val="bottom"/>
            <w:gridSpan w:val="2"/>
          </w:tcPr>
          <w:p>
            <w:pPr>
              <w:jc w:val="center"/>
              <w:ind w:right="4480"/>
              <w:spacing w:after="0"/>
              <w:rPr>
                <w:sz w:val="20"/>
                <w:szCs w:val="20"/>
                <w:color w:val="auto"/>
              </w:rPr>
            </w:pPr>
            <w:r>
              <w:rPr>
                <w:rFonts w:ascii="Arial" w:cs="Arial" w:eastAsia="Arial" w:hAnsi="Arial"/>
                <w:sz w:val="14"/>
                <w:szCs w:val="14"/>
                <w:b w:val="1"/>
                <w:bCs w:val="1"/>
                <w:color w:val="auto"/>
                <w:w w:val="80"/>
              </w:rPr>
              <w:t>Class</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8"/>
              </w:rPr>
              <w:t>Outstanding at March 31, 2003</w:t>
            </w:r>
          </w:p>
        </w:tc>
        <w:tc>
          <w:tcPr>
            <w:tcW w:w="15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95"/>
        </w:trPr>
        <w:tc>
          <w:tcPr>
            <w:tcW w:w="25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316"/>
        </w:trPr>
        <w:tc>
          <w:tcPr>
            <w:tcW w:w="7460" w:type="dxa"/>
            <w:vAlign w:val="bottom"/>
            <w:gridSpan w:val="3"/>
          </w:tcPr>
          <w:p>
            <w:pPr>
              <w:jc w:val="center"/>
              <w:ind w:right="1920"/>
              <w:spacing w:after="0"/>
              <w:rPr>
                <w:sz w:val="20"/>
                <w:szCs w:val="20"/>
                <w:color w:val="auto"/>
              </w:rPr>
            </w:pPr>
            <w:r>
              <w:rPr>
                <w:rFonts w:ascii="Arial" w:cs="Arial" w:eastAsia="Arial" w:hAnsi="Arial"/>
                <w:sz w:val="18"/>
                <w:szCs w:val="18"/>
                <w:color w:val="auto"/>
                <w:w w:val="92"/>
              </w:rPr>
              <w:t>COMMON STOCK, $0.01 PAR VALUE</w:t>
            </w:r>
          </w:p>
        </w:tc>
        <w:tc>
          <w:tcPr>
            <w:tcW w:w="2380" w:type="dxa"/>
            <w:vAlign w:val="bottom"/>
          </w:tcPr>
          <w:p>
            <w:pPr>
              <w:jc w:val="right"/>
              <w:ind w:right="682"/>
              <w:spacing w:after="0"/>
              <w:rPr>
                <w:sz w:val="20"/>
                <w:szCs w:val="20"/>
                <w:color w:val="auto"/>
              </w:rPr>
            </w:pPr>
            <w:r>
              <w:rPr>
                <w:rFonts w:ascii="Arial" w:cs="Arial" w:eastAsia="Arial" w:hAnsi="Arial"/>
                <w:sz w:val="18"/>
                <w:szCs w:val="18"/>
                <w:color w:val="auto"/>
              </w:rPr>
              <w:t>582,275,917</w:t>
            </w: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2"/>
        </w:trPr>
        <w:tc>
          <w:tcPr>
            <w:tcW w:w="2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93"/>
        </w:trPr>
        <w:tc>
          <w:tcPr>
            <w:tcW w:w="2560" w:type="dxa"/>
            <w:vAlign w:val="bottom"/>
            <w:tcBorders>
              <w:bottom w:val="single" w:sz="8" w:color="999999"/>
            </w:tcBorders>
          </w:tcPr>
          <w:p>
            <w:pPr>
              <w:spacing w:after="0"/>
              <w:rPr>
                <w:sz w:val="24"/>
                <w:szCs w:val="24"/>
                <w:color w:val="auto"/>
              </w:rPr>
            </w:pPr>
          </w:p>
        </w:tc>
        <w:tc>
          <w:tcPr>
            <w:tcW w:w="440" w:type="dxa"/>
            <w:vAlign w:val="bottom"/>
            <w:tcBorders>
              <w:bottom w:val="single" w:sz="8" w:color="999999"/>
            </w:tcBorders>
          </w:tcPr>
          <w:p>
            <w:pPr>
              <w:spacing w:after="0"/>
              <w:rPr>
                <w:sz w:val="24"/>
                <w:szCs w:val="24"/>
                <w:color w:val="auto"/>
              </w:rPr>
            </w:pPr>
          </w:p>
        </w:tc>
        <w:tc>
          <w:tcPr>
            <w:tcW w:w="4460" w:type="dxa"/>
            <w:vAlign w:val="bottom"/>
            <w:tcBorders>
              <w:bottom w:val="single" w:sz="8" w:color="999999"/>
            </w:tcBorders>
          </w:tcPr>
          <w:p>
            <w:pPr>
              <w:spacing w:after="0"/>
              <w:rPr>
                <w:sz w:val="24"/>
                <w:szCs w:val="24"/>
                <w:color w:val="auto"/>
              </w:rPr>
            </w:pPr>
          </w:p>
        </w:tc>
        <w:tc>
          <w:tcPr>
            <w:tcW w:w="2380" w:type="dxa"/>
            <w:vAlign w:val="bottom"/>
            <w:tcBorders>
              <w:bottom w:val="single" w:sz="8" w:color="999999"/>
            </w:tcBorders>
          </w:tcPr>
          <w:p>
            <w:pPr>
              <w:spacing w:after="0"/>
              <w:rPr>
                <w:sz w:val="24"/>
                <w:szCs w:val="24"/>
                <w:color w:val="auto"/>
              </w:rPr>
            </w:pPr>
          </w:p>
        </w:tc>
        <w:tc>
          <w:tcPr>
            <w:tcW w:w="1580" w:type="dxa"/>
            <w:vAlign w:val="bottom"/>
            <w:tcBorders>
              <w:bottom w:val="single" w:sz="8" w:color="999999"/>
            </w:tcBorders>
          </w:tcPr>
          <w:p>
            <w:pPr>
              <w:spacing w:after="0"/>
              <w:rPr>
                <w:sz w:val="24"/>
                <w:szCs w:val="24"/>
                <w:color w:val="auto"/>
              </w:rPr>
            </w:pPr>
          </w:p>
        </w:tc>
        <w:tc>
          <w:tcPr>
            <w:tcW w:w="40" w:type="dxa"/>
            <w:vAlign w:val="bottom"/>
            <w:tcBorders>
              <w:bottom w:val="single" w:sz="8" w:color="999999"/>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-354965</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-354965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5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SCHLUMBERGER LIMITED</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(Stated in thousands except per share amounts)</w:t>
      </w:r>
    </w:p>
    <w:p>
      <w:pPr>
        <w:spacing w:after="0" w:line="148" w:lineRule="exact"/>
        <w:rPr>
          <w:sz w:val="24"/>
          <w:szCs w:val="24"/>
          <w:color w:val="auto"/>
        </w:rPr>
      </w:pPr>
    </w:p>
    <w:p>
      <w:pPr>
        <w:jc w:val="center"/>
        <w:ind w:left="9280"/>
        <w:spacing w:after="0"/>
        <w:rPr>
          <w:sz w:val="20"/>
          <w:szCs w:val="20"/>
          <w:color w:val="auto"/>
        </w:rPr>
      </w:pPr>
      <w:r>
        <w:rPr>
          <w:rFonts w:ascii="Arial" w:cs="Arial" w:eastAsia="Arial" w:hAnsi="Arial"/>
          <w:sz w:val="14"/>
          <w:szCs w:val="14"/>
          <w:color w:val="auto"/>
        </w:rPr>
        <w:t>Three Months Ended</w:t>
      </w:r>
    </w:p>
    <w:p>
      <w:pPr>
        <w:jc w:val="center"/>
        <w:ind w:left="9280"/>
        <w:spacing w:after="0"/>
        <w:rPr>
          <w:sz w:val="20"/>
          <w:szCs w:val="20"/>
          <w:color w:val="auto"/>
        </w:rPr>
      </w:pPr>
      <w:r>
        <w:rPr>
          <w:rFonts w:ascii="Arial" w:cs="Arial" w:eastAsia="Arial" w:hAnsi="Arial"/>
          <w:sz w:val="14"/>
          <w:szCs w:val="14"/>
          <w:color w:val="auto"/>
        </w:rPr>
        <w:t>March 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5939790</wp:posOffset>
            </wp:positionH>
            <wp:positionV relativeFrom="paragraph">
              <wp:posOffset>59690</wp:posOffset>
            </wp:positionV>
            <wp:extent cx="1260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5700" w:type="dxa"/>
            <w:vAlign w:val="bottom"/>
          </w:tcPr>
          <w:p>
            <w:pPr>
              <w:spacing w:after="0"/>
              <w:rPr>
                <w:sz w:val="14"/>
                <w:szCs w:val="14"/>
                <w:color w:val="auto"/>
              </w:rPr>
            </w:pPr>
          </w:p>
        </w:tc>
        <w:tc>
          <w:tcPr>
            <w:tcW w:w="4480" w:type="dxa"/>
            <w:vAlign w:val="bottom"/>
            <w:gridSpan w:val="2"/>
          </w:tcPr>
          <w:p>
            <w:pPr>
              <w:jc w:val="right"/>
              <w:ind w:right="280"/>
              <w:spacing w:after="0"/>
              <w:rPr>
                <w:sz w:val="20"/>
                <w:szCs w:val="20"/>
                <w:color w:val="auto"/>
              </w:rPr>
            </w:pPr>
            <w:r>
              <w:rPr>
                <w:rFonts w:ascii="Arial" w:cs="Arial" w:eastAsia="Arial" w:hAnsi="Arial"/>
                <w:sz w:val="14"/>
                <w:szCs w:val="14"/>
                <w:color w:val="auto"/>
              </w:rPr>
              <w:t>2003</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14"/>
                <w:szCs w:val="14"/>
                <w:color w:val="auto"/>
              </w:rPr>
            </w:pPr>
          </w:p>
        </w:tc>
      </w:tr>
      <w:tr>
        <w:trPr>
          <w:trHeight w:val="95"/>
        </w:trPr>
        <w:tc>
          <w:tcPr>
            <w:tcW w:w="57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57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color w:val="auto"/>
              </w:rPr>
              <w:t>Operating</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$ 3,343,344</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$ 3,256,198</w:t>
            </w:r>
          </w:p>
        </w:tc>
      </w:tr>
      <w:tr>
        <w:trPr>
          <w:trHeight w:val="216"/>
        </w:trPr>
        <w:tc>
          <w:tcPr>
            <w:tcW w:w="5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&amp; other income</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29,658</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33,837</w:t>
            </w:r>
          </w:p>
        </w:tc>
      </w:tr>
      <w:tr>
        <w:trPr>
          <w:trHeight w:val="108"/>
        </w:trPr>
        <w:tc>
          <w:tcPr>
            <w:tcW w:w="57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57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70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3,373,002</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3,290,035</w:t>
            </w:r>
          </w:p>
        </w:tc>
      </w:tr>
      <w:tr>
        <w:trPr>
          <w:trHeight w:val="108"/>
        </w:trPr>
        <w:tc>
          <w:tcPr>
            <w:tcW w:w="57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5700" w:type="dxa"/>
            <w:vAlign w:val="bottom"/>
          </w:tcPr>
          <w:p>
            <w:pPr>
              <w:spacing w:after="0"/>
              <w:rPr>
                <w:sz w:val="8"/>
                <w:szCs w:val="8"/>
                <w:color w:val="auto"/>
              </w:rPr>
            </w:pPr>
          </w:p>
        </w:tc>
        <w:tc>
          <w:tcPr>
            <w:tcW w:w="3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ectPr>
          <w:pgSz w:w="11900" w:h="16838" w:orient="portrait"/>
          <w:cols w:equalWidth="0" w:num="1">
            <w:col w:w="11460"/>
          </w:cols>
          <w:pgMar w:left="240" w:top="760" w:right="19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560" w:type="dxa"/>
            <w:vAlign w:val="bottom"/>
            <w:gridSpan w:val="7"/>
          </w:tcPr>
          <w:p>
            <w:pPr>
              <w:ind w:left="360"/>
              <w:spacing w:after="0"/>
              <w:rPr>
                <w:sz w:val="20"/>
                <w:szCs w:val="20"/>
                <w:color w:val="auto"/>
              </w:rPr>
            </w:pPr>
            <w:r>
              <w:rPr>
                <w:rFonts w:ascii="Arial" w:cs="Arial" w:eastAsia="Arial" w:hAnsi="Arial"/>
                <w:sz w:val="18"/>
                <w:szCs w:val="18"/>
                <w:color w:val="auto"/>
              </w:rPr>
              <w:t>Cost of goods sold &amp; services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2,650,073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2,561,594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7"/>
        </w:trPr>
        <w:tc>
          <w:tcPr>
            <w:tcW w:w="20" w:type="dxa"/>
            <w:vAlign w:val="bottom"/>
            <w:shd w:val="clear" w:color="auto" w:fill="CCEEFF"/>
          </w:tcPr>
          <w:p>
            <w:pPr>
              <w:spacing w:after="0"/>
              <w:rPr>
                <w:sz w:val="18"/>
                <w:szCs w:val="18"/>
                <w:color w:val="auto"/>
              </w:rPr>
            </w:pPr>
          </w:p>
        </w:tc>
        <w:tc>
          <w:tcPr>
            <w:tcW w:w="856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Research &amp; engineering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162,362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159,658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7"/>
          </w:tcPr>
          <w:p>
            <w:pPr>
              <w:ind w:left="360"/>
              <w:spacing w:after="0"/>
              <w:rPr>
                <w:sz w:val="20"/>
                <w:szCs w:val="20"/>
                <w:color w:val="auto"/>
              </w:rPr>
            </w:pPr>
            <w:r>
              <w:rPr>
                <w:rFonts w:ascii="Arial" w:cs="Arial" w:eastAsia="Arial" w:hAnsi="Arial"/>
                <w:sz w:val="18"/>
                <w:szCs w:val="18"/>
                <w:color w:val="auto"/>
              </w:rPr>
              <w:t>Marketing</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94,562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95,585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856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General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159,231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160,631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560" w:type="dxa"/>
            <w:vAlign w:val="bottom"/>
            <w:gridSpan w:val="7"/>
          </w:tcPr>
          <w:p>
            <w:pPr>
              <w:ind w:left="360"/>
              <w:spacing w:after="0"/>
              <w:rPr>
                <w:sz w:val="20"/>
                <w:szCs w:val="20"/>
                <w:color w:val="auto"/>
              </w:rPr>
            </w:pPr>
            <w:r>
              <w:rPr>
                <w:rFonts w:ascii="Arial" w:cs="Arial" w:eastAsia="Arial" w:hAnsi="Arial"/>
                <w:sz w:val="18"/>
                <w:szCs w:val="18"/>
                <w:color w:val="auto"/>
              </w:rPr>
              <w:t>Interest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92,863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82,253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3,159,091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3,059,721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85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taxes and minority interest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213,911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230,314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560" w:type="dxa"/>
            <w:vAlign w:val="bottom"/>
            <w:gridSpan w:val="7"/>
          </w:tcPr>
          <w:p>
            <w:pPr>
              <w:ind w:left="360"/>
              <w:spacing w:after="0"/>
              <w:rPr>
                <w:sz w:val="20"/>
                <w:szCs w:val="20"/>
                <w:color w:val="auto"/>
              </w:rPr>
            </w:pPr>
            <w:r>
              <w:rPr>
                <w:rFonts w:ascii="Arial" w:cs="Arial" w:eastAsia="Arial" w:hAnsi="Arial"/>
                <w:sz w:val="18"/>
                <w:szCs w:val="18"/>
                <w:color w:val="auto"/>
              </w:rPr>
              <w:t>Taxes on income</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68,998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63,972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9"/>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8580" w:type="dxa"/>
            <w:vAlign w:val="bottom"/>
            <w:gridSpan w:val="8"/>
          </w:tcPr>
          <w:p>
            <w:pPr>
              <w:ind w:left="20"/>
              <w:spacing w:after="0"/>
              <w:rPr>
                <w:sz w:val="20"/>
                <w:szCs w:val="20"/>
                <w:color w:val="auto"/>
              </w:rPr>
            </w:pPr>
            <w:r>
              <w:rPr>
                <w:rFonts w:ascii="Arial" w:cs="Arial" w:eastAsia="Arial" w:hAnsi="Arial"/>
                <w:sz w:val="18"/>
                <w:szCs w:val="18"/>
                <w:color w:val="auto"/>
              </w:rPr>
              <w:t>Income from Continuing Operations before minority interest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144,913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166,342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856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Minority interest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(6,494)</w:t>
            </w:r>
          </w:p>
        </w:tc>
        <w:tc>
          <w:tcPr>
            <w:tcW w:w="40" w:type="dxa"/>
            <w:vAlign w:val="bottom"/>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85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149,162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159,848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8580" w:type="dxa"/>
            <w:vAlign w:val="bottom"/>
            <w:gridSpan w:val="8"/>
          </w:tcPr>
          <w:p>
            <w:pPr>
              <w:ind w:left="20"/>
              <w:spacing w:after="0"/>
              <w:rPr>
                <w:sz w:val="20"/>
                <w:szCs w:val="20"/>
                <w:color w:val="auto"/>
              </w:rPr>
            </w:pPr>
            <w:r>
              <w:rPr>
                <w:rFonts w:ascii="Arial" w:cs="Arial" w:eastAsia="Arial" w:hAnsi="Arial"/>
                <w:sz w:val="18"/>
                <w:szCs w:val="18"/>
                <w:color w:val="auto"/>
              </w:rPr>
              <w:t>Income from Discontinued Operations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85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4"/>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149,162</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172,472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85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7"/>
          </w:tcPr>
          <w:p>
            <w:pPr>
              <w:ind w:left="360"/>
              <w:spacing w:after="0"/>
              <w:rPr>
                <w:sz w:val="20"/>
                <w:szCs w:val="20"/>
                <w:color w:val="auto"/>
              </w:rPr>
            </w:pPr>
            <w:r>
              <w:rPr>
                <w:rFonts w:ascii="Arial" w:cs="Arial" w:eastAsia="Arial" w:hAnsi="Arial"/>
                <w:sz w:val="18"/>
                <w:szCs w:val="18"/>
                <w:color w:val="auto"/>
              </w:rPr>
              <w:t>Income from Continuing operations</w:t>
            </w:r>
          </w:p>
        </w:tc>
        <w:tc>
          <w:tcPr>
            <w:tcW w:w="860" w:type="dxa"/>
            <w:vAlign w:val="bottom"/>
            <w:gridSpan w:val="4"/>
          </w:tcPr>
          <w:p>
            <w:pPr>
              <w:ind w:left="78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856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Income from Discontinued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856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860" w:type="dxa"/>
            <w:vAlign w:val="bottom"/>
            <w:gridSpan w:val="4"/>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85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7"/>
          </w:tcPr>
          <w:p>
            <w:pPr>
              <w:ind w:left="360"/>
              <w:spacing w:after="0"/>
              <w:rPr>
                <w:sz w:val="20"/>
                <w:szCs w:val="20"/>
                <w:color w:val="auto"/>
              </w:rPr>
            </w:pPr>
            <w:r>
              <w:rPr>
                <w:rFonts w:ascii="Arial" w:cs="Arial" w:eastAsia="Arial" w:hAnsi="Arial"/>
                <w:sz w:val="18"/>
                <w:szCs w:val="18"/>
                <w:color w:val="auto"/>
              </w:rPr>
              <w:t>Income from Continuing operations</w:t>
            </w:r>
          </w:p>
        </w:tc>
        <w:tc>
          <w:tcPr>
            <w:tcW w:w="860" w:type="dxa"/>
            <w:vAlign w:val="bottom"/>
            <w:gridSpan w:val="4"/>
          </w:tcPr>
          <w:p>
            <w:pPr>
              <w:ind w:left="78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856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Income from Discontinued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856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860" w:type="dxa"/>
            <w:vAlign w:val="bottom"/>
            <w:gridSpan w:val="4"/>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85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Average shares outstanding: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7"/>
          </w:tcPr>
          <w:p>
            <w:pPr>
              <w:ind w:left="360"/>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582,209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576,306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856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Assuming dilution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583,981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581,104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200" w:type="dxa"/>
            <w:vAlign w:val="bottom"/>
            <w:gridSpan w:val="5"/>
          </w:tcPr>
          <w:p>
            <w:pPr>
              <w:jc w:val="center"/>
              <w:ind w:right="540"/>
              <w:spacing w:after="0"/>
              <w:rPr>
                <w:sz w:val="20"/>
                <w:szCs w:val="20"/>
                <w:color w:val="auto"/>
              </w:rPr>
            </w:pPr>
            <w:r>
              <w:rPr>
                <w:rFonts w:ascii="Arial" w:cs="Arial" w:eastAsia="Arial" w:hAnsi="Arial"/>
                <w:sz w:val="18"/>
                <w:szCs w:val="18"/>
                <w:color w:val="auto"/>
                <w:w w:val="87"/>
              </w:rPr>
              <w:t>See Notes to Consolidated Financial Statements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6880" w:type="dxa"/>
            <w:vAlign w:val="bottom"/>
            <w:gridSpan w:val="6"/>
          </w:tcPr>
          <w:p>
            <w:pPr>
              <w:jc w:val="center"/>
              <w:ind w:left="4472"/>
              <w:spacing w:after="0"/>
              <w:rPr>
                <w:sz w:val="20"/>
                <w:szCs w:val="20"/>
                <w:color w:val="auto"/>
              </w:rPr>
            </w:pPr>
            <w:r>
              <w:rPr>
                <w:rFonts w:ascii="Arial" w:cs="Arial" w:eastAsia="Arial" w:hAnsi="Arial"/>
                <w:sz w:val="18"/>
                <w:szCs w:val="18"/>
                <w:color w:val="auto"/>
                <w:w w:val="90"/>
              </w:rPr>
              <w:t>-2-</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2"/>
        </w:trPr>
        <w:tc>
          <w:tcPr>
            <w:tcW w:w="20" w:type="dxa"/>
            <w:vAlign w:val="bottom"/>
            <w:tcBorders>
              <w:bottom w:val="single" w:sz="8" w:color="999999"/>
            </w:tcBorders>
          </w:tcPr>
          <w:p>
            <w:pPr>
              <w:spacing w:after="0"/>
              <w:rPr>
                <w:sz w:val="21"/>
                <w:szCs w:val="21"/>
                <w:color w:val="auto"/>
              </w:rPr>
            </w:pPr>
          </w:p>
        </w:tc>
        <w:tc>
          <w:tcPr>
            <w:tcW w:w="620" w:type="dxa"/>
            <w:vAlign w:val="bottom"/>
            <w:tcBorders>
              <w:bottom w:val="single" w:sz="8" w:color="999999"/>
            </w:tcBorders>
          </w:tcPr>
          <w:p>
            <w:pPr>
              <w:spacing w:after="0"/>
              <w:rPr>
                <w:sz w:val="21"/>
                <w:szCs w:val="21"/>
                <w:color w:val="auto"/>
              </w:rPr>
            </w:pPr>
          </w:p>
        </w:tc>
        <w:tc>
          <w:tcPr>
            <w:tcW w:w="2740" w:type="dxa"/>
            <w:vAlign w:val="bottom"/>
            <w:tcBorders>
              <w:bottom w:val="single" w:sz="8" w:color="999999"/>
            </w:tcBorders>
          </w:tcPr>
          <w:p>
            <w:pPr>
              <w:spacing w:after="0"/>
              <w:rPr>
                <w:sz w:val="21"/>
                <w:szCs w:val="21"/>
                <w:color w:val="auto"/>
              </w:rPr>
            </w:pPr>
          </w:p>
        </w:tc>
        <w:tc>
          <w:tcPr>
            <w:tcW w:w="860" w:type="dxa"/>
            <w:vAlign w:val="bottom"/>
            <w:tcBorders>
              <w:bottom w:val="single" w:sz="8" w:color="999999"/>
            </w:tcBorders>
          </w:tcPr>
          <w:p>
            <w:pPr>
              <w:spacing w:after="0"/>
              <w:rPr>
                <w:sz w:val="21"/>
                <w:szCs w:val="21"/>
                <w:color w:val="auto"/>
              </w:rPr>
            </w:pPr>
          </w:p>
        </w:tc>
        <w:tc>
          <w:tcPr>
            <w:tcW w:w="300" w:type="dxa"/>
            <w:vAlign w:val="bottom"/>
            <w:tcBorders>
              <w:bottom w:val="single" w:sz="8" w:color="999999"/>
            </w:tcBorders>
          </w:tcPr>
          <w:p>
            <w:pPr>
              <w:spacing w:after="0"/>
              <w:rPr>
                <w:sz w:val="21"/>
                <w:szCs w:val="21"/>
                <w:color w:val="auto"/>
              </w:rPr>
            </w:pPr>
          </w:p>
        </w:tc>
        <w:tc>
          <w:tcPr>
            <w:tcW w:w="2340" w:type="dxa"/>
            <w:vAlign w:val="bottom"/>
            <w:tcBorders>
              <w:bottom w:val="single" w:sz="8" w:color="999999"/>
            </w:tcBorders>
          </w:tcPr>
          <w:p>
            <w:pPr>
              <w:spacing w:after="0"/>
              <w:rPr>
                <w:sz w:val="21"/>
                <w:szCs w:val="21"/>
                <w:color w:val="auto"/>
              </w:rPr>
            </w:pPr>
          </w:p>
        </w:tc>
        <w:tc>
          <w:tcPr>
            <w:tcW w:w="300" w:type="dxa"/>
            <w:vAlign w:val="bottom"/>
            <w:tcBorders>
              <w:bottom w:val="single" w:sz="8" w:color="999999"/>
            </w:tcBorders>
          </w:tcPr>
          <w:p>
            <w:pPr>
              <w:spacing w:after="0"/>
              <w:rPr>
                <w:sz w:val="21"/>
                <w:szCs w:val="21"/>
                <w:color w:val="auto"/>
              </w:rPr>
            </w:pPr>
          </w:p>
        </w:tc>
        <w:tc>
          <w:tcPr>
            <w:tcW w:w="1400" w:type="dxa"/>
            <w:vAlign w:val="bottom"/>
            <w:tcBorders>
              <w:bottom w:val="single" w:sz="8" w:color="999999"/>
            </w:tcBorders>
          </w:tcPr>
          <w:p>
            <w:pPr>
              <w:spacing w:after="0"/>
              <w:rPr>
                <w:sz w:val="21"/>
                <w:szCs w:val="21"/>
                <w:color w:val="auto"/>
              </w:rPr>
            </w:pPr>
          </w:p>
        </w:tc>
        <w:tc>
          <w:tcPr>
            <w:tcW w:w="540" w:type="dxa"/>
            <w:vAlign w:val="bottom"/>
            <w:tcBorders>
              <w:bottom w:val="single" w:sz="8" w:color="999999"/>
            </w:tcBorders>
          </w:tcPr>
          <w:p>
            <w:pPr>
              <w:spacing w:after="0"/>
              <w:rPr>
                <w:sz w:val="21"/>
                <w:szCs w:val="21"/>
                <w:color w:val="auto"/>
              </w:rPr>
            </w:pPr>
          </w:p>
        </w:tc>
        <w:tc>
          <w:tcPr>
            <w:tcW w:w="100" w:type="dxa"/>
            <w:vAlign w:val="bottom"/>
            <w:tcBorders>
              <w:bottom w:val="single" w:sz="8" w:color="999999"/>
            </w:tcBorders>
          </w:tcPr>
          <w:p>
            <w:pPr>
              <w:spacing w:after="0"/>
              <w:rPr>
                <w:sz w:val="21"/>
                <w:szCs w:val="21"/>
                <w:color w:val="auto"/>
              </w:rPr>
            </w:pPr>
          </w:p>
        </w:tc>
        <w:tc>
          <w:tcPr>
            <w:tcW w:w="140" w:type="dxa"/>
            <w:vAlign w:val="bottom"/>
            <w:tcBorders>
              <w:bottom w:val="single" w:sz="8" w:color="999999"/>
            </w:tcBorders>
          </w:tcPr>
          <w:p>
            <w:pPr>
              <w:spacing w:after="0"/>
              <w:rPr>
                <w:sz w:val="21"/>
                <w:szCs w:val="21"/>
                <w:color w:val="auto"/>
              </w:rPr>
            </w:pPr>
          </w:p>
        </w:tc>
        <w:tc>
          <w:tcPr>
            <w:tcW w:w="80" w:type="dxa"/>
            <w:vAlign w:val="bottom"/>
            <w:tcBorders>
              <w:bottom w:val="single" w:sz="8" w:color="999999"/>
            </w:tcBorders>
          </w:tcPr>
          <w:p>
            <w:pPr>
              <w:spacing w:after="0"/>
              <w:rPr>
                <w:sz w:val="21"/>
                <w:szCs w:val="21"/>
                <w:color w:val="auto"/>
              </w:rPr>
            </w:pPr>
          </w:p>
        </w:tc>
        <w:tc>
          <w:tcPr>
            <w:tcW w:w="580" w:type="dxa"/>
            <w:vAlign w:val="bottom"/>
            <w:tcBorders>
              <w:bottom w:val="single" w:sz="8" w:color="999999"/>
            </w:tcBorders>
          </w:tcPr>
          <w:p>
            <w:pPr>
              <w:spacing w:after="0"/>
              <w:rPr>
                <w:sz w:val="21"/>
                <w:szCs w:val="21"/>
                <w:color w:val="auto"/>
              </w:rPr>
            </w:pPr>
          </w:p>
        </w:tc>
        <w:tc>
          <w:tcPr>
            <w:tcW w:w="160" w:type="dxa"/>
            <w:vAlign w:val="bottom"/>
            <w:tcBorders>
              <w:bottom w:val="single" w:sz="8" w:color="999999"/>
            </w:tcBorders>
          </w:tcPr>
          <w:p>
            <w:pPr>
              <w:spacing w:after="0"/>
              <w:rPr>
                <w:sz w:val="21"/>
                <w:szCs w:val="21"/>
                <w:color w:val="auto"/>
              </w:rPr>
            </w:pPr>
          </w:p>
        </w:tc>
        <w:tc>
          <w:tcPr>
            <w:tcW w:w="260" w:type="dxa"/>
            <w:vAlign w:val="bottom"/>
            <w:tcBorders>
              <w:bottom w:val="single" w:sz="8" w:color="999999"/>
            </w:tcBorders>
          </w:tcPr>
          <w:p>
            <w:pPr>
              <w:spacing w:after="0"/>
              <w:rPr>
                <w:sz w:val="21"/>
                <w:szCs w:val="21"/>
                <w:color w:val="auto"/>
              </w:rPr>
            </w:pPr>
          </w:p>
        </w:tc>
        <w:tc>
          <w:tcPr>
            <w:tcW w:w="80" w:type="dxa"/>
            <w:vAlign w:val="bottom"/>
            <w:tcBorders>
              <w:bottom w:val="single" w:sz="8" w:color="999999"/>
            </w:tcBorders>
          </w:tcPr>
          <w:p>
            <w:pPr>
              <w:spacing w:after="0"/>
              <w:rPr>
                <w:sz w:val="21"/>
                <w:szCs w:val="21"/>
                <w:color w:val="auto"/>
              </w:rPr>
            </w:pPr>
          </w:p>
        </w:tc>
        <w:tc>
          <w:tcPr>
            <w:tcW w:w="100" w:type="dxa"/>
            <w:vAlign w:val="bottom"/>
            <w:tcBorders>
              <w:bottom w:val="single" w:sz="8" w:color="999999"/>
            </w:tcBorders>
          </w:tcPr>
          <w:p>
            <w:pPr>
              <w:spacing w:after="0"/>
              <w:rPr>
                <w:sz w:val="21"/>
                <w:szCs w:val="21"/>
                <w:color w:val="auto"/>
              </w:rPr>
            </w:pPr>
          </w:p>
        </w:tc>
        <w:tc>
          <w:tcPr>
            <w:tcW w:w="720" w:type="dxa"/>
            <w:vAlign w:val="bottom"/>
            <w:tcBorders>
              <w:bottom w:val="single" w:sz="8" w:color="999999"/>
            </w:tcBorders>
          </w:tcPr>
          <w:p>
            <w:pPr>
              <w:spacing w:after="0"/>
              <w:rPr>
                <w:sz w:val="21"/>
                <w:szCs w:val="21"/>
                <w:color w:val="auto"/>
              </w:rPr>
            </w:pPr>
          </w:p>
        </w:tc>
        <w:tc>
          <w:tcPr>
            <w:tcW w:w="80" w:type="dxa"/>
            <w:vAlign w:val="bottom"/>
            <w:tcBorders>
              <w:bottom w:val="single" w:sz="8" w:color="999999"/>
            </w:tcBorders>
          </w:tcPr>
          <w:p>
            <w:pPr>
              <w:spacing w:after="0"/>
              <w:rPr>
                <w:sz w:val="21"/>
                <w:szCs w:val="21"/>
                <w:color w:val="auto"/>
              </w:rPr>
            </w:pPr>
          </w:p>
        </w:tc>
        <w:tc>
          <w:tcPr>
            <w:tcW w:w="40" w:type="dxa"/>
            <w:vAlign w:val="bottom"/>
            <w:tcBorders>
              <w:bottom w:val="single" w:sz="8" w:color="999999"/>
            </w:tcBorders>
          </w:tcPr>
          <w:p>
            <w:pPr>
              <w:spacing w:after="0"/>
              <w:rPr>
                <w:sz w:val="21"/>
                <w:szCs w:val="21"/>
                <w:color w:val="auto"/>
              </w:rPr>
            </w:pPr>
          </w:p>
        </w:tc>
      </w:tr>
      <w:tr>
        <w:trPr>
          <w:trHeight w:val="42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4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rPr>
              <w:t>SCHLUMBERGER LIMITED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40" w:type="dxa"/>
            <w:vAlign w:val="bottom"/>
            <w:gridSpan w:val="6"/>
          </w:tcPr>
          <w:p>
            <w:pPr>
              <w:jc w:val="center"/>
              <w:ind w:left="2132"/>
              <w:spacing w:after="0"/>
              <w:rPr>
                <w:sz w:val="20"/>
                <w:szCs w:val="20"/>
                <w:color w:val="auto"/>
              </w:rPr>
            </w:pPr>
            <w:r>
              <w:rPr>
                <w:rFonts w:ascii="Arial" w:cs="Arial" w:eastAsia="Arial" w:hAnsi="Arial"/>
                <w:sz w:val="18"/>
                <w:szCs w:val="18"/>
                <w:b w:val="1"/>
                <w:bCs w:val="1"/>
                <w:color w:val="auto"/>
                <w:w w:val="89"/>
              </w:rPr>
              <w:t>(Schlumberger N.V., Incorporated in the Netherlands Antilles)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4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w w:val="87"/>
              </w:rPr>
              <w:t>and Subsidiary Companies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34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7"/>
              </w:rPr>
              <w:t>CONSOLIDATED BALANCE SHEET</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0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7"/>
          </w:tcPr>
          <w:p>
            <w:pPr>
              <w:jc w:val="right"/>
              <w:ind w:right="620"/>
              <w:spacing w:after="0"/>
              <w:rPr>
                <w:sz w:val="20"/>
                <w:szCs w:val="20"/>
                <w:color w:val="auto"/>
              </w:rPr>
            </w:pPr>
            <w:r>
              <w:rPr>
                <w:rFonts w:ascii="Arial" w:cs="Arial" w:eastAsia="Arial" w:hAnsi="Arial"/>
                <w:sz w:val="14"/>
                <w:szCs w:val="14"/>
                <w:i w:val="1"/>
                <w:iCs w:val="1"/>
                <w:color w:val="auto"/>
              </w:rPr>
              <w:t>(Stated in thousands)</w:t>
            </w:r>
          </w:p>
        </w:tc>
        <w:tc>
          <w:tcPr>
            <w:tcW w:w="4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Mar. 31,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Dec. 31,</w:t>
            </w:r>
          </w:p>
        </w:tc>
        <w:tc>
          <w:tcPr>
            <w:tcW w:w="4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213"/>
              <w:spacing w:after="0"/>
              <w:rPr>
                <w:sz w:val="20"/>
                <w:szCs w:val="20"/>
                <w:color w:val="auto"/>
              </w:rPr>
            </w:pPr>
            <w:r>
              <w:rPr>
                <w:rFonts w:ascii="Arial" w:cs="Arial" w:eastAsia="Arial" w:hAnsi="Arial"/>
                <w:sz w:val="14"/>
                <w:szCs w:val="14"/>
                <w:b w:val="1"/>
                <w:bCs w:val="1"/>
                <w:color w:val="auto"/>
                <w:w w:val="83"/>
              </w:rPr>
              <w:t>2003</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(Unaudited)</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76"/>
        </w:trPr>
        <w:tc>
          <w:tcPr>
            <w:tcW w:w="858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auto"/>
              </w:rPr>
              <w:t>ASSETS</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8580" w:type="dxa"/>
            <w:vAlign w:val="bottom"/>
            <w:gridSpan w:val="8"/>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5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145,506</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580" w:type="dxa"/>
            <w:vAlign w:val="bottom"/>
            <w:gridSpan w:val="8"/>
          </w:tcPr>
          <w:p>
            <w:pPr>
              <w:ind w:left="20"/>
              <w:spacing w:after="0"/>
              <w:rPr>
                <w:sz w:val="20"/>
                <w:szCs w:val="20"/>
                <w:color w:val="auto"/>
              </w:rPr>
            </w:pPr>
            <w:r>
              <w:rPr>
                <w:rFonts w:ascii="Arial" w:cs="Arial" w:eastAsia="Arial" w:hAnsi="Arial"/>
                <w:sz w:val="18"/>
                <w:szCs w:val="18"/>
                <w:color w:val="auto"/>
              </w:rPr>
              <w:t>Short-term Investments</w:t>
            </w:r>
          </w:p>
        </w:tc>
        <w:tc>
          <w:tcPr>
            <w:tcW w:w="1600" w:type="dxa"/>
            <w:vAlign w:val="bottom"/>
            <w:gridSpan w:val="6"/>
          </w:tcPr>
          <w:p>
            <w:pPr>
              <w:jc w:val="right"/>
              <w:ind w:right="160"/>
              <w:spacing w:after="0"/>
              <w:rPr>
                <w:sz w:val="20"/>
                <w:szCs w:val="20"/>
                <w:color w:val="auto"/>
              </w:rPr>
            </w:pPr>
            <w:r>
              <w:rPr>
                <w:rFonts w:ascii="Arial" w:cs="Arial" w:eastAsia="Arial" w:hAnsi="Arial"/>
                <w:sz w:val="18"/>
                <w:szCs w:val="18"/>
                <w:color w:val="auto"/>
              </w:rPr>
              <w:t>1,324,767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1,567,906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5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Receivables less allowance for doubtful accounts (2003—$169,002; 2002—$172,871)</w:t>
            </w:r>
          </w:p>
        </w:tc>
        <w:tc>
          <w:tcPr>
            <w:tcW w:w="16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3,657,754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3,489,406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580" w:type="dxa"/>
            <w:vAlign w:val="bottom"/>
            <w:gridSpan w:val="8"/>
          </w:tcPr>
          <w:p>
            <w:pPr>
              <w:ind w:left="20"/>
              <w:spacing w:after="0"/>
              <w:rPr>
                <w:sz w:val="20"/>
                <w:szCs w:val="20"/>
                <w:color w:val="auto"/>
              </w:rPr>
            </w:pPr>
            <w:r>
              <w:rPr>
                <w:rFonts w:ascii="Arial" w:cs="Arial" w:eastAsia="Arial" w:hAnsi="Arial"/>
                <w:sz w:val="18"/>
                <w:szCs w:val="18"/>
                <w:color w:val="auto"/>
              </w:rPr>
              <w:t>Inventories</w:t>
            </w:r>
          </w:p>
        </w:tc>
        <w:tc>
          <w:tcPr>
            <w:tcW w:w="1600" w:type="dxa"/>
            <w:vAlign w:val="bottom"/>
            <w:gridSpan w:val="6"/>
          </w:tcPr>
          <w:p>
            <w:pPr>
              <w:jc w:val="right"/>
              <w:ind w:right="160"/>
              <w:spacing w:after="0"/>
              <w:rPr>
                <w:sz w:val="20"/>
                <w:szCs w:val="20"/>
                <w:color w:val="auto"/>
              </w:rPr>
            </w:pPr>
            <w:r>
              <w:rPr>
                <w:rFonts w:ascii="Arial" w:cs="Arial" w:eastAsia="Arial" w:hAnsi="Arial"/>
                <w:sz w:val="18"/>
                <w:szCs w:val="18"/>
                <w:color w:val="auto"/>
              </w:rPr>
              <w:t>1,042,503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1,043,057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5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428,552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435,887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8580" w:type="dxa"/>
            <w:vAlign w:val="bottom"/>
            <w:gridSpan w:val="8"/>
          </w:tcPr>
          <w:p>
            <w:pPr>
              <w:ind w:left="2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506,058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481,074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7,105,140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7,185,440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323"/>
        </w:trPr>
        <w:tc>
          <w:tcPr>
            <w:tcW w:w="8580" w:type="dxa"/>
            <w:vAlign w:val="bottom"/>
            <w:gridSpan w:val="8"/>
          </w:tcPr>
          <w:p>
            <w:pPr>
              <w:ind w:left="20"/>
              <w:spacing w:after="0"/>
              <w:rPr>
                <w:sz w:val="20"/>
                <w:szCs w:val="20"/>
                <w:color w:val="auto"/>
              </w:rPr>
            </w:pPr>
            <w:r>
              <w:rPr>
                <w:rFonts w:ascii="Arial" w:cs="Arial" w:eastAsia="Arial" w:hAnsi="Arial"/>
                <w:sz w:val="18"/>
                <w:szCs w:val="18"/>
                <w:color w:val="auto"/>
              </w:rPr>
              <w:t>FIXED INCOME INVESTMENTS, HELD TO MATURITY</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380,000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407,500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7"/>
        </w:trPr>
        <w:tc>
          <w:tcPr>
            <w:tcW w:w="85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INVESTMENTS IN AFFILIATED COMPANIES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709,731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687,524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580" w:type="dxa"/>
            <w:vAlign w:val="bottom"/>
            <w:gridSpan w:val="8"/>
          </w:tcPr>
          <w:p>
            <w:pPr>
              <w:ind w:left="20"/>
              <w:spacing w:after="0"/>
              <w:rPr>
                <w:sz w:val="20"/>
                <w:szCs w:val="20"/>
                <w:color w:val="auto"/>
              </w:rPr>
            </w:pPr>
            <w:r>
              <w:rPr>
                <w:rFonts w:ascii="Arial" w:cs="Arial" w:eastAsia="Arial" w:hAnsi="Arial"/>
                <w:sz w:val="18"/>
                <w:szCs w:val="18"/>
                <w:color w:val="auto"/>
              </w:rPr>
              <w:t>FIXED ASSETS</w:t>
            </w:r>
          </w:p>
        </w:tc>
        <w:tc>
          <w:tcPr>
            <w:tcW w:w="1600" w:type="dxa"/>
            <w:vAlign w:val="bottom"/>
            <w:gridSpan w:val="6"/>
          </w:tcPr>
          <w:p>
            <w:pPr>
              <w:jc w:val="right"/>
              <w:ind w:right="160"/>
              <w:spacing w:after="0"/>
              <w:rPr>
                <w:sz w:val="20"/>
                <w:szCs w:val="20"/>
                <w:color w:val="auto"/>
              </w:rPr>
            </w:pPr>
            <w:r>
              <w:rPr>
                <w:rFonts w:ascii="Arial" w:cs="Arial" w:eastAsia="Arial" w:hAnsi="Arial"/>
                <w:sz w:val="18"/>
                <w:szCs w:val="18"/>
                <w:color w:val="auto"/>
              </w:rPr>
              <w:t>4,523,859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4,663,756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5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MULTICLIENT SEISMIC DATA</w:t>
            </w:r>
          </w:p>
        </w:tc>
        <w:tc>
          <w:tcPr>
            <w:tcW w:w="16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1,020,473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1,018,483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580" w:type="dxa"/>
            <w:vAlign w:val="bottom"/>
            <w:gridSpan w:val="8"/>
          </w:tcPr>
          <w:p>
            <w:pPr>
              <w:ind w:left="20"/>
              <w:spacing w:after="0"/>
              <w:rPr>
                <w:sz w:val="20"/>
                <w:szCs w:val="20"/>
                <w:color w:val="auto"/>
              </w:rPr>
            </w:pPr>
            <w:r>
              <w:rPr>
                <w:rFonts w:ascii="Arial" w:cs="Arial" w:eastAsia="Arial" w:hAnsi="Arial"/>
                <w:sz w:val="18"/>
                <w:szCs w:val="18"/>
                <w:color w:val="auto"/>
              </w:rPr>
              <w:t>GOODWILL</w:t>
            </w:r>
          </w:p>
        </w:tc>
        <w:tc>
          <w:tcPr>
            <w:tcW w:w="1600" w:type="dxa"/>
            <w:vAlign w:val="bottom"/>
            <w:gridSpan w:val="6"/>
          </w:tcPr>
          <w:p>
            <w:pPr>
              <w:jc w:val="right"/>
              <w:ind w:right="160"/>
              <w:spacing w:after="0"/>
              <w:rPr>
                <w:sz w:val="20"/>
                <w:szCs w:val="20"/>
                <w:color w:val="auto"/>
              </w:rPr>
            </w:pPr>
            <w:r>
              <w:rPr>
                <w:rFonts w:ascii="Arial" w:cs="Arial" w:eastAsia="Arial" w:hAnsi="Arial"/>
                <w:sz w:val="18"/>
                <w:szCs w:val="18"/>
                <w:color w:val="auto"/>
              </w:rPr>
              <w:t>4,304,346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4,229,993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5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535,252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558,664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580" w:type="dxa"/>
            <w:vAlign w:val="bottom"/>
            <w:gridSpan w:val="8"/>
          </w:tcPr>
          <w:p>
            <w:pPr>
              <w:ind w:left="20"/>
              <w:spacing w:after="0"/>
              <w:rPr>
                <w:sz w:val="20"/>
                <w:szCs w:val="20"/>
                <w:color w:val="auto"/>
              </w:rPr>
            </w:pPr>
            <w:r>
              <w:rPr>
                <w:rFonts w:ascii="Arial" w:cs="Arial" w:eastAsia="Arial" w:hAnsi="Arial"/>
                <w:sz w:val="18"/>
                <w:szCs w:val="18"/>
                <w:color w:val="auto"/>
              </w:rPr>
              <w:t>DEFERRED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140,335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147,013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5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524,744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536,822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3"/>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$ 19,243,880</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$ 19,435,195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76"/>
        </w:trPr>
        <w:tc>
          <w:tcPr>
            <w:tcW w:w="858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auto"/>
              </w:rPr>
              <w:t>LIABILITIES &amp; STOCKHOLDERS’ EQUITY</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74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3"/>
        </w:trPr>
        <w:tc>
          <w:tcPr>
            <w:tcW w:w="8580" w:type="dxa"/>
            <w:vAlign w:val="bottom"/>
            <w:gridSpan w:val="8"/>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7"/>
        </w:trPr>
        <w:tc>
          <w:tcPr>
            <w:tcW w:w="85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6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  4,374,340</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4,580,762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580" w:type="dxa"/>
            <w:vAlign w:val="bottom"/>
            <w:tcBorders>
              <w:bottom w:val="single" w:sz="8" w:color="CCEEFF"/>
            </w:tcBorders>
            <w:gridSpan w:val="8"/>
          </w:tcPr>
          <w:p>
            <w:pPr>
              <w:ind w:left="20"/>
              <w:spacing w:after="0"/>
              <w:rPr>
                <w:sz w:val="20"/>
                <w:szCs w:val="20"/>
                <w:color w:val="auto"/>
              </w:rPr>
            </w:pPr>
            <w:r>
              <w:rPr>
                <w:rFonts w:ascii="Arial" w:cs="Arial" w:eastAsia="Arial" w:hAnsi="Arial"/>
                <w:sz w:val="18"/>
                <w:szCs w:val="18"/>
                <w:color w:val="auto"/>
              </w:rPr>
              <w:t>Estimated liability for taxes on income</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w w:val="86"/>
              </w:rPr>
              <w:t>619,811</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625,058</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-7841615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-7841615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-7841615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-7841615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-7841615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-7841615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-6983730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-6983730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-6983730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-6983730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-6983730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-6983730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-6126480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-6126480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-6126480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-6126480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-6126480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-6126480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-5019675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-5019675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-723265</wp:posOffset>
            </wp:positionV>
            <wp:extent cx="60452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-723265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-723265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-723265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900" w:orient="portrait"/>
          <w:cols w:equalWidth="0" w:num="1">
            <w:col w:w="11460"/>
          </w:cols>
          <w:pgMar w:left="240" w:top="131" w:right="199" w:bottom="0" w:gutter="0" w:footer="0" w:header="0"/>
        </w:sectPr>
      </w:pPr>
    </w:p>
    <w:bookmarkStart w:id="2" w:name="page3"/>
    <w:bookmarkEnd w:id="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Dividend payable</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109,825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109,565</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tcPr>
          <w:p>
            <w:pPr>
              <w:ind w:left="20"/>
              <w:spacing w:after="0"/>
              <w:rPr>
                <w:sz w:val="20"/>
                <w:szCs w:val="20"/>
                <w:color w:val="auto"/>
              </w:rPr>
            </w:pPr>
            <w:r>
              <w:rPr>
                <w:rFonts w:ascii="Arial" w:cs="Arial" w:eastAsia="Arial" w:hAnsi="Arial"/>
                <w:sz w:val="18"/>
                <w:szCs w:val="18"/>
                <w:color w:val="auto"/>
              </w:rPr>
              <w:t>Long-term debt due within one year</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400,902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452,577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Bank &amp; short-term loans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621,812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682,956</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6,126,690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6,450,918</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20" w:type="dxa"/>
            <w:vAlign w:val="bottom"/>
            <w:gridSpan w:val="5"/>
          </w:tcPr>
          <w:p>
            <w:pPr>
              <w:ind w:left="20"/>
              <w:spacing w:after="0"/>
              <w:rPr>
                <w:sz w:val="20"/>
                <w:szCs w:val="20"/>
                <w:color w:val="auto"/>
              </w:rPr>
            </w:pPr>
            <w:r>
              <w:rPr>
                <w:rFonts w:ascii="Arial" w:cs="Arial" w:eastAsia="Arial" w:hAnsi="Arial"/>
                <w:sz w:val="18"/>
                <w:szCs w:val="18"/>
                <w:color w:val="auto"/>
              </w:rPr>
              <w:t>LONG-TERM DEBT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6,145,557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6,028,549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1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POSTRETIREMENT BENEFITS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565,349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544,456</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5"/>
          </w:tcPr>
          <w:p>
            <w:pPr>
              <w:ind w:left="20"/>
              <w:spacing w:after="0"/>
              <w:rPr>
                <w:sz w:val="20"/>
                <w:szCs w:val="20"/>
                <w:color w:val="auto"/>
              </w:rPr>
            </w:pPr>
            <w:r>
              <w:rPr>
                <w:rFonts w:ascii="Arial" w:cs="Arial" w:eastAsia="Arial" w:hAnsi="Arial"/>
                <w:sz w:val="18"/>
                <w:szCs w:val="18"/>
                <w:color w:val="auto"/>
              </w:rPr>
              <w:t>OTHER LIABILITIES</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243,186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251,607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13,080,782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13,275,530</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MINORITY INTEREST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554,886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553,527</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tcPr>
          <w:p>
            <w:pPr>
              <w:ind w:left="20"/>
              <w:spacing w:after="0"/>
              <w:rPr>
                <w:sz w:val="20"/>
                <w:szCs w:val="20"/>
                <w:color w:val="auto"/>
              </w:rPr>
            </w:pPr>
            <w:r>
              <w:rPr>
                <w:rFonts w:ascii="Arial" w:cs="Arial" w:eastAsia="Arial" w:hAnsi="Arial"/>
                <w:sz w:val="18"/>
                <w:szCs w:val="18"/>
                <w:color w:val="auto"/>
              </w:rPr>
              <w:t>Common stock</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2,172,065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2,170,965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Income retained for use in the business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5,600,711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5,560,712</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tcPr>
          <w:p>
            <w:pPr>
              <w:ind w:left="20"/>
              <w:spacing w:after="0"/>
              <w:rPr>
                <w:sz w:val="20"/>
                <w:szCs w:val="20"/>
                <w:color w:val="auto"/>
              </w:rPr>
            </w:pPr>
            <w:r>
              <w:rPr>
                <w:rFonts w:ascii="Arial" w:cs="Arial" w:eastAsia="Arial" w:hAnsi="Arial"/>
                <w:sz w:val="18"/>
                <w:szCs w:val="18"/>
                <w:color w:val="auto"/>
              </w:rPr>
              <w:t>Treasury stock at cost</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(1,576,448)</w:t>
            </w:r>
          </w:p>
        </w:tc>
        <w:tc>
          <w:tcPr>
            <w:tcW w:w="28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(1,578,358)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(588,116)</w:t>
            </w: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(547,181)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5,608,212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5,606,138</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3"/>
              </w:rPr>
              <w:t>$ 19,243,880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$ 19,435,195</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700" w:type="dxa"/>
            <w:vAlign w:val="bottom"/>
          </w:tcPr>
          <w:p>
            <w:pPr>
              <w:spacing w:after="0"/>
              <w:rPr>
                <w:sz w:val="11"/>
                <w:szCs w:val="11"/>
                <w:color w:val="auto"/>
              </w:rPr>
            </w:pPr>
          </w:p>
        </w:tc>
        <w:tc>
          <w:tcPr>
            <w:tcW w:w="5420" w:type="dxa"/>
            <w:vAlign w:val="bottom"/>
            <w:gridSpan w:val="4"/>
            <w:vMerge w:val="restart"/>
          </w:tcPr>
          <w:p>
            <w:pPr>
              <w:jc w:val="center"/>
              <w:ind w:right="1400"/>
              <w:spacing w:after="0"/>
              <w:rPr>
                <w:sz w:val="20"/>
                <w:szCs w:val="20"/>
                <w:color w:val="auto"/>
              </w:rPr>
            </w:pPr>
            <w:r>
              <w:rPr>
                <w:rFonts w:ascii="Arial" w:cs="Arial" w:eastAsia="Arial" w:hAnsi="Arial"/>
                <w:sz w:val="18"/>
                <w:szCs w:val="18"/>
                <w:color w:val="auto"/>
                <w:w w:val="87"/>
              </w:rPr>
              <w:t>See Notes to Consolidated Financial Statements</w:t>
            </w:r>
          </w:p>
        </w:tc>
        <w:tc>
          <w:tcPr>
            <w:tcW w:w="3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3700" w:type="dxa"/>
            <w:vAlign w:val="bottom"/>
          </w:tcPr>
          <w:p>
            <w:pPr>
              <w:spacing w:after="0"/>
              <w:rPr>
                <w:sz w:val="24"/>
                <w:szCs w:val="24"/>
                <w:color w:val="auto"/>
              </w:rPr>
            </w:pPr>
          </w:p>
        </w:tc>
        <w:tc>
          <w:tcPr>
            <w:tcW w:w="542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880" w:type="dxa"/>
            <w:vAlign w:val="bottom"/>
            <w:gridSpan w:val="3"/>
          </w:tcPr>
          <w:p>
            <w:pPr>
              <w:jc w:val="center"/>
              <w:ind w:left="4472"/>
              <w:spacing w:after="0"/>
              <w:rPr>
                <w:sz w:val="20"/>
                <w:szCs w:val="20"/>
                <w:color w:val="auto"/>
              </w:rPr>
            </w:pPr>
            <w:r>
              <w:rPr>
                <w:rFonts w:ascii="Arial" w:cs="Arial" w:eastAsia="Arial" w:hAnsi="Arial"/>
                <w:sz w:val="18"/>
                <w:szCs w:val="18"/>
                <w:color w:val="auto"/>
                <w:w w:val="90"/>
              </w:rPr>
              <w:t>-3-</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700" w:type="dxa"/>
            <w:vAlign w:val="bottom"/>
            <w:tcBorders>
              <w:bottom w:val="single" w:sz="8" w:color="999999"/>
            </w:tcBorders>
          </w:tcPr>
          <w:p>
            <w:pPr>
              <w:spacing w:after="0"/>
              <w:rPr>
                <w:sz w:val="21"/>
                <w:szCs w:val="21"/>
                <w:color w:val="auto"/>
              </w:rPr>
            </w:pPr>
          </w:p>
        </w:tc>
        <w:tc>
          <w:tcPr>
            <w:tcW w:w="840" w:type="dxa"/>
            <w:vAlign w:val="bottom"/>
            <w:tcBorders>
              <w:bottom w:val="single" w:sz="8" w:color="999999"/>
            </w:tcBorders>
          </w:tcPr>
          <w:p>
            <w:pPr>
              <w:spacing w:after="0"/>
              <w:rPr>
                <w:sz w:val="21"/>
                <w:szCs w:val="21"/>
                <w:color w:val="auto"/>
              </w:rPr>
            </w:pPr>
          </w:p>
        </w:tc>
        <w:tc>
          <w:tcPr>
            <w:tcW w:w="2340" w:type="dxa"/>
            <w:vAlign w:val="bottom"/>
            <w:tcBorders>
              <w:bottom w:val="single" w:sz="8" w:color="999999"/>
            </w:tcBorders>
          </w:tcPr>
          <w:p>
            <w:pPr>
              <w:spacing w:after="0"/>
              <w:rPr>
                <w:sz w:val="21"/>
                <w:szCs w:val="21"/>
                <w:color w:val="auto"/>
              </w:rPr>
            </w:pPr>
          </w:p>
        </w:tc>
        <w:tc>
          <w:tcPr>
            <w:tcW w:w="840" w:type="dxa"/>
            <w:vAlign w:val="bottom"/>
            <w:tcBorders>
              <w:bottom w:val="single" w:sz="8" w:color="999999"/>
            </w:tcBorders>
          </w:tcPr>
          <w:p>
            <w:pPr>
              <w:spacing w:after="0"/>
              <w:rPr>
                <w:sz w:val="21"/>
                <w:szCs w:val="21"/>
                <w:color w:val="auto"/>
              </w:rPr>
            </w:pPr>
          </w:p>
        </w:tc>
        <w:tc>
          <w:tcPr>
            <w:tcW w:w="1400" w:type="dxa"/>
            <w:vAlign w:val="bottom"/>
            <w:tcBorders>
              <w:bottom w:val="single" w:sz="8" w:color="999999"/>
            </w:tcBorders>
          </w:tcPr>
          <w:p>
            <w:pPr>
              <w:spacing w:after="0"/>
              <w:rPr>
                <w:sz w:val="21"/>
                <w:szCs w:val="21"/>
                <w:color w:val="auto"/>
              </w:rPr>
            </w:pPr>
          </w:p>
        </w:tc>
        <w:tc>
          <w:tcPr>
            <w:tcW w:w="300" w:type="dxa"/>
            <w:vAlign w:val="bottom"/>
            <w:tcBorders>
              <w:bottom w:val="single" w:sz="8" w:color="999999"/>
            </w:tcBorders>
          </w:tcPr>
          <w:p>
            <w:pPr>
              <w:spacing w:after="0"/>
              <w:rPr>
                <w:sz w:val="21"/>
                <w:szCs w:val="21"/>
                <w:color w:val="auto"/>
              </w:rPr>
            </w:pPr>
          </w:p>
        </w:tc>
        <w:tc>
          <w:tcPr>
            <w:tcW w:w="600" w:type="dxa"/>
            <w:vAlign w:val="bottom"/>
            <w:tcBorders>
              <w:bottom w:val="single" w:sz="8" w:color="999999"/>
            </w:tcBorders>
          </w:tcPr>
          <w:p>
            <w:pPr>
              <w:spacing w:after="0"/>
              <w:rPr>
                <w:sz w:val="21"/>
                <w:szCs w:val="21"/>
                <w:color w:val="auto"/>
              </w:rPr>
            </w:pPr>
          </w:p>
        </w:tc>
        <w:tc>
          <w:tcPr>
            <w:tcW w:w="20" w:type="dxa"/>
            <w:vAlign w:val="bottom"/>
            <w:tcBorders>
              <w:bottom w:val="single" w:sz="8" w:color="999999"/>
            </w:tcBorders>
          </w:tcPr>
          <w:p>
            <w:pPr>
              <w:spacing w:after="0"/>
              <w:rPr>
                <w:sz w:val="21"/>
                <w:szCs w:val="21"/>
                <w:color w:val="auto"/>
              </w:rPr>
            </w:pPr>
          </w:p>
        </w:tc>
        <w:tc>
          <w:tcPr>
            <w:tcW w:w="120" w:type="dxa"/>
            <w:vAlign w:val="bottom"/>
            <w:tcBorders>
              <w:bottom w:val="single" w:sz="8" w:color="999999"/>
            </w:tcBorders>
          </w:tcPr>
          <w:p>
            <w:pPr>
              <w:spacing w:after="0"/>
              <w:rPr>
                <w:sz w:val="21"/>
                <w:szCs w:val="21"/>
                <w:color w:val="auto"/>
              </w:rPr>
            </w:pPr>
          </w:p>
        </w:tc>
        <w:tc>
          <w:tcPr>
            <w:tcW w:w="280" w:type="dxa"/>
            <w:vAlign w:val="bottom"/>
            <w:tcBorders>
              <w:bottom w:val="single" w:sz="8" w:color="999999"/>
            </w:tcBorders>
          </w:tcPr>
          <w:p>
            <w:pPr>
              <w:spacing w:after="0"/>
              <w:rPr>
                <w:sz w:val="21"/>
                <w:szCs w:val="21"/>
                <w:color w:val="auto"/>
              </w:rPr>
            </w:pPr>
          </w:p>
        </w:tc>
        <w:tc>
          <w:tcPr>
            <w:tcW w:w="120" w:type="dxa"/>
            <w:vAlign w:val="bottom"/>
            <w:tcBorders>
              <w:bottom w:val="single" w:sz="8" w:color="999999"/>
            </w:tcBorders>
          </w:tcPr>
          <w:p>
            <w:pPr>
              <w:spacing w:after="0"/>
              <w:rPr>
                <w:sz w:val="21"/>
                <w:szCs w:val="21"/>
                <w:color w:val="auto"/>
              </w:rPr>
            </w:pPr>
          </w:p>
        </w:tc>
        <w:tc>
          <w:tcPr>
            <w:tcW w:w="780" w:type="dxa"/>
            <w:vAlign w:val="bottom"/>
            <w:tcBorders>
              <w:bottom w:val="single" w:sz="8" w:color="999999"/>
            </w:tcBorders>
          </w:tcPr>
          <w:p>
            <w:pPr>
              <w:spacing w:after="0"/>
              <w:rPr>
                <w:sz w:val="21"/>
                <w:szCs w:val="21"/>
                <w:color w:val="auto"/>
              </w:rPr>
            </w:pPr>
          </w:p>
        </w:tc>
        <w:tc>
          <w:tcPr>
            <w:tcW w:w="80" w:type="dxa"/>
            <w:vAlign w:val="bottom"/>
            <w:tcBorders>
              <w:bottom w:val="single" w:sz="8" w:color="999999"/>
            </w:tcBorders>
          </w:tcPr>
          <w:p>
            <w:pPr>
              <w:spacing w:after="0"/>
              <w:rPr>
                <w:sz w:val="21"/>
                <w:szCs w:val="21"/>
                <w:color w:val="auto"/>
              </w:rPr>
            </w:pPr>
          </w:p>
        </w:tc>
        <w:tc>
          <w:tcPr>
            <w:tcW w:w="40" w:type="dxa"/>
            <w:vAlign w:val="bottom"/>
            <w:tcBorders>
              <w:bottom w:val="single" w:sz="8" w:color="999999"/>
            </w:tcBorders>
          </w:tcPr>
          <w:p>
            <w:pPr>
              <w:spacing w:after="0"/>
              <w:rPr>
                <w:sz w:val="21"/>
                <w:szCs w:val="21"/>
                <w:color w:val="auto"/>
              </w:rPr>
            </w:pPr>
          </w:p>
        </w:tc>
        <w:tc>
          <w:tcPr>
            <w:tcW w:w="0" w:type="dxa"/>
            <w:vAlign w:val="bottom"/>
          </w:tcPr>
          <w:p>
            <w:pPr>
              <w:spacing w:after="0"/>
              <w:rPr>
                <w:sz w:val="1"/>
                <w:szCs w:val="1"/>
                <w:color w:val="auto"/>
              </w:rPr>
            </w:pPr>
          </w:p>
        </w:tc>
      </w:tr>
      <w:tr>
        <w:trPr>
          <w:trHeight w:val="429"/>
        </w:trPr>
        <w:tc>
          <w:tcPr>
            <w:tcW w:w="3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80" w:type="dxa"/>
            <w:vAlign w:val="bottom"/>
            <w:gridSpan w:val="3"/>
          </w:tcPr>
          <w:p>
            <w:pPr>
              <w:jc w:val="center"/>
              <w:ind w:right="2240"/>
              <w:spacing w:after="0"/>
              <w:rPr>
                <w:sz w:val="20"/>
                <w:szCs w:val="20"/>
                <w:color w:val="auto"/>
              </w:rPr>
            </w:pPr>
            <w:r>
              <w:rPr>
                <w:rFonts w:ascii="Arial" w:cs="Arial" w:eastAsia="Arial" w:hAnsi="Arial"/>
                <w:sz w:val="18"/>
                <w:szCs w:val="18"/>
                <w:b w:val="1"/>
                <w:bCs w:val="1"/>
                <w:color w:val="auto"/>
              </w:rPr>
              <w:t>SCHLUMBERGER LIMITED</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20" w:type="dxa"/>
            <w:vAlign w:val="bottom"/>
            <w:gridSpan w:val="5"/>
          </w:tcPr>
          <w:p>
            <w:pPr>
              <w:jc w:val="center"/>
              <w:ind w:left="2232"/>
              <w:spacing w:after="0"/>
              <w:rPr>
                <w:sz w:val="20"/>
                <w:szCs w:val="20"/>
                <w:color w:val="auto"/>
              </w:rPr>
            </w:pPr>
            <w:r>
              <w:rPr>
                <w:rFonts w:ascii="Arial" w:cs="Arial" w:eastAsia="Arial" w:hAnsi="Arial"/>
                <w:sz w:val="18"/>
                <w:szCs w:val="18"/>
                <w:b w:val="1"/>
                <w:bCs w:val="1"/>
                <w:color w:val="auto"/>
                <w:w w:val="89"/>
              </w:rPr>
              <w:t>(Schlumberger N.V., Incorporated in the Netherlands Antilles)</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580" w:type="dxa"/>
            <w:vAlign w:val="bottom"/>
            <w:gridSpan w:val="3"/>
          </w:tcPr>
          <w:p>
            <w:pPr>
              <w:jc w:val="center"/>
              <w:ind w:right="2240"/>
              <w:spacing w:after="0"/>
              <w:rPr>
                <w:sz w:val="20"/>
                <w:szCs w:val="20"/>
                <w:color w:val="auto"/>
              </w:rPr>
            </w:pPr>
            <w:r>
              <w:rPr>
                <w:rFonts w:ascii="Arial" w:cs="Arial" w:eastAsia="Arial" w:hAnsi="Arial"/>
                <w:sz w:val="18"/>
                <w:szCs w:val="18"/>
                <w:b w:val="1"/>
                <w:bCs w:val="1"/>
                <w:color w:val="auto"/>
                <w:w w:val="87"/>
              </w:rPr>
              <w:t>and Subsidiary Companies</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9120" w:type="dxa"/>
            <w:vAlign w:val="bottom"/>
            <w:gridSpan w:val="5"/>
          </w:tcPr>
          <w:p>
            <w:pPr>
              <w:jc w:val="center"/>
              <w:ind w:left="2212"/>
              <w:spacing w:after="0"/>
              <w:rPr>
                <w:sz w:val="20"/>
                <w:szCs w:val="20"/>
                <w:color w:val="auto"/>
              </w:rPr>
            </w:pPr>
            <w:r>
              <w:rPr>
                <w:rFonts w:ascii="Arial" w:cs="Arial" w:eastAsia="Arial" w:hAnsi="Arial"/>
                <w:sz w:val="18"/>
                <w:szCs w:val="18"/>
                <w:b w:val="1"/>
                <w:bCs w:val="1"/>
                <w:color w:val="auto"/>
                <w:w w:val="96"/>
              </w:rPr>
              <w:t>CONSOLIDATED STATEMENT OF CASH FLOWS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7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gridSpan w:val="2"/>
          </w:tcPr>
          <w:p>
            <w:pPr>
              <w:jc w:val="center"/>
              <w:ind w:right="840"/>
              <w:spacing w:after="0"/>
              <w:rPr>
                <w:sz w:val="20"/>
                <w:szCs w:val="20"/>
                <w:color w:val="auto"/>
              </w:rPr>
            </w:pPr>
            <w:r>
              <w:rPr>
                <w:rFonts w:ascii="Arial" w:cs="Arial" w:eastAsia="Arial" w:hAnsi="Arial"/>
                <w:sz w:val="18"/>
                <w:szCs w:val="18"/>
                <w:b w:val="1"/>
                <w:bCs w:val="1"/>
                <w:color w:val="auto"/>
                <w:w w:val="89"/>
              </w:rPr>
              <w:t>(Unaudited)</w:t>
            </w: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3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4"/>
                <w:szCs w:val="14"/>
                <w:i w:val="1"/>
                <w:iCs w:val="1"/>
                <w:color w:val="auto"/>
                <w:w w:val="88"/>
              </w:rPr>
              <w:t>(Stated in thousands)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7"/>
          </w:tcPr>
          <w:p>
            <w:pPr>
              <w:jc w:val="right"/>
              <w:ind w:right="160"/>
              <w:spacing w:after="0"/>
              <w:rPr>
                <w:sz w:val="20"/>
                <w:szCs w:val="20"/>
                <w:color w:val="auto"/>
              </w:rPr>
            </w:pPr>
            <w:r>
              <w:rPr>
                <w:rFonts w:ascii="Arial" w:cs="Arial" w:eastAsia="Arial" w:hAnsi="Arial"/>
                <w:sz w:val="14"/>
                <w:szCs w:val="14"/>
                <w:color w:val="auto"/>
                <w:w w:val="92"/>
              </w:rPr>
              <w:t>Three Months Ended March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00" w:type="dxa"/>
            <w:vAlign w:val="bottom"/>
            <w:gridSpan w:val="2"/>
          </w:tcPr>
          <w:p>
            <w:pPr>
              <w:jc w:val="right"/>
              <w:ind w:right="17"/>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tcPr>
          <w:p>
            <w:pPr>
              <w:ind w:left="380"/>
              <w:spacing w:after="0"/>
              <w:rPr>
                <w:sz w:val="20"/>
                <w:szCs w:val="20"/>
                <w:color w:val="auto"/>
              </w:rPr>
            </w:pPr>
            <w:r>
              <w:rPr>
                <w:rFonts w:ascii="Arial" w:cs="Arial" w:eastAsia="Arial" w:hAnsi="Arial"/>
                <w:sz w:val="18"/>
                <w:szCs w:val="18"/>
                <w:color w:val="auto"/>
              </w:rPr>
              <w:t>Income from continuing operations</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$ 149,162</w:t>
            </w:r>
          </w:p>
        </w:tc>
        <w:tc>
          <w:tcPr>
            <w:tcW w:w="28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  159,848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Adjustments to reconcile income from continuing operations to cash provided by operating activities:</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tcPr>
          <w:p>
            <w:pPr>
              <w:ind w:left="760"/>
              <w:spacing w:after="0"/>
              <w:rPr>
                <w:sz w:val="20"/>
                <w:szCs w:val="20"/>
                <w:color w:val="auto"/>
              </w:rPr>
            </w:pPr>
            <w:r>
              <w:rPr>
                <w:rFonts w:ascii="Arial" w:cs="Arial" w:eastAsia="Arial" w:hAnsi="Arial"/>
                <w:sz w:val="18"/>
                <w:szCs w:val="18"/>
                <w:color w:val="auto"/>
              </w:rPr>
              <w:t>Depreciation and amortization (1)</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386,512</w:t>
            </w:r>
          </w:p>
        </w:tc>
        <w:tc>
          <w:tcPr>
            <w:tcW w:w="28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361,250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760"/>
              <w:spacing w:after="0"/>
              <w:rPr>
                <w:sz w:val="20"/>
                <w:szCs w:val="20"/>
                <w:color w:val="auto"/>
              </w:rPr>
            </w:pPr>
            <w:r>
              <w:rPr>
                <w:rFonts w:ascii="Arial" w:cs="Arial" w:eastAsia="Arial" w:hAnsi="Arial"/>
                <w:sz w:val="18"/>
                <w:szCs w:val="18"/>
                <w:color w:val="auto"/>
              </w:rPr>
              <w:t>Non-cash charges</w:t>
            </w:r>
          </w:p>
        </w:tc>
        <w:tc>
          <w:tcPr>
            <w:tcW w:w="3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tcPr>
          <w:p>
            <w:pPr>
              <w:ind w:left="760"/>
              <w:spacing w:after="0"/>
              <w:rPr>
                <w:sz w:val="20"/>
                <w:szCs w:val="20"/>
                <w:color w:val="auto"/>
              </w:rPr>
            </w:pPr>
            <w:r>
              <w:rPr>
                <w:rFonts w:ascii="Arial" w:cs="Arial" w:eastAsia="Arial" w:hAnsi="Arial"/>
                <w:sz w:val="18"/>
                <w:szCs w:val="18"/>
                <w:color w:val="auto"/>
              </w:rPr>
              <w:t>Earnings of companies carried at equity, less dividends received</w:t>
            </w:r>
          </w:p>
        </w:tc>
        <w:tc>
          <w:tcPr>
            <w:tcW w:w="1320" w:type="dxa"/>
            <w:vAlign w:val="bottom"/>
            <w:gridSpan w:val="5"/>
          </w:tcPr>
          <w:p>
            <w:pPr>
              <w:jc w:val="right"/>
              <w:ind w:right="172"/>
              <w:spacing w:after="0"/>
              <w:rPr>
                <w:sz w:val="20"/>
                <w:szCs w:val="20"/>
                <w:color w:val="auto"/>
              </w:rPr>
            </w:pPr>
            <w:r>
              <w:rPr>
                <w:rFonts w:ascii="Arial" w:cs="Arial" w:eastAsia="Arial" w:hAnsi="Arial"/>
                <w:sz w:val="18"/>
                <w:szCs w:val="18"/>
                <w:color w:val="auto"/>
              </w:rPr>
              <w:t>(15,454)</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(15,424)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760"/>
              <w:spacing w:after="0"/>
              <w:rPr>
                <w:sz w:val="20"/>
                <w:szCs w:val="20"/>
                <w:color w:val="auto"/>
              </w:rPr>
            </w:pPr>
            <w:r>
              <w:rPr>
                <w:rFonts w:ascii="Arial" w:cs="Arial" w:eastAsia="Arial" w:hAnsi="Arial"/>
                <w:sz w:val="18"/>
                <w:szCs w:val="18"/>
                <w:color w:val="auto"/>
              </w:rPr>
              <w:t>Deferred taxes</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44,293</w:t>
            </w: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tcPr>
          <w:p>
            <w:pPr>
              <w:ind w:left="760"/>
              <w:spacing w:after="0"/>
              <w:rPr>
                <w:sz w:val="20"/>
                <w:szCs w:val="20"/>
                <w:color w:val="auto"/>
              </w:rPr>
            </w:pPr>
            <w:r>
              <w:rPr>
                <w:rFonts w:ascii="Arial" w:cs="Arial" w:eastAsia="Arial" w:hAnsi="Arial"/>
                <w:sz w:val="18"/>
                <w:szCs w:val="18"/>
                <w:color w:val="auto"/>
              </w:rPr>
              <w:t>Provision for losses on accounts receivable</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17,537</w:t>
            </w:r>
          </w:p>
        </w:tc>
        <w:tc>
          <w:tcPr>
            <w:tcW w:w="28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11,095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Change in operating assets and liabilities:</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tcPr>
          <w:p>
            <w:pPr>
              <w:ind w:left="760"/>
              <w:spacing w:after="0"/>
              <w:rPr>
                <w:sz w:val="20"/>
                <w:szCs w:val="20"/>
                <w:color w:val="auto"/>
              </w:rPr>
            </w:pPr>
            <w:r>
              <w:rPr>
                <w:rFonts w:ascii="Arial" w:cs="Arial" w:eastAsia="Arial" w:hAnsi="Arial"/>
                <w:sz w:val="18"/>
                <w:szCs w:val="18"/>
                <w:color w:val="auto"/>
              </w:rPr>
              <w:t>(Increase) decrease in receivables</w:t>
            </w:r>
          </w:p>
        </w:tc>
        <w:tc>
          <w:tcPr>
            <w:tcW w:w="1320" w:type="dxa"/>
            <w:vAlign w:val="bottom"/>
            <w:gridSpan w:val="5"/>
          </w:tcPr>
          <w:p>
            <w:pPr>
              <w:jc w:val="right"/>
              <w:ind w:right="172"/>
              <w:spacing w:after="0"/>
              <w:rPr>
                <w:sz w:val="20"/>
                <w:szCs w:val="20"/>
                <w:color w:val="auto"/>
              </w:rPr>
            </w:pPr>
            <w:r>
              <w:rPr>
                <w:rFonts w:ascii="Arial" w:cs="Arial" w:eastAsia="Arial" w:hAnsi="Arial"/>
                <w:sz w:val="18"/>
                <w:szCs w:val="18"/>
                <w:color w:val="auto"/>
              </w:rPr>
              <w:t>(163,336)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68,207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760"/>
              <w:spacing w:after="0"/>
              <w:rPr>
                <w:sz w:val="20"/>
                <w:szCs w:val="20"/>
                <w:color w:val="auto"/>
              </w:rPr>
            </w:pPr>
            <w:r>
              <w:rPr>
                <w:rFonts w:ascii="Arial" w:cs="Arial" w:eastAsia="Arial" w:hAnsi="Arial"/>
                <w:sz w:val="18"/>
                <w:szCs w:val="18"/>
                <w:color w:val="auto"/>
              </w:rPr>
              <w:t>Decrease (increase) in inventories</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(54,337)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tcPr>
          <w:p>
            <w:pPr>
              <w:ind w:left="760"/>
              <w:spacing w:after="0"/>
              <w:rPr>
                <w:sz w:val="20"/>
                <w:szCs w:val="20"/>
                <w:color w:val="auto"/>
              </w:rPr>
            </w:pPr>
            <w:r>
              <w:rPr>
                <w:rFonts w:ascii="Arial" w:cs="Arial" w:eastAsia="Arial" w:hAnsi="Arial"/>
                <w:sz w:val="18"/>
                <w:szCs w:val="18"/>
                <w:color w:val="auto"/>
              </w:rPr>
              <w:t>Increase in other current assets</w:t>
            </w:r>
          </w:p>
        </w:tc>
        <w:tc>
          <w:tcPr>
            <w:tcW w:w="1320" w:type="dxa"/>
            <w:vAlign w:val="bottom"/>
            <w:gridSpan w:val="5"/>
          </w:tcPr>
          <w:p>
            <w:pPr>
              <w:jc w:val="right"/>
              <w:ind w:right="172"/>
              <w:spacing w:after="0"/>
              <w:rPr>
                <w:sz w:val="20"/>
                <w:szCs w:val="20"/>
                <w:color w:val="auto"/>
              </w:rPr>
            </w:pPr>
            <w:r>
              <w:rPr>
                <w:rFonts w:ascii="Arial" w:cs="Arial" w:eastAsia="Arial" w:hAnsi="Arial"/>
                <w:sz w:val="18"/>
                <w:szCs w:val="18"/>
                <w:color w:val="auto"/>
              </w:rPr>
              <w:t>(23,976)</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(52,508)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760"/>
              <w:spacing w:after="0"/>
              <w:rPr>
                <w:sz w:val="20"/>
                <w:szCs w:val="20"/>
                <w:color w:val="auto"/>
              </w:rPr>
            </w:pPr>
            <w:r>
              <w:rPr>
                <w:rFonts w:ascii="Arial" w:cs="Arial" w:eastAsia="Arial" w:hAnsi="Arial"/>
                <w:sz w:val="18"/>
                <w:szCs w:val="18"/>
                <w:color w:val="auto"/>
              </w:rPr>
              <w:t>Decrease in accounts payable and accrued liabilities</w:t>
            </w:r>
          </w:p>
        </w:tc>
        <w:tc>
          <w:tcPr>
            <w:tcW w:w="1320" w:type="dxa"/>
            <w:vAlign w:val="bottom"/>
            <w:gridSpan w:val="5"/>
            <w:shd w:val="clear" w:color="auto" w:fill="CCEEFF"/>
          </w:tcPr>
          <w:p>
            <w:pPr>
              <w:jc w:val="right"/>
              <w:ind w:right="172"/>
              <w:spacing w:after="0"/>
              <w:rPr>
                <w:sz w:val="20"/>
                <w:szCs w:val="20"/>
                <w:color w:val="auto"/>
              </w:rPr>
            </w:pPr>
            <w:r>
              <w:rPr>
                <w:rFonts w:ascii="Arial" w:cs="Arial" w:eastAsia="Arial" w:hAnsi="Arial"/>
                <w:sz w:val="18"/>
                <w:szCs w:val="18"/>
                <w:color w:val="auto"/>
              </w:rPr>
              <w:t>(321,051)</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(224,888)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tcPr>
          <w:p>
            <w:pPr>
              <w:ind w:left="760"/>
              <w:spacing w:after="0"/>
              <w:rPr>
                <w:sz w:val="20"/>
                <w:szCs w:val="20"/>
                <w:color w:val="auto"/>
              </w:rPr>
            </w:pPr>
            <w:r>
              <w:rPr>
                <w:rFonts w:ascii="Arial" w:cs="Arial" w:eastAsia="Arial" w:hAnsi="Arial"/>
                <w:sz w:val="18"/>
                <w:szCs w:val="18"/>
                <w:color w:val="auto"/>
              </w:rPr>
              <w:t>Decrease in estimated liability for taxes on income</w:t>
            </w:r>
          </w:p>
        </w:tc>
        <w:tc>
          <w:tcPr>
            <w:tcW w:w="1320" w:type="dxa"/>
            <w:vAlign w:val="bottom"/>
            <w:gridSpan w:val="5"/>
          </w:tcPr>
          <w:p>
            <w:pPr>
              <w:jc w:val="right"/>
              <w:ind w:right="172"/>
              <w:spacing w:after="0"/>
              <w:rPr>
                <w:sz w:val="20"/>
                <w:szCs w:val="20"/>
                <w:color w:val="auto"/>
              </w:rPr>
            </w:pPr>
            <w:r>
              <w:rPr>
                <w:rFonts w:ascii="Arial" w:cs="Arial" w:eastAsia="Arial" w:hAnsi="Arial"/>
                <w:sz w:val="18"/>
                <w:szCs w:val="18"/>
                <w:color w:val="auto"/>
              </w:rPr>
              <w:t>(3,809)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(37,587)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760"/>
              <w:spacing w:after="0"/>
              <w:rPr>
                <w:sz w:val="20"/>
                <w:szCs w:val="20"/>
                <w:color w:val="auto"/>
              </w:rPr>
            </w:pPr>
            <w:r>
              <w:rPr>
                <w:rFonts w:ascii="Arial" w:cs="Arial" w:eastAsia="Arial" w:hAnsi="Arial"/>
                <w:sz w:val="18"/>
                <w:szCs w:val="18"/>
                <w:color w:val="auto"/>
              </w:rPr>
              <w:t>Postretirement benefits</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20,893</w:t>
            </w: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5"/>
          </w:tcPr>
          <w:p>
            <w:pPr>
              <w:ind w:left="760"/>
              <w:spacing w:after="0"/>
              <w:rPr>
                <w:sz w:val="20"/>
                <w:szCs w:val="20"/>
                <w:color w:val="auto"/>
              </w:rPr>
            </w:pPr>
            <w:r>
              <w:rPr>
                <w:rFonts w:ascii="Arial" w:cs="Arial" w:eastAsia="Arial" w:hAnsi="Arial"/>
                <w:sz w:val="18"/>
                <w:szCs w:val="18"/>
                <w:color w:val="auto"/>
              </w:rPr>
              <w:t>Other - net</w:t>
            </w:r>
          </w:p>
        </w:tc>
        <w:tc>
          <w:tcPr>
            <w:tcW w:w="1320" w:type="dxa"/>
            <w:vAlign w:val="bottom"/>
            <w:gridSpan w:val="5"/>
          </w:tcPr>
          <w:p>
            <w:pPr>
              <w:jc w:val="right"/>
              <w:ind w:right="172"/>
              <w:spacing w:after="0"/>
              <w:rPr>
                <w:sz w:val="20"/>
                <w:szCs w:val="20"/>
                <w:color w:val="auto"/>
              </w:rPr>
            </w:pPr>
            <w:r>
              <w:rPr>
                <w:rFonts w:ascii="Arial" w:cs="Arial" w:eastAsia="Arial" w:hAnsi="Arial"/>
                <w:sz w:val="18"/>
                <w:szCs w:val="18"/>
                <w:color w:val="auto"/>
              </w:rPr>
              <w:t>(4,108)</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9,019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bottom w:val="single" w:sz="8" w:color="auto"/>
            </w:tcBorders>
            <w:gridSpan w:val="3"/>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91,372</w:t>
            </w: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282,338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tcPr>
          <w:p>
            <w:pPr>
              <w:ind w:left="380"/>
              <w:spacing w:after="0"/>
              <w:rPr>
                <w:sz w:val="20"/>
                <w:szCs w:val="20"/>
                <w:color w:val="auto"/>
              </w:rPr>
            </w:pPr>
            <w:r>
              <w:rPr>
                <w:rFonts w:ascii="Arial" w:cs="Arial" w:eastAsia="Arial" w:hAnsi="Arial"/>
                <w:sz w:val="18"/>
                <w:szCs w:val="18"/>
                <w:color w:val="auto"/>
              </w:rPr>
              <w:t>Purchase of fixed assets</w:t>
            </w:r>
          </w:p>
        </w:tc>
        <w:tc>
          <w:tcPr>
            <w:tcW w:w="1320" w:type="dxa"/>
            <w:vAlign w:val="bottom"/>
            <w:gridSpan w:val="5"/>
          </w:tcPr>
          <w:p>
            <w:pPr>
              <w:jc w:val="right"/>
              <w:ind w:right="172"/>
              <w:spacing w:after="0"/>
              <w:rPr>
                <w:sz w:val="20"/>
                <w:szCs w:val="20"/>
                <w:color w:val="auto"/>
              </w:rPr>
            </w:pPr>
            <w:r>
              <w:rPr>
                <w:rFonts w:ascii="Arial" w:cs="Arial" w:eastAsia="Arial" w:hAnsi="Arial"/>
                <w:sz w:val="18"/>
                <w:szCs w:val="18"/>
                <w:color w:val="auto"/>
              </w:rPr>
              <w:t>(222,140)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(366,526)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Multiclient seismic data capitalized</w:t>
            </w:r>
          </w:p>
        </w:tc>
        <w:tc>
          <w:tcPr>
            <w:tcW w:w="1320" w:type="dxa"/>
            <w:vAlign w:val="bottom"/>
            <w:gridSpan w:val="5"/>
            <w:shd w:val="clear" w:color="auto" w:fill="CCEEFF"/>
          </w:tcPr>
          <w:p>
            <w:pPr>
              <w:jc w:val="right"/>
              <w:ind w:right="172"/>
              <w:spacing w:after="0"/>
              <w:rPr>
                <w:sz w:val="20"/>
                <w:szCs w:val="20"/>
                <w:color w:val="auto"/>
              </w:rPr>
            </w:pPr>
            <w:r>
              <w:rPr>
                <w:rFonts w:ascii="Arial" w:cs="Arial" w:eastAsia="Arial" w:hAnsi="Arial"/>
                <w:sz w:val="18"/>
                <w:szCs w:val="18"/>
                <w:color w:val="auto"/>
              </w:rPr>
              <w:t>(52,060)</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(84,025)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tcPr>
          <w:p>
            <w:pPr>
              <w:ind w:left="380"/>
              <w:spacing w:after="0"/>
              <w:rPr>
                <w:sz w:val="20"/>
                <w:szCs w:val="20"/>
                <w:color w:val="auto"/>
              </w:rPr>
            </w:pPr>
            <w:r>
              <w:rPr>
                <w:rFonts w:ascii="Arial" w:cs="Arial" w:eastAsia="Arial" w:hAnsi="Arial"/>
                <w:sz w:val="18"/>
                <w:szCs w:val="18"/>
                <w:color w:val="auto"/>
              </w:rPr>
              <w:t>Capitalization of intangible assets</w:t>
            </w:r>
          </w:p>
        </w:tc>
        <w:tc>
          <w:tcPr>
            <w:tcW w:w="1320" w:type="dxa"/>
            <w:vAlign w:val="bottom"/>
            <w:gridSpan w:val="5"/>
          </w:tcPr>
          <w:p>
            <w:pPr>
              <w:jc w:val="right"/>
              <w:ind w:right="172"/>
              <w:spacing w:after="0"/>
              <w:rPr>
                <w:sz w:val="20"/>
                <w:szCs w:val="20"/>
                <w:color w:val="auto"/>
              </w:rPr>
            </w:pPr>
            <w:r>
              <w:rPr>
                <w:rFonts w:ascii="Arial" w:cs="Arial" w:eastAsia="Arial" w:hAnsi="Arial"/>
                <w:sz w:val="18"/>
                <w:szCs w:val="18"/>
                <w:color w:val="auto"/>
              </w:rPr>
              <w:t>(1,521)</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(42,063)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Retirement of fixed assets &amp; other</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66,480</w:t>
            </w: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tcPr>
          <w:p>
            <w:pPr>
              <w:ind w:left="380"/>
              <w:spacing w:after="0"/>
              <w:rPr>
                <w:sz w:val="20"/>
                <w:szCs w:val="20"/>
                <w:color w:val="auto"/>
              </w:rPr>
            </w:pPr>
            <w:r>
              <w:rPr>
                <w:rFonts w:ascii="Arial" w:cs="Arial" w:eastAsia="Arial" w:hAnsi="Arial"/>
                <w:sz w:val="18"/>
                <w:szCs w:val="18"/>
                <w:color w:val="auto"/>
              </w:rPr>
              <w:t>Acquisition of Sema plc</w:t>
            </w:r>
          </w:p>
        </w:tc>
        <w:tc>
          <w:tcPr>
            <w:tcW w:w="300" w:type="dxa"/>
            <w:vAlign w:val="bottom"/>
          </w:tcPr>
          <w:p>
            <w:pPr>
              <w:spacing w:after="0"/>
              <w:rPr>
                <w:sz w:val="18"/>
                <w:szCs w:val="18"/>
                <w:color w:val="auto"/>
              </w:rPr>
            </w:pPr>
          </w:p>
        </w:tc>
        <w:tc>
          <w:tcPr>
            <w:tcW w:w="1020" w:type="dxa"/>
            <w:vAlign w:val="bottom"/>
            <w:gridSpan w:val="4"/>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(132,155)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Other business acquisition</w:t>
            </w:r>
          </w:p>
        </w:tc>
        <w:tc>
          <w:tcPr>
            <w:tcW w:w="3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5"/>
          </w:tcPr>
          <w:p>
            <w:pPr>
              <w:ind w:left="380"/>
              <w:spacing w:after="0"/>
              <w:rPr>
                <w:sz w:val="20"/>
                <w:szCs w:val="20"/>
                <w:color w:val="auto"/>
              </w:rPr>
            </w:pPr>
            <w:r>
              <w:rPr>
                <w:rFonts w:ascii="Arial" w:cs="Arial" w:eastAsia="Arial" w:hAnsi="Arial"/>
                <w:sz w:val="18"/>
                <w:szCs w:val="18"/>
                <w:color w:val="auto"/>
              </w:rPr>
              <w:t>Sale (purchase) of investment, net</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270,853</w:t>
            </w:r>
          </w:p>
        </w:tc>
        <w:tc>
          <w:tcPr>
            <w:tcW w:w="28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211,724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bottom w:val="single" w:sz="8" w:color="auto"/>
            </w:tcBorders>
            <w:gridSpan w:val="3"/>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61,612</w:t>
            </w: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(401,393)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tcPr>
          <w:p>
            <w:pPr>
              <w:ind w:left="380"/>
              <w:spacing w:after="0"/>
              <w:rPr>
                <w:sz w:val="20"/>
                <w:szCs w:val="20"/>
                <w:color w:val="auto"/>
              </w:rPr>
            </w:pPr>
            <w:r>
              <w:rPr>
                <w:rFonts w:ascii="Arial" w:cs="Arial" w:eastAsia="Arial" w:hAnsi="Arial"/>
                <w:sz w:val="18"/>
                <w:szCs w:val="18"/>
                <w:color w:val="auto"/>
              </w:rPr>
              <w:t>Dividends paid</w:t>
            </w:r>
          </w:p>
        </w:tc>
        <w:tc>
          <w:tcPr>
            <w:tcW w:w="1320" w:type="dxa"/>
            <w:vAlign w:val="bottom"/>
            <w:gridSpan w:val="5"/>
          </w:tcPr>
          <w:p>
            <w:pPr>
              <w:jc w:val="right"/>
              <w:ind w:right="172"/>
              <w:spacing w:after="0"/>
              <w:rPr>
                <w:sz w:val="20"/>
                <w:szCs w:val="20"/>
                <w:color w:val="auto"/>
              </w:rPr>
            </w:pPr>
            <w:r>
              <w:rPr>
                <w:rFonts w:ascii="Arial" w:cs="Arial" w:eastAsia="Arial" w:hAnsi="Arial"/>
                <w:sz w:val="18"/>
                <w:szCs w:val="18"/>
                <w:color w:val="auto"/>
              </w:rPr>
              <w:t>(108,903)</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(107,978)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95,454</w:t>
            </w:r>
          </w:p>
        </w:tc>
        <w:tc>
          <w:tcPr>
            <w:tcW w:w="28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1,148,317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Payments of principal on long-term debt</w:t>
            </w:r>
          </w:p>
        </w:tc>
        <w:tc>
          <w:tcPr>
            <w:tcW w:w="1320" w:type="dxa"/>
            <w:vAlign w:val="bottom"/>
            <w:gridSpan w:val="5"/>
            <w:shd w:val="clear" w:color="auto" w:fill="CCEEFF"/>
          </w:tcPr>
          <w:p>
            <w:pPr>
              <w:jc w:val="right"/>
              <w:ind w:right="172"/>
              <w:spacing w:after="0"/>
              <w:rPr>
                <w:sz w:val="20"/>
                <w:szCs w:val="20"/>
                <w:color w:val="auto"/>
              </w:rPr>
            </w:pPr>
            <w:r>
              <w:rPr>
                <w:rFonts w:ascii="Arial" w:cs="Arial" w:eastAsia="Arial" w:hAnsi="Arial"/>
                <w:sz w:val="18"/>
                <w:szCs w:val="18"/>
                <w:color w:val="auto"/>
              </w:rPr>
              <w:t>(100,639)</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(785,905)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-7308215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-7308215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-7308215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-7308215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-7308215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-7308215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-6613525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-6613525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40"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9420" w:type="dxa"/>
            <w:vAlign w:val="bottom"/>
          </w:tcPr>
          <w:p>
            <w:pPr>
              <w:ind w:left="380"/>
              <w:spacing w:after="0"/>
              <w:rPr>
                <w:sz w:val="20"/>
                <w:szCs w:val="20"/>
                <w:color w:val="auto"/>
              </w:rPr>
            </w:pPr>
            <w:r>
              <w:rPr>
                <w:rFonts w:ascii="Arial" w:cs="Arial" w:eastAsia="Arial" w:hAnsi="Arial"/>
                <w:sz w:val="18"/>
                <w:szCs w:val="18"/>
                <w:color w:val="auto"/>
              </w:rPr>
              <w:t>Net decrease in short-term debt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(63,402)</w:t>
            </w:r>
          </w:p>
        </w:tc>
        <w:tc>
          <w:tcPr>
            <w:tcW w:w="860" w:type="dxa"/>
            <w:vAlign w:val="bottom"/>
          </w:tcPr>
          <w:p>
            <w:pPr>
              <w:jc w:val="right"/>
              <w:spacing w:after="0"/>
              <w:rPr>
                <w:sz w:val="20"/>
                <w:szCs w:val="20"/>
                <w:color w:val="auto"/>
              </w:rPr>
            </w:pPr>
            <w:r>
              <w:rPr>
                <w:rFonts w:ascii="Arial" w:cs="Arial" w:eastAsia="Arial" w:hAnsi="Arial"/>
                <w:sz w:val="18"/>
                <w:szCs w:val="18"/>
                <w:color w:val="auto"/>
              </w:rPr>
              <w:t>(234,508)</w:t>
            </w:r>
          </w:p>
        </w:tc>
        <w:tc>
          <w:tcPr>
            <w:tcW w:w="40" w:type="dxa"/>
            <w:vAlign w:val="bottom"/>
          </w:tcPr>
          <w:p>
            <w:pPr>
              <w:spacing w:after="0"/>
              <w:rPr>
                <w:sz w:val="19"/>
                <w:szCs w:val="19"/>
                <w:color w:val="auto"/>
              </w:rPr>
            </w:pPr>
          </w:p>
        </w:tc>
      </w:tr>
      <w:tr>
        <w:trPr>
          <w:trHeight w:val="110"/>
        </w:trPr>
        <w:tc>
          <w:tcPr>
            <w:tcW w:w="94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02"/>
        </w:trPr>
        <w:tc>
          <w:tcPr>
            <w:tcW w:w="9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(174,480)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56,920</w:t>
            </w:r>
          </w:p>
        </w:tc>
        <w:tc>
          <w:tcPr>
            <w:tcW w:w="40" w:type="dxa"/>
            <w:vAlign w:val="bottom"/>
          </w:tcPr>
          <w:p>
            <w:pPr>
              <w:spacing w:after="0"/>
              <w:rPr>
                <w:sz w:val="18"/>
                <w:szCs w:val="18"/>
                <w:color w:val="auto"/>
              </w:rPr>
            </w:pPr>
          </w:p>
        </w:tc>
      </w:tr>
      <w:tr>
        <w:trPr>
          <w:trHeight w:val="108"/>
        </w:trPr>
        <w:tc>
          <w:tcPr>
            <w:tcW w:w="94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02"/>
        </w:trPr>
        <w:tc>
          <w:tcPr>
            <w:tcW w:w="9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12,949</w:t>
            </w:r>
          </w:p>
        </w:tc>
        <w:tc>
          <w:tcPr>
            <w:tcW w:w="40" w:type="dxa"/>
            <w:vAlign w:val="bottom"/>
          </w:tcPr>
          <w:p>
            <w:pPr>
              <w:spacing w:after="0"/>
              <w:rPr>
                <w:sz w:val="18"/>
                <w:szCs w:val="18"/>
                <w:color w:val="auto"/>
              </w:rPr>
            </w:pPr>
          </w:p>
        </w:tc>
      </w:tr>
      <w:tr>
        <w:trPr>
          <w:trHeight w:val="108"/>
        </w:trPr>
        <w:tc>
          <w:tcPr>
            <w:tcW w:w="94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02"/>
        </w:trPr>
        <w:tc>
          <w:tcPr>
            <w:tcW w:w="9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before translation</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(21,496)</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(49,186)</w:t>
            </w:r>
          </w:p>
        </w:tc>
        <w:tc>
          <w:tcPr>
            <w:tcW w:w="40" w:type="dxa"/>
            <w:vAlign w:val="bottom"/>
          </w:tcPr>
          <w:p>
            <w:pPr>
              <w:spacing w:after="0"/>
              <w:rPr>
                <w:sz w:val="18"/>
                <w:szCs w:val="18"/>
                <w:color w:val="auto"/>
              </w:rPr>
            </w:pPr>
          </w:p>
        </w:tc>
      </w:tr>
      <w:tr>
        <w:trPr>
          <w:trHeight w:val="216"/>
        </w:trPr>
        <w:tc>
          <w:tcPr>
            <w:tcW w:w="9420" w:type="dxa"/>
            <w:vAlign w:val="bottom"/>
          </w:tcPr>
          <w:p>
            <w:pPr>
              <w:ind w:left="20"/>
              <w:spacing w:after="0"/>
              <w:rPr>
                <w:sz w:val="20"/>
                <w:szCs w:val="20"/>
                <w:color w:val="auto"/>
              </w:rPr>
            </w:pPr>
            <w:r>
              <w:rPr>
                <w:rFonts w:ascii="Arial" w:cs="Arial" w:eastAsia="Arial" w:hAnsi="Arial"/>
                <w:sz w:val="18"/>
                <w:szCs w:val="18"/>
                <w:color w:val="auto"/>
              </w:rPr>
              <w:t>Translation effect on cash</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(1,108)</w:t>
            </w:r>
          </w:p>
        </w:tc>
        <w:tc>
          <w:tcPr>
            <w:tcW w:w="860" w:type="dxa"/>
            <w:vAlign w:val="bottom"/>
          </w:tcPr>
          <w:p>
            <w:pPr>
              <w:jc w:val="right"/>
              <w:spacing w:after="0"/>
              <w:rPr>
                <w:sz w:val="20"/>
                <w:szCs w:val="20"/>
                <w:color w:val="auto"/>
              </w:rPr>
            </w:pPr>
            <w:r>
              <w:rPr>
                <w:rFonts w:ascii="Arial" w:cs="Arial" w:eastAsia="Arial" w:hAnsi="Arial"/>
                <w:sz w:val="18"/>
                <w:szCs w:val="18"/>
                <w:color w:val="auto"/>
              </w:rPr>
              <w:t>(864)</w:t>
            </w:r>
          </w:p>
        </w:tc>
        <w:tc>
          <w:tcPr>
            <w:tcW w:w="40" w:type="dxa"/>
            <w:vAlign w:val="bottom"/>
          </w:tcPr>
          <w:p>
            <w:pPr>
              <w:spacing w:after="0"/>
              <w:rPr>
                <w:sz w:val="18"/>
                <w:szCs w:val="18"/>
                <w:color w:val="auto"/>
              </w:rPr>
            </w:pPr>
          </w:p>
        </w:tc>
      </w:tr>
      <w:tr>
        <w:trPr>
          <w:trHeight w:val="21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beginning of period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168,110</w:t>
            </w:r>
          </w:p>
        </w:tc>
        <w:tc>
          <w:tcPr>
            <w:tcW w:w="4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177,704</w:t>
            </w:r>
          </w:p>
        </w:tc>
        <w:tc>
          <w:tcPr>
            <w:tcW w:w="40" w:type="dxa"/>
            <w:vAlign w:val="bottom"/>
          </w:tcPr>
          <w:p>
            <w:pPr>
              <w:spacing w:after="0"/>
              <w:rPr>
                <w:sz w:val="18"/>
                <w:szCs w:val="18"/>
                <w:color w:val="auto"/>
              </w:rPr>
            </w:pPr>
          </w:p>
        </w:tc>
      </w:tr>
      <w:tr>
        <w:trPr>
          <w:trHeight w:val="108"/>
        </w:trPr>
        <w:tc>
          <w:tcPr>
            <w:tcW w:w="94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02"/>
        </w:trPr>
        <w:tc>
          <w:tcPr>
            <w:tcW w:w="9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END OF PERIOD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$ 145,506</w:t>
            </w:r>
          </w:p>
        </w:tc>
        <w:tc>
          <w:tcPr>
            <w:tcW w:w="4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127,654</w:t>
            </w:r>
          </w:p>
        </w:tc>
        <w:tc>
          <w:tcPr>
            <w:tcW w:w="40" w:type="dxa"/>
            <w:vAlign w:val="bottom"/>
          </w:tcPr>
          <w:p>
            <w:pPr>
              <w:spacing w:after="0"/>
              <w:rPr>
                <w:sz w:val="18"/>
                <w:szCs w:val="18"/>
                <w:color w:val="auto"/>
              </w:rPr>
            </w:pPr>
          </w:p>
        </w:tc>
      </w:tr>
      <w:tr>
        <w:trPr>
          <w:trHeight w:val="132"/>
        </w:trPr>
        <w:tc>
          <w:tcPr>
            <w:tcW w:w="94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467"/>
        </w:trPr>
        <w:tc>
          <w:tcPr>
            <w:tcW w:w="9420" w:type="dxa"/>
            <w:vAlign w:val="bottom"/>
          </w:tcPr>
          <w:p>
            <w:pPr>
              <w:spacing w:after="0"/>
              <w:rPr>
                <w:sz w:val="20"/>
                <w:szCs w:val="20"/>
                <w:color w:val="auto"/>
              </w:rPr>
            </w:pPr>
            <w:r>
              <w:rPr>
                <w:rFonts w:ascii="Arial" w:cs="Arial" w:eastAsia="Arial" w:hAnsi="Arial"/>
                <w:sz w:val="18"/>
                <w:szCs w:val="18"/>
                <w:color w:val="auto"/>
              </w:rPr>
              <w:t>(1)   Includes multiclient seismic data costs.</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9420" w:type="dxa"/>
            <w:vAlign w:val="bottom"/>
          </w:tcPr>
          <w:p>
            <w:pPr>
              <w:ind w:left="4020"/>
              <w:spacing w:after="0"/>
              <w:rPr>
                <w:sz w:val="20"/>
                <w:szCs w:val="20"/>
                <w:color w:val="auto"/>
              </w:rPr>
            </w:pPr>
            <w:r>
              <w:rPr>
                <w:rFonts w:ascii="Arial" w:cs="Arial" w:eastAsia="Arial" w:hAnsi="Arial"/>
                <w:sz w:val="18"/>
                <w:szCs w:val="18"/>
                <w:color w:val="auto"/>
              </w:rPr>
              <w:t>See Notes to Consolidated Financial Statements</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9420" w:type="dxa"/>
            <w:vAlign w:val="bottom"/>
          </w:tcPr>
          <w:p>
            <w:pPr>
              <w:ind w:left="5620"/>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2"/>
        </w:trPr>
        <w:tc>
          <w:tcPr>
            <w:tcW w:w="9420" w:type="dxa"/>
            <w:vAlign w:val="bottom"/>
            <w:tcBorders>
              <w:bottom w:val="single" w:sz="8" w:color="999999"/>
            </w:tcBorders>
          </w:tcPr>
          <w:p>
            <w:pPr>
              <w:spacing w:after="0"/>
              <w:rPr>
                <w:sz w:val="21"/>
                <w:szCs w:val="21"/>
                <w:color w:val="auto"/>
              </w:rPr>
            </w:pPr>
          </w:p>
        </w:tc>
        <w:tc>
          <w:tcPr>
            <w:tcW w:w="740" w:type="dxa"/>
            <w:vAlign w:val="bottom"/>
            <w:tcBorders>
              <w:bottom w:val="single" w:sz="8" w:color="999999"/>
            </w:tcBorders>
          </w:tcPr>
          <w:p>
            <w:pPr>
              <w:spacing w:after="0"/>
              <w:rPr>
                <w:sz w:val="21"/>
                <w:szCs w:val="21"/>
                <w:color w:val="auto"/>
              </w:rPr>
            </w:pPr>
          </w:p>
        </w:tc>
        <w:tc>
          <w:tcPr>
            <w:tcW w:w="400" w:type="dxa"/>
            <w:vAlign w:val="bottom"/>
            <w:tcBorders>
              <w:bottom w:val="single" w:sz="8" w:color="999999"/>
            </w:tcBorders>
          </w:tcPr>
          <w:p>
            <w:pPr>
              <w:spacing w:after="0"/>
              <w:rPr>
                <w:sz w:val="21"/>
                <w:szCs w:val="21"/>
                <w:color w:val="auto"/>
              </w:rPr>
            </w:pPr>
          </w:p>
        </w:tc>
        <w:tc>
          <w:tcPr>
            <w:tcW w:w="860" w:type="dxa"/>
            <w:vAlign w:val="bottom"/>
            <w:tcBorders>
              <w:bottom w:val="single" w:sz="8" w:color="999999"/>
            </w:tcBorders>
          </w:tcPr>
          <w:p>
            <w:pPr>
              <w:spacing w:after="0"/>
              <w:rPr>
                <w:sz w:val="21"/>
                <w:szCs w:val="21"/>
                <w:color w:val="auto"/>
              </w:rPr>
            </w:pPr>
          </w:p>
        </w:tc>
        <w:tc>
          <w:tcPr>
            <w:tcW w:w="40" w:type="dxa"/>
            <w:vAlign w:val="bottom"/>
            <w:tcBorders>
              <w:bottom w:val="single" w:sz="8" w:color="999999"/>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-955675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-955675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-955675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-955675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-955675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-955675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SCHLUMBERGER LIMITED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60" w:type="dxa"/>
            <w:vAlign w:val="bottom"/>
          </w:tcPr>
          <w:p>
            <w:pPr>
              <w:spacing w:after="0"/>
              <w:rPr>
                <w:sz w:val="15"/>
                <w:szCs w:val="15"/>
                <w:color w:val="auto"/>
              </w:rPr>
            </w:pPr>
          </w:p>
        </w:tc>
        <w:tc>
          <w:tcPr>
            <w:tcW w:w="24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w w:val="91"/>
              </w:rPr>
              <w:t>Accumulated Other Comprehensive Income (Loss)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29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2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Retained</w:t>
            </w:r>
          </w:p>
        </w:tc>
        <w:tc>
          <w:tcPr>
            <w:tcW w:w="8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Marked to</w:t>
            </w: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Translation</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Comprehensive</w:t>
            </w:r>
          </w:p>
        </w:tc>
      </w:tr>
      <w:tr>
        <w:trPr>
          <w:trHeight w:val="174"/>
        </w:trPr>
        <w:tc>
          <w:tcPr>
            <w:tcW w:w="2960" w:type="dxa"/>
            <w:vAlign w:val="bottom"/>
          </w:tcPr>
          <w:p>
            <w:pPr>
              <w:spacing w:after="0"/>
              <w:rPr>
                <w:sz w:val="15"/>
                <w:szCs w:val="15"/>
                <w:color w:val="auto"/>
              </w:rPr>
            </w:pPr>
          </w:p>
        </w:tc>
        <w:tc>
          <w:tcPr>
            <w:tcW w:w="800" w:type="dxa"/>
            <w:vAlign w:val="bottom"/>
          </w:tcPr>
          <w:p>
            <w:pPr>
              <w:jc w:val="right"/>
              <w:ind w:right="140"/>
              <w:spacing w:after="0"/>
              <w:rPr>
                <w:sz w:val="20"/>
                <w:szCs w:val="20"/>
                <w:color w:val="auto"/>
              </w:rPr>
            </w:pPr>
            <w:r>
              <w:rPr>
                <w:rFonts w:ascii="Arial" w:cs="Arial" w:eastAsia="Arial" w:hAnsi="Arial"/>
                <w:sz w:val="14"/>
                <w:szCs w:val="14"/>
                <w:b w:val="1"/>
                <w:bCs w:val="1"/>
                <w:color w:val="auto"/>
              </w:rPr>
              <w:t>Issued</w:t>
            </w:r>
          </w:p>
        </w:tc>
        <w:tc>
          <w:tcPr>
            <w:tcW w:w="340" w:type="dxa"/>
            <w:vAlign w:val="bottom"/>
          </w:tcPr>
          <w:p>
            <w:pPr>
              <w:spacing w:after="0"/>
              <w:rPr>
                <w:sz w:val="15"/>
                <w:szCs w:val="15"/>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 Treasury</w:t>
            </w: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15"/>
                <w:szCs w:val="15"/>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Market</w:t>
            </w: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5"/>
                <w:szCs w:val="15"/>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Adjustment</w:t>
            </w: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Income (Loss)</w:t>
            </w:r>
          </w:p>
        </w:tc>
      </w:tr>
      <w:tr>
        <w:trPr>
          <w:trHeight w:val="95"/>
        </w:trPr>
        <w:tc>
          <w:tcPr>
            <w:tcW w:w="29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29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i w:val="1"/>
                <w:iCs w:val="1"/>
                <w:color w:val="auto"/>
                <w:w w:val="87"/>
              </w:rPr>
              <w:t>(Stated in thousands)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Balance, January 1, 2003</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$2,170,965</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$(1,578,358)</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$5,560,712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(72,989)</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$(203,564)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(270,628)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149,162</w:t>
            </w:r>
          </w:p>
        </w:tc>
        <w:tc>
          <w:tcPr>
            <w:tcW w:w="6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Derivatives marked to market</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4,516</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4,516</w:t>
            </w:r>
          </w:p>
        </w:tc>
        <w:tc>
          <w:tcPr>
            <w:tcW w:w="60" w:type="dxa"/>
            <w:vAlign w:val="bottom"/>
          </w:tcPr>
          <w:p>
            <w:pPr>
              <w:spacing w:after="0"/>
              <w:rPr>
                <w:sz w:val="18"/>
                <w:szCs w:val="18"/>
                <w:color w:val="auto"/>
              </w:rPr>
            </w:pPr>
          </w:p>
        </w:tc>
      </w:tr>
      <w:tr>
        <w:trPr>
          <w:trHeight w:val="208"/>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Investment (Grant Prideco) marked</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 market</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60" w:type="dxa"/>
            <w:vAlign w:val="bottom"/>
            <w:shd w:val="clear" w:color="auto" w:fill="CCEEFF"/>
          </w:tcPr>
          <w:p>
            <w:pPr>
              <w:spacing w:after="0"/>
              <w:rPr>
                <w:sz w:val="19"/>
                <w:szCs w:val="19"/>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Translation adjustment</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17,948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17,948</w:t>
            </w:r>
          </w:p>
        </w:tc>
        <w:tc>
          <w:tcPr>
            <w:tcW w:w="60" w:type="dxa"/>
            <w:vAlign w:val="bottom"/>
          </w:tcPr>
          <w:p>
            <w:pPr>
              <w:spacing w:after="0"/>
              <w:rPr>
                <w:sz w:val="18"/>
                <w:szCs w:val="18"/>
                <w:color w:val="auto"/>
              </w:rPr>
            </w:pPr>
          </w:p>
        </w:tc>
      </w:tr>
      <w:tr>
        <w:trPr>
          <w:trHeight w:val="208"/>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Minimum pension liability—</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(US/UK Plans)</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(98,736)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(98,736)</w:t>
            </w:r>
          </w:p>
        </w:tc>
      </w:tr>
      <w:tr>
        <w:trPr>
          <w:trHeight w:val="208"/>
        </w:trPr>
        <w:tc>
          <w:tcPr>
            <w:tcW w:w="2960" w:type="dxa"/>
            <w:vAlign w:val="bottom"/>
          </w:tcPr>
          <w:p>
            <w:pPr>
              <w:spacing w:after="0"/>
              <w:rPr>
                <w:sz w:val="20"/>
                <w:szCs w:val="20"/>
                <w:color w:val="auto"/>
              </w:rPr>
            </w:pPr>
            <w:r>
              <w:rPr>
                <w:rFonts w:ascii="Arial" w:cs="Arial" w:eastAsia="Arial" w:hAnsi="Arial"/>
                <w:sz w:val="18"/>
                <w:szCs w:val="18"/>
                <w:color w:val="auto"/>
              </w:rPr>
              <w:t>Tax benefit on minimum pension</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960" w:type="dxa"/>
            <w:vAlign w:val="bottom"/>
          </w:tcPr>
          <w:p>
            <w:pPr>
              <w:ind w:left="60"/>
              <w:spacing w:after="0"/>
              <w:rPr>
                <w:sz w:val="20"/>
                <w:szCs w:val="20"/>
                <w:color w:val="auto"/>
              </w:rPr>
            </w:pPr>
            <w:r>
              <w:rPr>
                <w:rFonts w:ascii="Arial" w:cs="Arial" w:eastAsia="Arial" w:hAnsi="Arial"/>
                <w:sz w:val="18"/>
                <w:szCs w:val="18"/>
                <w:color w:val="auto"/>
              </w:rPr>
              <w:t>liability</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31,250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31,250</w:t>
            </w:r>
          </w:p>
        </w:tc>
        <w:tc>
          <w:tcPr>
            <w:tcW w:w="60" w:type="dxa"/>
            <w:vAlign w:val="bottom"/>
          </w:tcPr>
          <w:p>
            <w:pPr>
              <w:spacing w:after="0"/>
              <w:rPr>
                <w:sz w:val="19"/>
                <w:szCs w:val="19"/>
                <w:color w:val="auto"/>
              </w:rPr>
            </w:pPr>
          </w:p>
        </w:tc>
      </w:tr>
      <w:tr>
        <w:trPr>
          <w:trHeight w:val="217"/>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(109,163)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Shares sold to optionees (net fees)</w:t>
            </w:r>
          </w:p>
        </w:tc>
        <w:tc>
          <w:tcPr>
            <w:tcW w:w="800" w:type="dxa"/>
            <w:vAlign w:val="bottom"/>
          </w:tcPr>
          <w:p>
            <w:pPr>
              <w:jc w:val="right"/>
              <w:spacing w:after="0"/>
              <w:rPr>
                <w:sz w:val="20"/>
                <w:szCs w:val="20"/>
                <w:color w:val="auto"/>
              </w:rPr>
            </w:pPr>
            <w:r>
              <w:rPr>
                <w:rFonts w:ascii="Arial" w:cs="Arial" w:eastAsia="Arial" w:hAnsi="Arial"/>
                <w:sz w:val="18"/>
                <w:szCs w:val="18"/>
                <w:color w:val="auto"/>
              </w:rPr>
              <w:t>1,100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1,910</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02"/>
        </w:trPr>
        <w:tc>
          <w:tcPr>
            <w:tcW w:w="29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Equity—March 31, 2003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$2,172,065</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$(1,576,448)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$5,600,711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(64,386)</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$(271,050)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(252,680)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108,227</w:t>
            </w:r>
          </w:p>
        </w:tc>
        <w:tc>
          <w:tcPr>
            <w:tcW w:w="60" w:type="dxa"/>
            <w:vAlign w:val="bottom"/>
            <w:shd w:val="clear" w:color="auto" w:fill="CCEEFF"/>
          </w:tcPr>
          <w:p>
            <w:pPr>
              <w:spacing w:after="0"/>
              <w:rPr>
                <w:sz w:val="18"/>
                <w:szCs w:val="18"/>
                <w:color w:val="auto"/>
              </w:rPr>
            </w:pPr>
          </w:p>
        </w:tc>
      </w:tr>
      <w:tr>
        <w:trPr>
          <w:trHeight w:val="132"/>
        </w:trPr>
        <w:tc>
          <w:tcPr>
            <w:tcW w:w="29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See Note (A)</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-233045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-233045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-233045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-233045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-233045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-233045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-233045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-233045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-233045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-233045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-233045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-233045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-233045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-233045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-233045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-233045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-233045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-233045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-233045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-233045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-233045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Note (A): Included in the closing balance is $13,958 relating to the mark to market of the Grant Prideco investment.</w:t>
      </w:r>
    </w:p>
    <w:p>
      <w:pPr>
        <w:spacing w:after="0" w:line="152"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color w:val="auto"/>
                <w:w w:val="81"/>
              </w:rPr>
              <w:t>Shares</w:t>
            </w:r>
          </w:p>
        </w:tc>
        <w:tc>
          <w:tcPr>
            <w:tcW w:w="0" w:type="dxa"/>
            <w:vAlign w:val="bottom"/>
          </w:tcPr>
          <w:p>
            <w:pPr>
              <w:spacing w:after="0"/>
              <w:rPr>
                <w:sz w:val="1"/>
                <w:szCs w:val="1"/>
                <w:color w:val="auto"/>
              </w:rPr>
            </w:pPr>
          </w:p>
        </w:tc>
      </w:tr>
      <w:tr>
        <w:trPr>
          <w:trHeight w:val="172"/>
        </w:trPr>
        <w:tc>
          <w:tcPr>
            <w:tcW w:w="7400" w:type="dxa"/>
            <w:vAlign w:val="bottom"/>
          </w:tcPr>
          <w:p>
            <w:pPr>
              <w:spacing w:after="0"/>
              <w:rPr>
                <w:sz w:val="14"/>
                <w:szCs w:val="14"/>
                <w:color w:val="auto"/>
              </w:rPr>
            </w:pPr>
          </w:p>
        </w:tc>
        <w:tc>
          <w:tcPr>
            <w:tcW w:w="1540" w:type="dxa"/>
            <w:vAlign w:val="bottom"/>
            <w:gridSpan w:val="2"/>
          </w:tcPr>
          <w:p>
            <w:pPr>
              <w:ind w:left="440"/>
              <w:spacing w:after="0"/>
              <w:rPr>
                <w:sz w:val="20"/>
                <w:szCs w:val="20"/>
                <w:color w:val="auto"/>
              </w:rPr>
            </w:pPr>
            <w:r>
              <w:rPr>
                <w:rFonts w:ascii="Arial" w:cs="Arial" w:eastAsia="Arial" w:hAnsi="Arial"/>
                <w:sz w:val="14"/>
                <w:szCs w:val="14"/>
                <w:color w:val="auto"/>
              </w:rPr>
              <w:t>Issued</w:t>
            </w:r>
          </w:p>
        </w:tc>
        <w:tc>
          <w:tcPr>
            <w:tcW w:w="1260" w:type="dxa"/>
            <w:vAlign w:val="bottom"/>
            <w:gridSpan w:val="3"/>
          </w:tcPr>
          <w:p>
            <w:pPr>
              <w:ind w:left="120"/>
              <w:spacing w:after="0"/>
              <w:rPr>
                <w:sz w:val="20"/>
                <w:szCs w:val="20"/>
                <w:color w:val="auto"/>
              </w:rPr>
            </w:pPr>
            <w:r>
              <w:rPr>
                <w:rFonts w:ascii="Arial" w:cs="Arial" w:eastAsia="Arial" w:hAnsi="Arial"/>
                <w:sz w:val="14"/>
                <w:szCs w:val="14"/>
                <w:color w:val="auto"/>
              </w:rPr>
              <w:t>In Treasury</w:t>
            </w:r>
          </w:p>
        </w:tc>
        <w:tc>
          <w:tcPr>
            <w:tcW w:w="1240" w:type="dxa"/>
            <w:vAlign w:val="bottom"/>
            <w:gridSpan w:val="2"/>
          </w:tcPr>
          <w:p>
            <w:pPr>
              <w:jc w:val="center"/>
              <w:ind w:right="20"/>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95"/>
        </w:trPr>
        <w:tc>
          <w:tcPr>
            <w:tcW w:w="740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1, 2003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667,104,668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(84,931,553)</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582,173,115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tcPr>
          <w:p>
            <w:pPr>
              <w:ind w:left="20"/>
              <w:spacing w:after="0"/>
              <w:rPr>
                <w:sz w:val="20"/>
                <w:szCs w:val="20"/>
                <w:color w:val="auto"/>
              </w:rPr>
            </w:pPr>
            <w:r>
              <w:rPr>
                <w:rFonts w:ascii="Arial" w:cs="Arial" w:eastAsia="Arial" w:hAnsi="Arial"/>
                <w:sz w:val="18"/>
                <w:szCs w:val="18"/>
                <w:color w:val="auto"/>
              </w:rPr>
              <w:t>Sold to Optionees</w:t>
            </w:r>
          </w:p>
        </w:tc>
        <w:tc>
          <w:tcPr>
            <w:tcW w:w="15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102,802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40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March 31, 2003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667,104,668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(84,828,751)</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582,275,917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40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SCHLUMBERGER LIMITED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w:t>
      </w:r>
    </w:p>
    <w:p>
      <w:pPr>
        <w:sectPr>
          <w:pgSz w:w="11900" w:h="16838" w:orient="portrait"/>
          <w:cols w:equalWidth="0" w:num="1">
            <w:col w:w="11460"/>
          </w:cols>
          <w:pgMar w:left="240" w:top="131" w:right="199" w:bottom="0" w:gutter="0" w:footer="0" w:header="0"/>
        </w:sectPr>
      </w:pPr>
    </w:p>
    <w:bookmarkStart w:id="4" w:name="page5"/>
    <w:bookmarkEnd w:id="4"/>
    <w:p>
      <w:pPr>
        <w:ind w:right="40"/>
        <w:spacing w:after="0" w:line="323" w:lineRule="auto"/>
        <w:rPr>
          <w:sz w:val="20"/>
          <w:szCs w:val="20"/>
          <w:color w:val="auto"/>
        </w:rPr>
      </w:pPr>
      <w:r>
        <w:rPr>
          <w:rFonts w:ascii="Arial" w:cs="Arial" w:eastAsia="Arial" w:hAnsi="Arial"/>
          <w:sz w:val="15"/>
          <w:szCs w:val="15"/>
          <w:color w:val="auto"/>
        </w:rPr>
        <w:t>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three month period ended March 31, 2003 are not necessarily indicative of the results that may be expected for the full year ending December 31, 2003. For further information, refer to the consolidated financial statements and notes thereto, included in Schlumberger’s Annual Report on Form 10-K for the fiscal year ended December 31, 2002.</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to diluted earnings per share: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6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44"/>
              <w:spacing w:after="0"/>
              <w:rPr>
                <w:sz w:val="20"/>
                <w:szCs w:val="20"/>
                <w:color w:val="auto"/>
              </w:rPr>
            </w:pPr>
            <w:r>
              <w:rPr>
                <w:rFonts w:ascii="Arial" w:cs="Arial" w:eastAsia="Arial" w:hAnsi="Arial"/>
                <w:sz w:val="14"/>
                <w:szCs w:val="14"/>
                <w:color w:val="auto"/>
                <w:w w:val="89"/>
              </w:rPr>
              <w:t>2002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Income</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Earnings Per</w:t>
            </w:r>
          </w:p>
        </w:tc>
        <w:tc>
          <w:tcPr>
            <w:tcW w:w="300" w:type="dxa"/>
            <w:vAlign w:val="bottom"/>
          </w:tcPr>
          <w:p>
            <w:pPr>
              <w:spacing w:after="0"/>
              <w:rPr>
                <w:sz w:val="20"/>
                <w:szCs w:val="20"/>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4"/>
                <w:szCs w:val="14"/>
                <w:color w:val="auto"/>
                <w:w w:val="87"/>
              </w:rPr>
              <w:t>Income</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4"/>
                <w:szCs w:val="14"/>
                <w:color w:val="auto"/>
                <w:w w:val="86"/>
              </w:rPr>
              <w:t>Earnings Per</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 from</w:t>
            </w:r>
          </w:p>
        </w:tc>
        <w:tc>
          <w:tcPr>
            <w:tcW w:w="300" w:type="dxa"/>
            <w:vAlign w:val="bottom"/>
          </w:tcPr>
          <w:p>
            <w:pPr>
              <w:spacing w:after="0"/>
              <w:rPr>
                <w:sz w:val="12"/>
                <w:szCs w:val="12"/>
                <w:color w:val="auto"/>
              </w:rPr>
            </w:pPr>
          </w:p>
        </w:tc>
        <w:tc>
          <w:tcPr>
            <w:tcW w:w="114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99"/>
              </w:rPr>
              <w:t>from</w:t>
            </w:r>
          </w:p>
        </w:tc>
        <w:tc>
          <w:tcPr>
            <w:tcW w:w="880" w:type="dxa"/>
            <w:vAlign w:val="bottom"/>
          </w:tcPr>
          <w:p>
            <w:pPr>
              <w:jc w:val="center"/>
              <w:ind w:right="64"/>
              <w:spacing w:after="0" w:line="149" w:lineRule="exact"/>
              <w:rPr>
                <w:sz w:val="20"/>
                <w:szCs w:val="20"/>
                <w:color w:val="auto"/>
              </w:rPr>
            </w:pPr>
            <w:r>
              <w:rPr>
                <w:rFonts w:ascii="Arial" w:cs="Arial" w:eastAsia="Arial" w:hAnsi="Arial"/>
                <w:sz w:val="14"/>
                <w:szCs w:val="14"/>
                <w:color w:val="auto"/>
                <w:w w:val="88"/>
              </w:rPr>
              <w:t>Average</w:t>
            </w:r>
          </w:p>
        </w:tc>
        <w:tc>
          <w:tcPr>
            <w:tcW w:w="32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Share from</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Continuing</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Average Shares</w:t>
            </w:r>
          </w:p>
        </w:tc>
        <w:tc>
          <w:tcPr>
            <w:tcW w:w="32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300" w:type="dxa"/>
            <w:vAlign w:val="bottom"/>
          </w:tcPr>
          <w:p>
            <w:pPr>
              <w:spacing w:after="0"/>
              <w:rPr>
                <w:sz w:val="12"/>
                <w:szCs w:val="12"/>
                <w:color w:val="auto"/>
              </w:rPr>
            </w:pPr>
          </w:p>
        </w:tc>
        <w:tc>
          <w:tcPr>
            <w:tcW w:w="114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89"/>
              </w:rPr>
              <w:t>Continuing</w:t>
            </w:r>
          </w:p>
        </w:tc>
        <w:tc>
          <w:tcPr>
            <w:tcW w:w="880" w:type="dxa"/>
            <w:vAlign w:val="bottom"/>
          </w:tcPr>
          <w:p>
            <w:pPr>
              <w:jc w:val="center"/>
              <w:ind w:right="84"/>
              <w:spacing w:after="0" w:line="149" w:lineRule="exact"/>
              <w:rPr>
                <w:sz w:val="20"/>
                <w:szCs w:val="20"/>
                <w:color w:val="auto"/>
              </w:rPr>
            </w:pPr>
            <w:r>
              <w:rPr>
                <w:rFonts w:ascii="Arial" w:cs="Arial" w:eastAsia="Arial" w:hAnsi="Arial"/>
                <w:sz w:val="14"/>
                <w:szCs w:val="14"/>
                <w:color w:val="auto"/>
                <w:w w:val="81"/>
              </w:rPr>
              <w:t>Shares</w:t>
            </w:r>
          </w:p>
        </w:tc>
        <w:tc>
          <w:tcPr>
            <w:tcW w:w="32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2"/>
              </w:rPr>
              <w:t>Continuing</w:t>
            </w:r>
          </w:p>
        </w:tc>
        <w:tc>
          <w:tcPr>
            <w:tcW w:w="0" w:type="dxa"/>
            <w:vAlign w:val="bottom"/>
          </w:tcPr>
          <w:p>
            <w:pPr>
              <w:spacing w:after="0"/>
              <w:rPr>
                <w:sz w:val="1"/>
                <w:szCs w:val="1"/>
                <w:color w:val="auto"/>
              </w:rPr>
            </w:pPr>
          </w:p>
        </w:tc>
      </w:tr>
      <w:tr>
        <w:trPr>
          <w:trHeight w:val="174"/>
        </w:trPr>
        <w:tc>
          <w:tcPr>
            <w:tcW w:w="4960" w:type="dxa"/>
            <w:vAlign w:val="bottom"/>
            <w:gridSpan w:val="3"/>
          </w:tcPr>
          <w:p>
            <w:pPr>
              <w:spacing w:after="0"/>
              <w:rPr>
                <w:sz w:val="20"/>
                <w:szCs w:val="20"/>
                <w:color w:val="auto"/>
              </w:rPr>
            </w:pPr>
            <w:r>
              <w:rPr>
                <w:rFonts w:ascii="Arial" w:cs="Arial" w:eastAsia="Arial" w:hAnsi="Arial"/>
                <w:sz w:val="14"/>
                <w:szCs w:val="14"/>
                <w:color w:val="auto"/>
              </w:rPr>
              <w:t>First Quarter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Operations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5"/>
                <w:szCs w:val="15"/>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Operations</w:t>
            </w:r>
          </w:p>
        </w:tc>
        <w:tc>
          <w:tcPr>
            <w:tcW w:w="300" w:type="dxa"/>
            <w:vAlign w:val="bottom"/>
          </w:tcPr>
          <w:p>
            <w:pPr>
              <w:spacing w:after="0"/>
              <w:rPr>
                <w:sz w:val="15"/>
                <w:szCs w:val="15"/>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4"/>
                <w:szCs w:val="14"/>
                <w:color w:val="auto"/>
                <w:w w:val="87"/>
              </w:rPr>
              <w:t>Operations</w:t>
            </w:r>
          </w:p>
        </w:tc>
        <w:tc>
          <w:tcPr>
            <w:tcW w:w="880" w:type="dxa"/>
            <w:vAlign w:val="bottom"/>
          </w:tcPr>
          <w:p>
            <w:pPr>
              <w:jc w:val="center"/>
              <w:ind w:right="64"/>
              <w:spacing w:after="0"/>
              <w:rPr>
                <w:sz w:val="20"/>
                <w:szCs w:val="20"/>
                <w:color w:val="auto"/>
              </w:rPr>
            </w:pPr>
            <w:r>
              <w:rPr>
                <w:rFonts w:ascii="Arial" w:cs="Arial" w:eastAsia="Arial" w:hAnsi="Arial"/>
                <w:sz w:val="14"/>
                <w:szCs w:val="14"/>
                <w:color w:val="auto"/>
                <w:w w:val="87"/>
              </w:rPr>
              <w:t>Outstanding</w:t>
            </w:r>
          </w:p>
        </w:tc>
        <w:tc>
          <w:tcPr>
            <w:tcW w:w="320" w:type="dxa"/>
            <w:vAlign w:val="bottom"/>
          </w:tcPr>
          <w:p>
            <w:pPr>
              <w:spacing w:after="0"/>
              <w:rPr>
                <w:sz w:val="15"/>
                <w:szCs w:val="15"/>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4"/>
                <w:szCs w:val="14"/>
                <w:color w:val="auto"/>
                <w:w w:val="84"/>
              </w:rPr>
              <w:t>Operations</w:t>
            </w:r>
          </w:p>
        </w:tc>
        <w:tc>
          <w:tcPr>
            <w:tcW w:w="0" w:type="dxa"/>
            <w:vAlign w:val="bottom"/>
          </w:tcPr>
          <w:p>
            <w:pPr>
              <w:spacing w:after="0"/>
              <w:rPr>
                <w:sz w:val="1"/>
                <w:szCs w:val="1"/>
                <w:color w:val="auto"/>
              </w:rPr>
            </w:pPr>
          </w:p>
        </w:tc>
      </w:tr>
      <w:tr>
        <w:trPr>
          <w:trHeight w:val="95"/>
        </w:trPr>
        <w:tc>
          <w:tcPr>
            <w:tcW w:w="100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320" w:type="dxa"/>
            <w:vAlign w:val="bottom"/>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9"/>
          </w:tcPr>
          <w:p>
            <w:pPr>
              <w:ind w:left="940"/>
              <w:spacing w:after="0"/>
              <w:rPr>
                <w:sz w:val="20"/>
                <w:szCs w:val="20"/>
                <w:color w:val="auto"/>
              </w:rPr>
            </w:pPr>
            <w:r>
              <w:rPr>
                <w:rFonts w:ascii="Arial" w:cs="Arial" w:eastAsia="Arial" w:hAnsi="Arial"/>
                <w:sz w:val="14"/>
                <w:szCs w:val="14"/>
                <w:i w:val="1"/>
                <w:iCs w:val="1"/>
                <w:color w:val="auto"/>
                <w:w w:val="86"/>
              </w:rPr>
              <w:t>(Stated in thousands except per share amounts)</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$149,162</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582,209</w:t>
            </w:r>
          </w:p>
        </w:tc>
        <w:tc>
          <w:tcPr>
            <w:tcW w:w="49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63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0.26</w:t>
            </w:r>
          </w:p>
        </w:tc>
        <w:tc>
          <w:tcPr>
            <w:tcW w:w="9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$159,848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576,306</w:t>
            </w: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60" w:type="dxa"/>
            <w:vAlign w:val="bottom"/>
            <w:gridSpan w:val="3"/>
          </w:tcPr>
          <w:p>
            <w:pPr>
              <w:spacing w:after="0"/>
              <w:rPr>
                <w:sz w:val="20"/>
                <w:szCs w:val="20"/>
                <w:color w:val="auto"/>
              </w:rPr>
            </w:pPr>
            <w:r>
              <w:rPr>
                <w:rFonts w:ascii="Arial" w:cs="Arial" w:eastAsia="Arial" w:hAnsi="Arial"/>
                <w:sz w:val="18"/>
                <w:szCs w:val="18"/>
                <w:color w:val="auto"/>
              </w:rPr>
              <w:t>Dilutive effect of options</w:t>
            </w:r>
          </w:p>
        </w:tc>
        <w:tc>
          <w:tcPr>
            <w:tcW w:w="66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1,772</w:t>
            </w:r>
          </w:p>
        </w:tc>
        <w:tc>
          <w:tcPr>
            <w:tcW w:w="3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630" w:type="dxa"/>
            <w:vAlign w:val="bottom"/>
            <w:gridSpan w:val="2"/>
          </w:tcPr>
          <w:p>
            <w:pPr>
              <w:ind w:left="3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4,798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0" w:type="dxa"/>
            <w:vAlign w:val="bottom"/>
          </w:tcPr>
          <w:p>
            <w:pPr>
              <w:spacing w:after="0"/>
              <w:rPr>
                <w:sz w:val="8"/>
                <w:szCs w:val="8"/>
                <w:color w:val="auto"/>
              </w:rPr>
            </w:pPr>
          </w:p>
        </w:tc>
        <w:tc>
          <w:tcPr>
            <w:tcW w:w="61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$149,162</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583,981</w:t>
            </w:r>
          </w:p>
        </w:tc>
        <w:tc>
          <w:tcPr>
            <w:tcW w:w="49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63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0.26</w:t>
            </w:r>
          </w:p>
        </w:tc>
        <w:tc>
          <w:tcPr>
            <w:tcW w:w="9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$159,848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581,104</w:t>
            </w: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 – Continuing Operations</w:t>
      </w:r>
    </w:p>
    <w:p>
      <w:pPr>
        <w:spacing w:after="0" w:line="83"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 xml:space="preserve">The first quarter 2002 included a $29 million charge (pretax $30 million and minority interest credit of $1 million; $0.05 per share – diluted) related to the financial/economic crisis in Argentina where, in January, the government eliminated all US dollar contracts and converted US dollar-denominated accounts receivable into pesos. As a result, Schlumberger’s currency exposure increased significantly. With currency devaluation, an exchange loss (net of hedging) on net assets, primarily customer receivables, was incurred. In addition, a provision was recorded for downsizing facilities and headcount. The small SchlumbergerSema exposure in Argentina was also provided for. The pretax charge is classified in </w:t>
      </w:r>
      <w:r>
        <w:rPr>
          <w:rFonts w:ascii="Arial" w:cs="Arial" w:eastAsia="Arial" w:hAnsi="Arial"/>
          <w:sz w:val="15"/>
          <w:szCs w:val="15"/>
          <w:i w:val="1"/>
          <w:iCs w:val="1"/>
          <w:color w:val="auto"/>
        </w:rPr>
        <w:t>Cost of goods sold and services</w:t>
      </w:r>
      <w:r>
        <w:rPr>
          <w:rFonts w:ascii="Arial" w:cs="Arial" w:eastAsia="Arial" w:hAnsi="Arial"/>
          <w:sz w:val="15"/>
          <w:szCs w:val="15"/>
          <w:color w:val="auto"/>
        </w:rPr>
        <w:t xml:space="preserve"> in the Consolidated Statement of Income.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fourth quarter 2002 pretax severance and facility charges as of March 31, 2003 is a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i w:val="1"/>
                <w:iCs w:val="1"/>
                <w:color w:val="auto"/>
                <w:w w:val="88"/>
              </w:rPr>
              <w:t>($ Stated in millions)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ind w:left="340"/>
              <w:spacing w:after="0"/>
              <w:rPr>
                <w:sz w:val="20"/>
                <w:szCs w:val="20"/>
                <w:color w:val="auto"/>
              </w:rPr>
            </w:pPr>
            <w:r>
              <w:rPr>
                <w:rFonts w:ascii="Arial" w:cs="Arial" w:eastAsia="Arial" w:hAnsi="Arial"/>
                <w:sz w:val="14"/>
                <w:szCs w:val="14"/>
                <w:b w:val="1"/>
                <w:bCs w:val="1"/>
                <w:color w:val="auto"/>
              </w:rPr>
              <w:t>Severance</w:t>
            </w:r>
          </w:p>
        </w:tc>
        <w:tc>
          <w:tcPr>
            <w:tcW w:w="4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86"/>
              </w:rPr>
              <w:t>Facilities</w:t>
            </w: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632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740" w:type="dxa"/>
            <w:vAlign w:val="bottom"/>
          </w:tcPr>
          <w:p>
            <w:pPr>
              <w:spacing w:after="0"/>
              <w:rPr>
                <w:sz w:val="22"/>
                <w:szCs w:val="22"/>
                <w:color w:val="auto"/>
              </w:rPr>
            </w:pPr>
          </w:p>
        </w:tc>
        <w:tc>
          <w:tcPr>
            <w:tcW w:w="632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22"/>
                <w:szCs w:val="22"/>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People</w:t>
            </w:r>
          </w:p>
        </w:tc>
        <w:tc>
          <w:tcPr>
            <w:tcW w:w="40" w:type="dxa"/>
            <w:vAlign w:val="bottom"/>
          </w:tcPr>
          <w:p>
            <w:pPr>
              <w:spacing w:after="0"/>
              <w:rPr>
                <w:sz w:val="22"/>
                <w:szCs w:val="22"/>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6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740" w:type="dxa"/>
            <w:vAlign w:val="bottom"/>
          </w:tcPr>
          <w:p>
            <w:pPr>
              <w:spacing w:after="0"/>
              <w:rPr>
                <w:sz w:val="8"/>
                <w:szCs w:val="8"/>
                <w:color w:val="auto"/>
              </w:rPr>
            </w:pPr>
          </w:p>
        </w:tc>
        <w:tc>
          <w:tcPr>
            <w:tcW w:w="6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94.5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Paid in December 2002</w:t>
            </w: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32.9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1,643</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740" w:type="dxa"/>
            <w:vAlign w:val="bottom"/>
          </w:tcPr>
          <w:p>
            <w:pPr>
              <w:spacing w:after="0"/>
              <w:rPr>
                <w:sz w:val="8"/>
                <w:szCs w:val="8"/>
                <w:color w:val="auto"/>
              </w:rPr>
            </w:pPr>
          </w:p>
        </w:tc>
        <w:tc>
          <w:tcPr>
            <w:tcW w:w="6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740" w:type="dxa"/>
            <w:vAlign w:val="bottom"/>
          </w:tcPr>
          <w:p>
            <w:pPr>
              <w:spacing w:after="0"/>
              <w:rPr>
                <w:sz w:val="8"/>
                <w:szCs w:val="8"/>
                <w:color w:val="auto"/>
              </w:rPr>
            </w:pPr>
          </w:p>
        </w:tc>
        <w:tc>
          <w:tcPr>
            <w:tcW w:w="6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2002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Paid in Quarter 1 2003</w:t>
            </w: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24.7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835</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740" w:type="dxa"/>
            <w:vAlign w:val="bottom"/>
          </w:tcPr>
          <w:p>
            <w:pPr>
              <w:spacing w:after="0"/>
              <w:rPr>
                <w:sz w:val="8"/>
                <w:szCs w:val="8"/>
                <w:color w:val="auto"/>
              </w:rPr>
            </w:pPr>
          </w:p>
        </w:tc>
        <w:tc>
          <w:tcPr>
            <w:tcW w:w="6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740" w:type="dxa"/>
            <w:vAlign w:val="bottom"/>
          </w:tcPr>
          <w:p>
            <w:pPr>
              <w:spacing w:after="0"/>
              <w:rPr>
                <w:sz w:val="8"/>
                <w:szCs w:val="8"/>
                <w:color w:val="auto"/>
              </w:rPr>
            </w:pPr>
          </w:p>
        </w:tc>
        <w:tc>
          <w:tcPr>
            <w:tcW w:w="6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March 31, 2003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74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060" w:type="dxa"/>
            <w:vAlign w:val="bottom"/>
            <w:gridSpan w:val="2"/>
          </w:tcPr>
          <w:p>
            <w:pPr>
              <w:spacing w:after="0"/>
              <w:rPr>
                <w:sz w:val="20"/>
                <w:szCs w:val="20"/>
                <w:color w:val="auto"/>
              </w:rPr>
            </w:pPr>
            <w:r>
              <w:rPr>
                <w:rFonts w:ascii="Arial" w:cs="Arial" w:eastAsia="Arial" w:hAnsi="Arial"/>
                <w:sz w:val="18"/>
                <w:szCs w:val="18"/>
                <w:color w:val="auto"/>
              </w:rPr>
              <w:t>The remaining severance costs are expected to be paid before September 30, 2003.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Investments in Affiliated Companies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4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-541655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-541655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-541655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-541655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-541655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-541655</wp:posOffset>
            </wp:positionV>
            <wp:extent cx="33845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8455" cy="29845"/>
                    </a:xfrm>
                    <a:prstGeom prst="rect">
                      <a:avLst/>
                    </a:prstGeom>
                    <a:noFill/>
                  </pic:spPr>
                </pic:pic>
              </a:graphicData>
            </a:graphic>
          </wp:anchor>
        </w:drawing>
      </w:r>
    </w:p>
    <w:p>
      <w:pPr>
        <w:spacing w:after="0" w:line="6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Schlumberger and Smith International Inc. operate a drilling fluids joint venture of which Schlumberger owns a 40% interest and records income using the equity method of accounting. Schlumberger’s investment on March 31, 2003 was $606 million and on December 31, 2002 was $592. Equity in income of investments carried under the equity method (first quarter 2003 and 2002 – $15 million) are included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Consolidated Statement of Income.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Standards</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June 2001, SFAS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was issued. SFAS 143 was adopted by Schlumberger commencing January 1, 2003. The implementation of this standard did not have any material effect on its financial position or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On July 29, 2002, the Financial Accounting Standards Board issued SFAS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The standard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required companies to recognize costs associated with exit or disposal activities when they are incurred rather than at the date of a commitment to an exit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disposal plan. Examples of costs covered by the standard include lease termination costs and certain employee severance costs that are associated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discontinued operation, plant closing, or other exit or disposal activity. Previous accounting guidance was provided by EITF Issue No. 94-3,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Liability Recognition for Certain Employee Termination Benefits and Other Costs to Exit an Activity [including Certain Costs Incurred in a Restructuring])</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SFAS 146 replaced Issue 94-3. Schlumberger adopted SFAS 146 prospectively to exit or disposal activities initiated after December 31, 2002.</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November 2002, FASB Interpretation No. 45 (</w:t>
      </w:r>
      <w:r>
        <w:rPr>
          <w:rFonts w:ascii="Arial" w:cs="Arial" w:eastAsia="Arial" w:hAnsi="Arial"/>
          <w:sz w:val="18"/>
          <w:szCs w:val="18"/>
          <w:i w:val="1"/>
          <w:iCs w:val="1"/>
          <w:color w:val="auto"/>
        </w:rPr>
        <w:t>Guarantor’s Accounting and Disclosure Requirements for Guarantees, Including Indirect Guarantees of</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 of Others</w:t>
      </w:r>
      <w:r>
        <w:rPr>
          <w:rFonts w:ascii="Arial" w:cs="Arial" w:eastAsia="Arial" w:hAnsi="Arial"/>
          <w:sz w:val="18"/>
          <w:szCs w:val="18"/>
          <w:color w:val="auto"/>
        </w:rPr>
        <w:t>) was issued. It requires certain accounting and disclosures of guarantees to third parties including indebtedness. The statement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on a prospective basis for guarantees issued or modified after December 31, 2002. The implementation of this statement did not have a material effect on its financial position or results of operations.</w:t>
      </w:r>
    </w:p>
    <w:p>
      <w:pPr>
        <w:spacing w:after="0" w:line="130"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In January 2003, the Emerging Issues Task Force (EITF) issued No.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This EITF establishes the criteria for recognizing revenue in arrangements when several items are bundled into one agreement. EITF 00-21 does not allow revenue recognition unless the fair value of the undelivered element(s) is available and the element has stand-alone value to the customer. EITF 00-21 also provides guidance on allocating the total contract revenue to the individual elements based upon the available fair value of each deliverable. The implementation of this pronouncement will not have a material impact on its financial position or results of operations.</w:t>
      </w:r>
    </w:p>
    <w:p>
      <w:pPr>
        <w:sectPr>
          <w:pgSz w:w="11900" w:h="16838" w:orient="portrait"/>
          <w:cols w:equalWidth="0" w:num="1">
            <w:col w:w="11420"/>
          </w:cols>
          <w:pgMar w:left="240" w:top="131"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Securitization</w:t>
      </w:r>
    </w:p>
    <w:p>
      <w:pPr>
        <w:spacing w:after="0" w:line="83"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In September 2000, a wholly owned subsidiary of Schlumberger entered into an agreement to sell, on an ongoing basis, up to $220 million of an undivided interest in its accounts receivable, and subsequently amended up to $250 million. The amount of receivables sold under this agreement totaled $174 million at March 31, 2003 and $155 million at December 31, 2002. Unless extended by amendment, the agreement expires in September 2003.</w:t>
      </w:r>
    </w:p>
    <w:p>
      <w:pPr>
        <w:spacing w:after="0" w:line="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w:t>
      </w:r>
    </w:p>
    <w:p>
      <w:pPr>
        <w:spacing w:after="0" w:line="8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During January 2002, two principal subsidiaries of Schlumberger in Europe initiated a Euro commercial paper program, which is guaranteed by Schlumberger Limited. At March 31, 2003, Euro commercial paper borrowings totaled $638 million and the UK Pound commercial paper borrowing totaled $492 million. Both the Euro and the UK Pound commercial paper borrowings are supported by a long-term revolving credit facility.</w:t>
      </w:r>
    </w:p>
    <w:p>
      <w:pPr>
        <w:spacing w:after="0" w:line="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April 4, 2002, the principal US subsidiary of Schlumberger issued $1 billion of 10 year senior unsecured notes with a coupon rate of 6.50% (6.634% including amortization of debt discount and expense) in the US capital markets. The notes were issued under rule 144A without registration rights for life. The proceeds partially replaced US commercial paper borrowings. At March 31, 2003, US commercial paper borrowings totaled $981 million. US commercial paper borrowings are supported by a long-term revolving credit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Inventory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Mar.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w w:val="78"/>
              </w:rPr>
              <w:t>Dec. 31</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2002</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gridSpan w:val="9"/>
          </w:tcPr>
          <w:p>
            <w:pPr>
              <w:jc w:val="right"/>
              <w:ind w:right="400"/>
              <w:spacing w:after="0"/>
              <w:rPr>
                <w:sz w:val="20"/>
                <w:szCs w:val="20"/>
                <w:color w:val="auto"/>
              </w:rPr>
            </w:pPr>
            <w:r>
              <w:rPr>
                <w:rFonts w:ascii="Arial" w:cs="Arial" w:eastAsia="Arial" w:hAnsi="Arial"/>
                <w:sz w:val="14"/>
                <w:szCs w:val="14"/>
                <w:i w:val="1"/>
                <w:iCs w:val="1"/>
                <w:color w:val="auto"/>
              </w:rPr>
              <w:t>(Stated in millions)</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00" w:type="dxa"/>
            <w:vAlign w:val="bottom"/>
            <w:vMerge w:val="restart"/>
          </w:tcPr>
          <w:p>
            <w:pPr>
              <w:spacing w:after="0"/>
              <w:rPr>
                <w:sz w:val="8"/>
                <w:szCs w:val="8"/>
                <w:color w:val="auto"/>
              </w:rPr>
            </w:pPr>
          </w:p>
        </w:tc>
        <w:tc>
          <w:tcPr>
            <w:tcW w:w="18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94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980" w:type="dxa"/>
            <w:vAlign w:val="bottom"/>
            <w:gridSpan w:val="4"/>
            <w:shd w:val="clear" w:color="auto" w:fill="CCEEFF"/>
          </w:tcPr>
          <w:p>
            <w:pPr>
              <w:ind w:left="900"/>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1,019</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Work in Process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112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4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Less: Reserves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224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ind w:left="900"/>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1,043</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8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75"/>
              </w:rPr>
              <w:t>Fixed Assets</w:t>
            </w:r>
          </w:p>
        </w:tc>
        <w:tc>
          <w:tcPr>
            <w:tcW w:w="6940" w:type="dxa"/>
            <w:vAlign w:val="bottom"/>
            <w:gridSpan w:val="3"/>
            <w:vMerge w:val="restart"/>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7"/>
        </w:trPr>
        <w:tc>
          <w:tcPr>
            <w:tcW w:w="880" w:type="dxa"/>
            <w:vAlign w:val="bottom"/>
            <w:tcBorders>
              <w:bottom w:val="single" w:sz="8" w:color="auto"/>
            </w:tcBorders>
            <w:gridSpan w:val="2"/>
            <w:vMerge w:val="continue"/>
          </w:tcPr>
          <w:p>
            <w:pPr>
              <w:spacing w:after="0"/>
              <w:rPr>
                <w:sz w:val="24"/>
                <w:szCs w:val="24"/>
                <w:color w:val="auto"/>
              </w:rPr>
            </w:pPr>
          </w:p>
        </w:tc>
        <w:tc>
          <w:tcPr>
            <w:tcW w:w="694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820" w:type="dxa"/>
            <w:vAlign w:val="bottom"/>
            <w:gridSpan w:val="5"/>
          </w:tcPr>
          <w:p>
            <w:pPr>
              <w:spacing w:after="0"/>
              <w:rPr>
                <w:sz w:val="20"/>
                <w:szCs w:val="20"/>
                <w:color w:val="auto"/>
              </w:rPr>
            </w:pPr>
            <w:r>
              <w:rPr>
                <w:rFonts w:ascii="Arial" w:cs="Arial" w:eastAsia="Arial" w:hAnsi="Arial"/>
                <w:sz w:val="18"/>
                <w:szCs w:val="18"/>
                <w:color w:val="auto"/>
              </w:rPr>
              <w:t>A summary of fixed assets follows: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1"/>
              </w:rPr>
              <w:t>Mar.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color w:val="auto"/>
                <w:w w:val="91"/>
              </w:rPr>
              <w:t>Dec.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15"/>
                <w:szCs w:val="15"/>
                <w:color w:val="auto"/>
              </w:rPr>
            </w:pPr>
          </w:p>
        </w:tc>
        <w:tc>
          <w:tcPr>
            <w:tcW w:w="1080" w:type="dxa"/>
            <w:vAlign w:val="bottom"/>
            <w:gridSpan w:val="7"/>
          </w:tcPr>
          <w:p>
            <w:pPr>
              <w:jc w:val="right"/>
              <w:ind w:right="300"/>
              <w:spacing w:after="0"/>
              <w:rPr>
                <w:sz w:val="20"/>
                <w:szCs w:val="20"/>
                <w:color w:val="auto"/>
              </w:rPr>
            </w:pPr>
            <w:r>
              <w:rPr>
                <w:rFonts w:ascii="Arial" w:cs="Arial" w:eastAsia="Arial" w:hAnsi="Arial"/>
                <w:sz w:val="14"/>
                <w:szCs w:val="14"/>
                <w:color w:val="auto"/>
              </w:rPr>
              <w:t>2002</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gridSpan w:val="2"/>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gridSpan w:val="9"/>
          </w:tcPr>
          <w:p>
            <w:pPr>
              <w:jc w:val="right"/>
              <w:ind w:right="500"/>
              <w:spacing w:after="0"/>
              <w:rPr>
                <w:sz w:val="20"/>
                <w:szCs w:val="20"/>
                <w:color w:val="auto"/>
              </w:rPr>
            </w:pPr>
            <w:r>
              <w:rPr>
                <w:rFonts w:ascii="Arial" w:cs="Arial" w:eastAsia="Arial" w:hAnsi="Arial"/>
                <w:sz w:val="14"/>
                <w:szCs w:val="14"/>
                <w:i w:val="1"/>
                <w:iCs w:val="1"/>
                <w:color w:val="auto"/>
              </w:rPr>
              <w:t>(Stated in millions)</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00" w:type="dxa"/>
            <w:vAlign w:val="bottom"/>
            <w:vMerge w:val="restart"/>
          </w:tcPr>
          <w:p>
            <w:pPr>
              <w:spacing w:after="0"/>
              <w:rPr>
                <w:sz w:val="8"/>
                <w:szCs w:val="8"/>
                <w:color w:val="auto"/>
              </w:rPr>
            </w:pPr>
          </w:p>
        </w:tc>
        <w:tc>
          <w:tcPr>
            <w:tcW w:w="18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94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11,641</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7,117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6,938</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4,524</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7820" w:type="dxa"/>
            <w:vAlign w:val="bottom"/>
            <w:gridSpan w:val="5"/>
            <w:vMerge w:val="restart"/>
          </w:tcPr>
          <w:p>
            <w:pPr>
              <w:ind w:left="5620"/>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7820" w:type="dxa"/>
            <w:vAlign w:val="bottom"/>
            <w:gridSpan w:val="5"/>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00" w:type="dxa"/>
            <w:vAlign w:val="bottom"/>
            <w:tcBorders>
              <w:bottom w:val="single" w:sz="8" w:color="999999"/>
            </w:tcBorders>
          </w:tcPr>
          <w:p>
            <w:pPr>
              <w:spacing w:after="0"/>
              <w:rPr>
                <w:sz w:val="21"/>
                <w:szCs w:val="21"/>
                <w:color w:val="auto"/>
              </w:rPr>
            </w:pPr>
          </w:p>
        </w:tc>
        <w:tc>
          <w:tcPr>
            <w:tcW w:w="180" w:type="dxa"/>
            <w:vAlign w:val="bottom"/>
            <w:tcBorders>
              <w:bottom w:val="single" w:sz="8" w:color="999999"/>
            </w:tcBorders>
          </w:tcPr>
          <w:p>
            <w:pPr>
              <w:spacing w:after="0"/>
              <w:rPr>
                <w:sz w:val="21"/>
                <w:szCs w:val="21"/>
                <w:color w:val="auto"/>
              </w:rPr>
            </w:pPr>
          </w:p>
        </w:tc>
        <w:tc>
          <w:tcPr>
            <w:tcW w:w="560" w:type="dxa"/>
            <w:vAlign w:val="bottom"/>
            <w:tcBorders>
              <w:bottom w:val="single" w:sz="8" w:color="999999"/>
            </w:tcBorders>
          </w:tcPr>
          <w:p>
            <w:pPr>
              <w:spacing w:after="0"/>
              <w:rPr>
                <w:sz w:val="21"/>
                <w:szCs w:val="21"/>
                <w:color w:val="auto"/>
              </w:rPr>
            </w:pPr>
          </w:p>
        </w:tc>
        <w:tc>
          <w:tcPr>
            <w:tcW w:w="420" w:type="dxa"/>
            <w:vAlign w:val="bottom"/>
            <w:tcBorders>
              <w:bottom w:val="single" w:sz="8" w:color="999999"/>
            </w:tcBorders>
          </w:tcPr>
          <w:p>
            <w:pPr>
              <w:spacing w:after="0"/>
              <w:rPr>
                <w:sz w:val="21"/>
                <w:szCs w:val="21"/>
                <w:color w:val="auto"/>
              </w:rPr>
            </w:pPr>
          </w:p>
        </w:tc>
        <w:tc>
          <w:tcPr>
            <w:tcW w:w="5960" w:type="dxa"/>
            <w:vAlign w:val="bottom"/>
            <w:tcBorders>
              <w:bottom w:val="single" w:sz="8" w:color="999999"/>
            </w:tcBorders>
          </w:tcPr>
          <w:p>
            <w:pPr>
              <w:spacing w:after="0"/>
              <w:rPr>
                <w:sz w:val="21"/>
                <w:szCs w:val="21"/>
                <w:color w:val="auto"/>
              </w:rPr>
            </w:pPr>
          </w:p>
        </w:tc>
        <w:tc>
          <w:tcPr>
            <w:tcW w:w="700" w:type="dxa"/>
            <w:vAlign w:val="bottom"/>
            <w:tcBorders>
              <w:bottom w:val="single" w:sz="8" w:color="999999"/>
            </w:tcBorders>
          </w:tcPr>
          <w:p>
            <w:pPr>
              <w:spacing w:after="0"/>
              <w:rPr>
                <w:sz w:val="21"/>
                <w:szCs w:val="21"/>
                <w:color w:val="auto"/>
              </w:rPr>
            </w:pPr>
          </w:p>
        </w:tc>
        <w:tc>
          <w:tcPr>
            <w:tcW w:w="140" w:type="dxa"/>
            <w:vAlign w:val="bottom"/>
            <w:tcBorders>
              <w:bottom w:val="single" w:sz="8" w:color="999999"/>
            </w:tcBorders>
          </w:tcPr>
          <w:p>
            <w:pPr>
              <w:spacing w:after="0"/>
              <w:rPr>
                <w:sz w:val="21"/>
                <w:szCs w:val="21"/>
                <w:color w:val="auto"/>
              </w:rPr>
            </w:pPr>
          </w:p>
        </w:tc>
        <w:tc>
          <w:tcPr>
            <w:tcW w:w="60" w:type="dxa"/>
            <w:vAlign w:val="bottom"/>
            <w:tcBorders>
              <w:bottom w:val="single" w:sz="8" w:color="999999"/>
            </w:tcBorders>
          </w:tcPr>
          <w:p>
            <w:pPr>
              <w:spacing w:after="0"/>
              <w:rPr>
                <w:sz w:val="21"/>
                <w:szCs w:val="21"/>
                <w:color w:val="auto"/>
              </w:rPr>
            </w:pPr>
          </w:p>
        </w:tc>
        <w:tc>
          <w:tcPr>
            <w:tcW w:w="80" w:type="dxa"/>
            <w:vAlign w:val="bottom"/>
            <w:tcBorders>
              <w:bottom w:val="single" w:sz="8" w:color="999999"/>
            </w:tcBorders>
          </w:tcPr>
          <w:p>
            <w:pPr>
              <w:spacing w:after="0"/>
              <w:rPr>
                <w:sz w:val="21"/>
                <w:szCs w:val="21"/>
                <w:color w:val="auto"/>
              </w:rPr>
            </w:pPr>
          </w:p>
        </w:tc>
        <w:tc>
          <w:tcPr>
            <w:tcW w:w="60" w:type="dxa"/>
            <w:vAlign w:val="bottom"/>
            <w:tcBorders>
              <w:bottom w:val="single" w:sz="8" w:color="999999"/>
            </w:tcBorders>
          </w:tcPr>
          <w:p>
            <w:pPr>
              <w:spacing w:after="0"/>
              <w:rPr>
                <w:sz w:val="21"/>
                <w:szCs w:val="21"/>
                <w:color w:val="auto"/>
              </w:rPr>
            </w:pPr>
          </w:p>
        </w:tc>
        <w:tc>
          <w:tcPr>
            <w:tcW w:w="540" w:type="dxa"/>
            <w:vAlign w:val="bottom"/>
            <w:tcBorders>
              <w:bottom w:val="single" w:sz="8" w:color="999999"/>
            </w:tcBorders>
          </w:tcPr>
          <w:p>
            <w:pPr>
              <w:spacing w:after="0"/>
              <w:rPr>
                <w:sz w:val="21"/>
                <w:szCs w:val="21"/>
                <w:color w:val="auto"/>
              </w:rPr>
            </w:pPr>
          </w:p>
        </w:tc>
        <w:tc>
          <w:tcPr>
            <w:tcW w:w="80" w:type="dxa"/>
            <w:vAlign w:val="bottom"/>
            <w:tcBorders>
              <w:bottom w:val="single" w:sz="8" w:color="999999"/>
            </w:tcBorders>
          </w:tcPr>
          <w:p>
            <w:pPr>
              <w:spacing w:after="0"/>
              <w:rPr>
                <w:sz w:val="21"/>
                <w:szCs w:val="21"/>
                <w:color w:val="auto"/>
              </w:rPr>
            </w:pPr>
          </w:p>
        </w:tc>
        <w:tc>
          <w:tcPr>
            <w:tcW w:w="200" w:type="dxa"/>
            <w:vAlign w:val="bottom"/>
            <w:tcBorders>
              <w:bottom w:val="single" w:sz="8" w:color="999999"/>
            </w:tcBorders>
          </w:tcPr>
          <w:p>
            <w:pPr>
              <w:spacing w:after="0"/>
              <w:rPr>
                <w:sz w:val="21"/>
                <w:szCs w:val="21"/>
                <w:color w:val="auto"/>
              </w:rPr>
            </w:pPr>
          </w:p>
        </w:tc>
        <w:tc>
          <w:tcPr>
            <w:tcW w:w="100" w:type="dxa"/>
            <w:vAlign w:val="bottom"/>
            <w:tcBorders>
              <w:bottom w:val="single" w:sz="8" w:color="999999"/>
            </w:tcBorders>
          </w:tcPr>
          <w:p>
            <w:pPr>
              <w:spacing w:after="0"/>
              <w:rPr>
                <w:sz w:val="21"/>
                <w:szCs w:val="21"/>
                <w:color w:val="auto"/>
              </w:rPr>
            </w:pPr>
          </w:p>
        </w:tc>
        <w:tc>
          <w:tcPr>
            <w:tcW w:w="40" w:type="dxa"/>
            <w:vAlign w:val="bottom"/>
            <w:tcBorders>
              <w:bottom w:val="single" w:sz="8" w:color="999999"/>
            </w:tcBorders>
          </w:tcPr>
          <w:p>
            <w:pPr>
              <w:spacing w:after="0"/>
              <w:rPr>
                <w:sz w:val="21"/>
                <w:szCs w:val="21"/>
                <w:color w:val="auto"/>
              </w:rPr>
            </w:pPr>
          </w:p>
        </w:tc>
        <w:tc>
          <w:tcPr>
            <w:tcW w:w="40" w:type="dxa"/>
            <w:vAlign w:val="bottom"/>
            <w:tcBorders>
              <w:bottom w:val="single" w:sz="8" w:color="999999"/>
            </w:tcBorders>
          </w:tcPr>
          <w:p>
            <w:pPr>
              <w:spacing w:after="0"/>
              <w:rPr>
                <w:sz w:val="21"/>
                <w:szCs w:val="21"/>
                <w:color w:val="auto"/>
              </w:rPr>
            </w:pPr>
          </w:p>
        </w:tc>
        <w:tc>
          <w:tcPr>
            <w:tcW w:w="120" w:type="dxa"/>
            <w:vAlign w:val="bottom"/>
            <w:tcBorders>
              <w:bottom w:val="single" w:sz="8" w:color="999999"/>
            </w:tcBorders>
          </w:tcPr>
          <w:p>
            <w:pPr>
              <w:spacing w:after="0"/>
              <w:rPr>
                <w:sz w:val="21"/>
                <w:szCs w:val="21"/>
                <w:color w:val="auto"/>
              </w:rPr>
            </w:pPr>
          </w:p>
        </w:tc>
        <w:tc>
          <w:tcPr>
            <w:tcW w:w="20" w:type="dxa"/>
            <w:vAlign w:val="bottom"/>
            <w:tcBorders>
              <w:bottom w:val="single" w:sz="8" w:color="999999"/>
            </w:tcBorders>
          </w:tcPr>
          <w:p>
            <w:pPr>
              <w:spacing w:after="0"/>
              <w:rPr>
                <w:sz w:val="21"/>
                <w:szCs w:val="21"/>
                <w:color w:val="auto"/>
              </w:rPr>
            </w:pPr>
          </w:p>
        </w:tc>
        <w:tc>
          <w:tcPr>
            <w:tcW w:w="560" w:type="dxa"/>
            <w:vAlign w:val="bottom"/>
            <w:tcBorders>
              <w:bottom w:val="single" w:sz="8" w:color="999999"/>
            </w:tcBorders>
          </w:tcPr>
          <w:p>
            <w:pPr>
              <w:spacing w:after="0"/>
              <w:rPr>
                <w:sz w:val="21"/>
                <w:szCs w:val="21"/>
                <w:color w:val="auto"/>
              </w:rPr>
            </w:pPr>
          </w:p>
        </w:tc>
        <w:tc>
          <w:tcPr>
            <w:tcW w:w="900" w:type="dxa"/>
            <w:vAlign w:val="bottom"/>
            <w:tcBorders>
              <w:bottom w:val="single" w:sz="8" w:color="999999"/>
            </w:tcBorders>
          </w:tcPr>
          <w:p>
            <w:pPr>
              <w:spacing w:after="0"/>
              <w:rPr>
                <w:sz w:val="21"/>
                <w:szCs w:val="21"/>
                <w:color w:val="auto"/>
              </w:rPr>
            </w:pPr>
          </w:p>
        </w:tc>
        <w:tc>
          <w:tcPr>
            <w:tcW w:w="0" w:type="dxa"/>
            <w:vAlign w:val="bottom"/>
          </w:tcPr>
          <w:p>
            <w:pPr>
              <w:spacing w:after="0"/>
              <w:rPr>
                <w:sz w:val="1"/>
                <w:szCs w:val="1"/>
                <w:color w:val="auto"/>
              </w:rPr>
            </w:pPr>
          </w:p>
        </w:tc>
      </w:tr>
      <w:tr>
        <w:trPr>
          <w:trHeight w:val="429"/>
        </w:trPr>
        <w:tc>
          <w:tcPr>
            <w:tcW w:w="18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9"/>
              </w:rPr>
              <w:t>Multiclient Seismic Data</w:t>
            </w:r>
          </w:p>
        </w:tc>
        <w:tc>
          <w:tcPr>
            <w:tcW w:w="5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820" w:type="dxa"/>
            <w:vAlign w:val="bottom"/>
            <w:gridSpan w:val="5"/>
          </w:tcPr>
          <w:p>
            <w:pPr>
              <w:spacing w:after="0"/>
              <w:rPr>
                <w:sz w:val="20"/>
                <w:szCs w:val="20"/>
                <w:color w:val="auto"/>
              </w:rPr>
            </w:pPr>
            <w:r>
              <w:rPr>
                <w:rFonts w:ascii="Arial" w:cs="Arial" w:eastAsia="Arial" w:hAnsi="Arial"/>
                <w:sz w:val="18"/>
                <w:szCs w:val="18"/>
                <w:color w:val="auto"/>
              </w:rPr>
              <w:t>The change in the carrying amount of multiclient seismic data is as follows: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gridSpan w:val="6"/>
          </w:tcPr>
          <w:p>
            <w:pPr>
              <w:jc w:val="right"/>
              <w:ind w:right="420"/>
              <w:spacing w:after="0"/>
              <w:rPr>
                <w:sz w:val="20"/>
                <w:szCs w:val="20"/>
                <w:color w:val="auto"/>
              </w:rPr>
            </w:pPr>
            <w:r>
              <w:rPr>
                <w:rFonts w:ascii="Arial" w:cs="Arial" w:eastAsia="Arial" w:hAnsi="Arial"/>
                <w:sz w:val="14"/>
                <w:szCs w:val="14"/>
                <w:color w:val="auto"/>
              </w:rPr>
              <w:t>Mar.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580" w:type="dxa"/>
            <w:vAlign w:val="bottom"/>
            <w:gridSpan w:val="6"/>
          </w:tcPr>
          <w:p>
            <w:pPr>
              <w:ind w:left="880"/>
              <w:spacing w:after="0"/>
              <w:rPr>
                <w:sz w:val="20"/>
                <w:szCs w:val="20"/>
                <w:color w:val="auto"/>
              </w:rPr>
            </w:pPr>
            <w:r>
              <w:rPr>
                <w:rFonts w:ascii="Arial" w:cs="Arial" w:eastAsia="Arial" w:hAnsi="Arial"/>
                <w:sz w:val="14"/>
                <w:szCs w:val="14"/>
                <w:color w:val="auto"/>
              </w:rPr>
              <w:t>2003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660" w:type="dxa"/>
            <w:vAlign w:val="bottom"/>
            <w:tcBorders>
              <w:bottom w:val="single" w:sz="8" w:color="auto"/>
            </w:tcBorders>
            <w:gridSpan w:val="7"/>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166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7"/>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Capitalized in year</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Charged to cost of sales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7"/>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2003</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spacing w:after="0"/>
              <w:rPr>
                <w:sz w:val="11"/>
                <w:szCs w:val="11"/>
                <w:color w:val="auto"/>
              </w:rPr>
            </w:pPr>
          </w:p>
        </w:tc>
        <w:tc>
          <w:tcPr>
            <w:tcW w:w="59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Goodwill</w:t>
            </w:r>
          </w:p>
        </w:tc>
        <w:tc>
          <w:tcPr>
            <w:tcW w:w="712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820" w:type="dxa"/>
            <w:vAlign w:val="bottom"/>
            <w:gridSpan w:val="5"/>
          </w:tcPr>
          <w:p>
            <w:pPr>
              <w:spacing w:after="0"/>
              <w:rPr>
                <w:sz w:val="20"/>
                <w:szCs w:val="20"/>
                <w:color w:val="auto"/>
              </w:rPr>
            </w:pPr>
            <w:r>
              <w:rPr>
                <w:rFonts w:ascii="Arial" w:cs="Arial" w:eastAsia="Arial" w:hAnsi="Arial"/>
                <w:sz w:val="18"/>
                <w:szCs w:val="18"/>
                <w:color w:val="auto"/>
                <w:w w:val="93"/>
              </w:rPr>
              <w:t>The changes in the carrying amount of goodwill for the three months ended March 31, 2003 is as follows: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660" w:type="dxa"/>
            <w:vAlign w:val="bottom"/>
            <w:gridSpan w:val="7"/>
          </w:tcPr>
          <w:p>
            <w:pPr>
              <w:jc w:val="right"/>
              <w:ind w:right="60"/>
              <w:spacing w:after="0"/>
              <w:rPr>
                <w:sz w:val="20"/>
                <w:szCs w:val="20"/>
                <w:color w:val="auto"/>
              </w:rPr>
            </w:pPr>
            <w:r>
              <w:rPr>
                <w:rFonts w:ascii="Arial" w:cs="Arial" w:eastAsia="Arial" w:hAnsi="Arial"/>
                <w:sz w:val="14"/>
                <w:szCs w:val="14"/>
                <w:i w:val="1"/>
                <w:iCs w:val="1"/>
                <w:color w:val="auto"/>
              </w:rPr>
              <w:t>(Stated in millions)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5"/>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Impact of change in exchange rates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5"/>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2003</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-5688965</wp:posOffset>
            </wp:positionV>
            <wp:extent cx="117919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7919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-3922395</wp:posOffset>
            </wp:positionV>
            <wp:extent cx="130746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07465"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-3459480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-3459480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-1555750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-1555750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-1555750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Intangible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follows: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Mar. 31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Dec. 31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630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right"/>
              <w:ind w:right="12"/>
              <w:spacing w:after="0"/>
              <w:rPr>
                <w:sz w:val="20"/>
                <w:szCs w:val="20"/>
                <w:color w:val="auto"/>
              </w:rPr>
            </w:pPr>
            <w:r>
              <w:rPr>
                <w:rFonts w:ascii="Arial" w:cs="Arial" w:eastAsia="Arial" w:hAnsi="Arial"/>
                <w:sz w:val="14"/>
                <w:szCs w:val="14"/>
                <w:color w:val="auto"/>
              </w:rPr>
              <w:t>2002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630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240" w:type="dxa"/>
            <w:vAlign w:val="bottom"/>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6300" w:type="dxa"/>
            <w:vAlign w:val="bottom"/>
          </w:tcPr>
          <w:p>
            <w:pPr>
              <w:spacing w:after="0"/>
              <w:rPr>
                <w:sz w:val="22"/>
                <w:szCs w:val="22"/>
                <w:color w:val="auto"/>
              </w:rPr>
            </w:pPr>
          </w:p>
        </w:tc>
        <w:tc>
          <w:tcPr>
            <w:tcW w:w="1960" w:type="dxa"/>
            <w:vAlign w:val="bottom"/>
            <w:gridSpan w:val="5"/>
          </w:tcPr>
          <w:p>
            <w:pPr>
              <w:jc w:val="right"/>
              <w:ind w:right="252"/>
              <w:spacing w:after="0"/>
              <w:rPr>
                <w:sz w:val="20"/>
                <w:szCs w:val="20"/>
                <w:color w:val="auto"/>
              </w:rPr>
            </w:pPr>
            <w:r>
              <w:rPr>
                <w:rFonts w:ascii="Arial" w:cs="Arial" w:eastAsia="Arial" w:hAnsi="Arial"/>
                <w:sz w:val="14"/>
                <w:szCs w:val="14"/>
                <w:color w:val="auto"/>
              </w:rPr>
              <w:t>(Stated in millions)</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6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Gross book value</w:t>
            </w:r>
          </w:p>
        </w:tc>
        <w:tc>
          <w:tcPr>
            <w:tcW w:w="720" w:type="dxa"/>
            <w:vAlign w:val="bottom"/>
            <w:shd w:val="clear" w:color="auto" w:fill="CCEEFF"/>
          </w:tcPr>
          <w:p>
            <w:pPr>
              <w:jc w:val="right"/>
              <w:ind w:right="544"/>
              <w:spacing w:after="0"/>
              <w:rPr>
                <w:sz w:val="20"/>
                <w:szCs w:val="20"/>
                <w:color w:val="auto"/>
              </w:rPr>
            </w:pPr>
            <w:r>
              <w:rPr>
                <w:rFonts w:ascii="Arial" w:cs="Arial" w:eastAsia="Arial" w:hAnsi="Arial"/>
                <w:sz w:val="18"/>
                <w:szCs w:val="18"/>
                <w:b w:val="1"/>
                <w:bCs w:val="1"/>
                <w:color w:val="auto"/>
                <w:w w:val="79"/>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913</w:t>
            </w:r>
          </w:p>
        </w:tc>
        <w:tc>
          <w:tcPr>
            <w:tcW w:w="9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953</w:t>
            </w:r>
          </w:p>
        </w:tc>
        <w:tc>
          <w:tcPr>
            <w:tcW w:w="20" w:type="dxa"/>
            <w:vAlign w:val="bottom"/>
          </w:tcPr>
          <w:p>
            <w:pPr>
              <w:spacing w:after="0"/>
              <w:rPr>
                <w:sz w:val="18"/>
                <w:szCs w:val="18"/>
                <w:color w:val="auto"/>
              </w:rPr>
            </w:pPr>
          </w:p>
        </w:tc>
      </w:tr>
      <w:tr>
        <w:trPr>
          <w:trHeight w:val="228"/>
        </w:trPr>
        <w:tc>
          <w:tcPr>
            <w:tcW w:w="63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7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378</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394</w:t>
            </w:r>
          </w:p>
        </w:tc>
        <w:tc>
          <w:tcPr>
            <w:tcW w:w="20" w:type="dxa"/>
            <w:vAlign w:val="bottom"/>
          </w:tcPr>
          <w:p>
            <w:pPr>
              <w:spacing w:after="0"/>
              <w:rPr>
                <w:sz w:val="19"/>
                <w:szCs w:val="19"/>
                <w:color w:val="auto"/>
              </w:rPr>
            </w:pPr>
          </w:p>
        </w:tc>
      </w:tr>
      <w:tr>
        <w:trPr>
          <w:trHeight w:val="96"/>
        </w:trPr>
        <w:tc>
          <w:tcPr>
            <w:tcW w:w="63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4"/>
              <w:spacing w:after="0"/>
              <w:rPr>
                <w:sz w:val="20"/>
                <w:szCs w:val="20"/>
                <w:color w:val="auto"/>
              </w:rPr>
            </w:pPr>
            <w:r>
              <w:rPr>
                <w:rFonts w:ascii="Arial" w:cs="Arial" w:eastAsia="Arial" w:hAnsi="Arial"/>
                <w:sz w:val="18"/>
                <w:szCs w:val="18"/>
                <w:b w:val="1"/>
                <w:bCs w:val="1"/>
                <w:color w:val="auto"/>
                <w:w w:val="79"/>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535</w:t>
            </w:r>
          </w:p>
        </w:tc>
        <w:tc>
          <w:tcPr>
            <w:tcW w:w="9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559</w:t>
            </w:r>
          </w:p>
        </w:tc>
        <w:tc>
          <w:tcPr>
            <w:tcW w:w="20" w:type="dxa"/>
            <w:vAlign w:val="bottom"/>
          </w:tcPr>
          <w:p>
            <w:pPr>
              <w:spacing w:after="0"/>
              <w:rPr>
                <w:sz w:val="18"/>
                <w:szCs w:val="18"/>
                <w:color w:val="auto"/>
              </w:rPr>
            </w:pPr>
          </w:p>
        </w:tc>
      </w:tr>
      <w:tr>
        <w:trPr>
          <w:trHeight w:val="132"/>
        </w:trPr>
        <w:tc>
          <w:tcPr>
            <w:tcW w:w="63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charged to income for the first quarter 2003 was $26 million.</w:t>
      </w:r>
    </w:p>
    <w:p>
      <w:pPr>
        <w:spacing w:after="0" w:line="15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Intangible assets principally comprise patents, software, technology and other. At March 31, 2003, the gross book value, accumulated amortization and amortization periods of intangible assets were as follows:</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80"/>
              <w:spacing w:after="0"/>
              <w:rPr>
                <w:sz w:val="20"/>
                <w:szCs w:val="20"/>
                <w:color w:val="auto"/>
              </w:rPr>
            </w:pPr>
            <w:r>
              <w:rPr>
                <w:rFonts w:ascii="Arial" w:cs="Arial" w:eastAsia="Arial" w:hAnsi="Arial"/>
                <w:sz w:val="14"/>
                <w:szCs w:val="14"/>
                <w:color w:val="auto"/>
              </w:rPr>
              <w:t>Gross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58"/>
              <w:spacing w:after="0"/>
              <w:rPr>
                <w:sz w:val="20"/>
                <w:szCs w:val="20"/>
                <w:color w:val="auto"/>
              </w:rPr>
            </w:pPr>
            <w:r>
              <w:rPr>
                <w:rFonts w:ascii="Arial" w:cs="Arial" w:eastAsia="Arial" w:hAnsi="Arial"/>
                <w:sz w:val="14"/>
                <w:szCs w:val="14"/>
                <w:color w:val="auto"/>
                <w:w w:val="86"/>
              </w:rPr>
              <w:t>Accumulated</w:t>
            </w: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0"/>
              <w:spacing w:after="0"/>
              <w:rPr>
                <w:sz w:val="20"/>
                <w:szCs w:val="20"/>
                <w:color w:val="auto"/>
              </w:rPr>
            </w:pPr>
            <w:r>
              <w:rPr>
                <w:rFonts w:ascii="Arial" w:cs="Arial" w:eastAsia="Arial" w:hAnsi="Arial"/>
                <w:sz w:val="14"/>
                <w:szCs w:val="14"/>
                <w:color w:val="auto"/>
                <w:w w:val="83"/>
              </w:rPr>
              <w:t>Book Value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58"/>
              <w:spacing w:after="0"/>
              <w:rPr>
                <w:sz w:val="20"/>
                <w:szCs w:val="20"/>
                <w:color w:val="auto"/>
              </w:rPr>
            </w:pPr>
            <w:r>
              <w:rPr>
                <w:rFonts w:ascii="Arial" w:cs="Arial" w:eastAsia="Arial" w:hAnsi="Arial"/>
                <w:sz w:val="14"/>
                <w:szCs w:val="14"/>
                <w:color w:val="auto"/>
                <w:w w:val="89"/>
              </w:rPr>
              <w:t>Amortization</w:t>
            </w:r>
          </w:p>
        </w:tc>
        <w:tc>
          <w:tcPr>
            <w:tcW w:w="28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Arial" w:cs="Arial" w:eastAsia="Arial" w:hAnsi="Arial"/>
                <w:sz w:val="14"/>
                <w:szCs w:val="14"/>
                <w:color w:val="auto"/>
                <w:w w:val="95"/>
              </w:rPr>
              <w:t>Amortization Periods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gridSpan w:val="4"/>
          </w:tcPr>
          <w:p>
            <w:pPr>
              <w:jc w:val="right"/>
              <w:ind w:right="438"/>
              <w:spacing w:after="0"/>
              <w:rPr>
                <w:sz w:val="20"/>
                <w:szCs w:val="20"/>
                <w:color w:val="auto"/>
              </w:rPr>
            </w:pPr>
            <w:r>
              <w:rPr>
                <w:rFonts w:ascii="Arial" w:cs="Arial" w:eastAsia="Arial" w:hAnsi="Arial"/>
                <w:sz w:val="14"/>
                <w:szCs w:val="14"/>
                <w:i w:val="1"/>
                <w:iCs w:val="1"/>
                <w:color w:val="auto"/>
              </w:rPr>
              <w:t>(Stated in millions)</w:t>
            </w: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6"/>
              </w:rPr>
              <w:t>5—10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Technology</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1340" w:type="dxa"/>
            <w:vAlign w:val="bottom"/>
          </w:tcPr>
          <w:p>
            <w:pPr>
              <w:ind w:left="480"/>
              <w:spacing w:after="0"/>
              <w:rPr>
                <w:sz w:val="20"/>
                <w:szCs w:val="20"/>
                <w:color w:val="auto"/>
              </w:rPr>
            </w:pPr>
            <w:r>
              <w:rPr>
                <w:rFonts w:ascii="Arial" w:cs="Arial" w:eastAsia="Arial" w:hAnsi="Arial"/>
                <w:sz w:val="18"/>
                <w:szCs w:val="18"/>
                <w:color w:val="auto"/>
                <w:w w:val="86"/>
              </w:rPr>
              <w:t>5—10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6"/>
              </w:rPr>
              <w:t>5—10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1340" w:type="dxa"/>
            <w:vAlign w:val="bottom"/>
          </w:tcPr>
          <w:p>
            <w:pPr>
              <w:ind w:left="480"/>
              <w:spacing w:after="0"/>
              <w:rPr>
                <w:sz w:val="20"/>
                <w:szCs w:val="20"/>
                <w:color w:val="auto"/>
              </w:rPr>
            </w:pPr>
            <w:r>
              <w:rPr>
                <w:rFonts w:ascii="Arial" w:cs="Arial" w:eastAsia="Arial" w:hAnsi="Arial"/>
                <w:sz w:val="18"/>
                <w:szCs w:val="18"/>
                <w:color w:val="auto"/>
                <w:w w:val="86"/>
              </w:rPr>
              <w:t>1—15 years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7 years.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Compensation Plans</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of March 31, 2003, Schlumberger had two types of stock-based compensation plans, which are described below. Schlumberger applies APB Opinion 25 and related Interpretations in accounting for its plans. Accordingly, no compensation cost has been recognized for its stock option plans and its stock purchase plan. Had compensation cost for the stock-based Schlumberger plans been determined based on the fair value at the grant dates for awards under those plans, consistent with the method of SFAS 123, Schlumberger net income and earnings per share would have been the pro forma amounts indicated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40" w:type="dxa"/>
            <w:vAlign w:val="bottom"/>
            <w:gridSpan w:val="5"/>
          </w:tcPr>
          <w:p>
            <w:pPr>
              <w:ind w:left="860"/>
              <w:spacing w:after="0"/>
              <w:rPr>
                <w:sz w:val="20"/>
                <w:szCs w:val="20"/>
                <w:color w:val="auto"/>
              </w:rPr>
            </w:pPr>
            <w:r>
              <w:rPr>
                <w:rFonts w:ascii="Arial" w:cs="Arial" w:eastAsia="Arial" w:hAnsi="Arial"/>
                <w:sz w:val="14"/>
                <w:szCs w:val="14"/>
                <w:color w:val="auto"/>
              </w:rPr>
              <w:t>Three months ended March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417"/>
              <w:spacing w:after="0"/>
              <w:rPr>
                <w:sz w:val="20"/>
                <w:szCs w:val="20"/>
                <w:color w:val="auto"/>
              </w:rPr>
            </w:pPr>
            <w:r>
              <w:rPr>
                <w:rFonts w:ascii="Arial" w:cs="Arial" w:eastAsia="Arial" w:hAnsi="Arial"/>
                <w:sz w:val="14"/>
                <w:szCs w:val="14"/>
                <w:b w:val="1"/>
                <w:bCs w:val="1"/>
                <w:color w:val="auto"/>
                <w:w w:val="83"/>
              </w:rPr>
              <w:t>2003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80" w:type="dxa"/>
            <w:vAlign w:val="bottom"/>
            <w:gridSpan w:val="10"/>
          </w:tcPr>
          <w:p>
            <w:pPr>
              <w:jc w:val="right"/>
              <w:ind w:right="280"/>
              <w:spacing w:after="0"/>
              <w:rPr>
                <w:sz w:val="20"/>
                <w:szCs w:val="20"/>
                <w:color w:val="auto"/>
              </w:rPr>
            </w:pPr>
            <w:r>
              <w:rPr>
                <w:rFonts w:ascii="Arial" w:cs="Arial" w:eastAsia="Arial" w:hAnsi="Arial"/>
                <w:sz w:val="14"/>
                <w:szCs w:val="14"/>
                <w:i w:val="1"/>
                <w:iCs w:val="1"/>
                <w:color w:val="auto"/>
                <w:w w:val="91"/>
              </w:rPr>
              <w:t>(Stated in millions except per share amounts)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60" w:type="dxa"/>
            <w:vAlign w:val="bottom"/>
            <w:gridSpan w:val="4"/>
          </w:tcPr>
          <w:p>
            <w:pPr>
              <w:ind w:left="240"/>
              <w:spacing w:after="0"/>
              <w:rPr>
                <w:sz w:val="20"/>
                <w:szCs w:val="20"/>
                <w:color w:val="auto"/>
              </w:rPr>
            </w:pPr>
            <w:r>
              <w:rPr>
                <w:rFonts w:ascii="Arial" w:cs="Arial" w:eastAsia="Arial" w:hAnsi="Arial"/>
                <w:sz w:val="18"/>
                <w:szCs w:val="18"/>
                <w:color w:val="auto"/>
              </w:rPr>
              <w:t>As reported</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149</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Proforma</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112</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323"/>
        </w:trPr>
        <w:tc>
          <w:tcPr>
            <w:tcW w:w="7440" w:type="dxa"/>
            <w:vAlign w:val="bottom"/>
            <w:gridSpan w:val="5"/>
          </w:tcPr>
          <w:p>
            <w:pPr>
              <w:ind w:left="860"/>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65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As reported</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0.26</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6560" w:type="dxa"/>
            <w:vAlign w:val="bottom"/>
            <w:gridSpan w:val="4"/>
          </w:tcPr>
          <w:p>
            <w:pPr>
              <w:ind w:left="240"/>
              <w:spacing w:after="0"/>
              <w:rPr>
                <w:sz w:val="20"/>
                <w:szCs w:val="20"/>
                <w:color w:val="auto"/>
              </w:rPr>
            </w:pPr>
            <w:r>
              <w:rPr>
                <w:rFonts w:ascii="Arial" w:cs="Arial" w:eastAsia="Arial" w:hAnsi="Arial"/>
                <w:sz w:val="18"/>
                <w:szCs w:val="18"/>
                <w:color w:val="auto"/>
              </w:rPr>
              <w:t>Proforma</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0.19</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96"/>
        </w:trPr>
        <w:tc>
          <w:tcPr>
            <w:tcW w:w="88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60" w:type="dxa"/>
            <w:vAlign w:val="bottom"/>
            <w:gridSpan w:val="4"/>
          </w:tcPr>
          <w:p>
            <w:pPr>
              <w:ind w:left="240"/>
              <w:spacing w:after="0"/>
              <w:rPr>
                <w:sz w:val="20"/>
                <w:szCs w:val="20"/>
                <w:color w:val="auto"/>
              </w:rPr>
            </w:pPr>
            <w:r>
              <w:rPr>
                <w:rFonts w:ascii="Arial" w:cs="Arial" w:eastAsia="Arial" w:hAnsi="Arial"/>
                <w:sz w:val="18"/>
                <w:szCs w:val="18"/>
                <w:color w:val="auto"/>
              </w:rPr>
              <w:t>As reported</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0.26</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Proforma</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0.19</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24"/>
        </w:trPr>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6"/>
              </w:rPr>
              <w:t>Income Tax Expense</w:t>
            </w:r>
          </w:p>
        </w:tc>
        <w:tc>
          <w:tcPr>
            <w:tcW w:w="58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440" w:type="dxa"/>
            <w:vAlign w:val="bottom"/>
            <w:gridSpan w:val="5"/>
          </w:tcPr>
          <w:p>
            <w:pPr>
              <w:spacing w:after="0"/>
              <w:rPr>
                <w:sz w:val="20"/>
                <w:szCs w:val="20"/>
                <w:color w:val="auto"/>
              </w:rPr>
            </w:pPr>
            <w:r>
              <w:rPr>
                <w:rFonts w:ascii="Arial" w:cs="Arial" w:eastAsia="Arial" w:hAnsi="Arial"/>
                <w:sz w:val="18"/>
                <w:szCs w:val="18"/>
                <w:color w:val="auto"/>
                <w:w w:val="89"/>
              </w:rPr>
              <w:t>Pretax book income from continuing operations subject to US and non-US income taxes was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0" w:type="dxa"/>
            <w:vAlign w:val="bottom"/>
            <w:gridSpan w:val="3"/>
          </w:tcPr>
          <w:p>
            <w:pPr>
              <w:spacing w:after="0"/>
              <w:rPr>
                <w:sz w:val="20"/>
                <w:szCs w:val="20"/>
                <w:color w:val="auto"/>
              </w:rPr>
            </w:pPr>
            <w:r>
              <w:rPr>
                <w:rFonts w:ascii="Arial" w:cs="Arial" w:eastAsia="Arial" w:hAnsi="Arial"/>
                <w:sz w:val="14"/>
                <w:szCs w:val="14"/>
                <w:color w:val="auto"/>
              </w:rPr>
              <w:t>Three months ended March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37"/>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236"/>
              <w:spacing w:after="0"/>
              <w:rPr>
                <w:sz w:val="20"/>
                <w:szCs w:val="20"/>
                <w:color w:val="auto"/>
              </w:rPr>
            </w:pPr>
            <w:r>
              <w:rPr>
                <w:rFonts w:ascii="Arial" w:cs="Arial" w:eastAsia="Arial" w:hAnsi="Arial"/>
                <w:sz w:val="14"/>
                <w:szCs w:val="14"/>
                <w:color w:val="auto"/>
                <w:w w:val="96"/>
              </w:rPr>
              <w:t>2002</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gridSpan w:val="2"/>
          </w:tcPr>
          <w:p>
            <w:pPr>
              <w:spacing w:after="0"/>
              <w:rPr>
                <w:sz w:val="8"/>
                <w:szCs w:val="8"/>
                <w:color w:val="auto"/>
              </w:rPr>
            </w:pPr>
          </w:p>
        </w:tc>
        <w:tc>
          <w:tcPr>
            <w:tcW w:w="92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20" w:type="dxa"/>
            <w:vAlign w:val="bottom"/>
            <w:gridSpan w:val="8"/>
          </w:tcPr>
          <w:p>
            <w:pPr>
              <w:jc w:val="right"/>
              <w:ind w:right="10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80" w:type="dxa"/>
            <w:vAlign w:val="bottom"/>
            <w:gridSpan w:val="2"/>
          </w:tcPr>
          <w:p>
            <w:pPr>
              <w:spacing w:after="0"/>
              <w:rPr>
                <w:sz w:val="8"/>
                <w:szCs w:val="8"/>
                <w:color w:val="auto"/>
              </w:rPr>
            </w:pPr>
          </w:p>
        </w:tc>
        <w:tc>
          <w:tcPr>
            <w:tcW w:w="2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Outside United States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80" w:type="dxa"/>
            <w:vAlign w:val="bottom"/>
            <w:gridSpan w:val="2"/>
          </w:tcPr>
          <w:p>
            <w:pPr>
              <w:spacing w:after="0"/>
              <w:rPr>
                <w:sz w:val="8"/>
                <w:szCs w:val="8"/>
                <w:color w:val="auto"/>
              </w:rPr>
            </w:pPr>
          </w:p>
        </w:tc>
        <w:tc>
          <w:tcPr>
            <w:tcW w:w="2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Pretax income</w:t>
            </w: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Schlumberger has net deferred tax assets of $569 million on March 31, 2003 including a partial valuation allowance of $165 million relating to a certain European net operating loss. Significant components of net deferred tax assets at March 31, 2003 included postretirement and other long-term benefits ($204 million), current employee benefits ($222 million), fixed assets, inventory and other ($115 million) and net operating losses ($193 million less a partial valuation allowance of $165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consolidated income tax expense from continuing operations were as follows:</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2420" w:type="dxa"/>
            <w:vAlign w:val="bottom"/>
          </w:tcPr>
          <w:p>
            <w:pPr>
              <w:spacing w:after="0"/>
              <w:rPr>
                <w:sz w:val="20"/>
                <w:szCs w:val="20"/>
                <w:color w:val="auto"/>
              </w:rPr>
            </w:pPr>
            <w:r>
              <w:rPr>
                <w:rFonts w:ascii="Arial" w:cs="Arial" w:eastAsia="Arial" w:hAnsi="Arial"/>
                <w:sz w:val="14"/>
                <w:szCs w:val="14"/>
                <w:color w:val="auto"/>
              </w:rPr>
              <w:t>Three months ended March 31,</w:t>
            </w:r>
          </w:p>
        </w:tc>
        <w:tc>
          <w:tcPr>
            <w:tcW w:w="6400" w:type="dxa"/>
            <w:vAlign w:val="bottom"/>
            <w:gridSpan w:val="2"/>
          </w:tcPr>
          <w:p>
            <w:pPr>
              <w:jc w:val="right"/>
              <w:ind w:right="80"/>
              <w:spacing w:after="0"/>
              <w:rPr>
                <w:sz w:val="20"/>
                <w:szCs w:val="20"/>
                <w:color w:val="auto"/>
              </w:rPr>
            </w:pPr>
            <w:r>
              <w:rPr>
                <w:rFonts w:ascii="Arial" w:cs="Arial" w:eastAsia="Arial" w:hAnsi="Arial"/>
                <w:sz w:val="14"/>
                <w:szCs w:val="14"/>
                <w:color w:val="auto"/>
              </w:rPr>
              <w:t>2003</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2002</w:t>
            </w:r>
          </w:p>
        </w:tc>
      </w:tr>
      <w:tr>
        <w:trPr>
          <w:trHeight w:val="95"/>
        </w:trPr>
        <w:tc>
          <w:tcPr>
            <w:tcW w:w="2420" w:type="dxa"/>
            <w:vAlign w:val="bottom"/>
            <w:tcBorders>
              <w:bottom w:val="single" w:sz="8" w:color="auto"/>
            </w:tcBorders>
          </w:tcPr>
          <w:p>
            <w:pPr>
              <w:spacing w:after="0"/>
              <w:rPr>
                <w:sz w:val="8"/>
                <w:szCs w:val="8"/>
                <w:color w:val="auto"/>
              </w:rPr>
            </w:pPr>
          </w:p>
        </w:tc>
        <w:tc>
          <w:tcPr>
            <w:tcW w:w="59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spacing w:after="0" w:line="62" w:lineRule="exact"/>
        <w:rPr>
          <w:sz w:val="20"/>
          <w:szCs w:val="20"/>
          <w:color w:val="auto"/>
        </w:rPr>
      </w:pPr>
    </w:p>
    <w:p>
      <w:pPr>
        <w:ind w:left="9360"/>
        <w:spacing w:after="0"/>
        <w:rPr>
          <w:sz w:val="20"/>
          <w:szCs w:val="20"/>
          <w:color w:val="auto"/>
        </w:rPr>
      </w:pPr>
      <w:r>
        <w:rPr>
          <w:rFonts w:ascii="Arial" w:cs="Arial" w:eastAsia="Arial" w:hAnsi="Arial"/>
          <w:sz w:val="14"/>
          <w:szCs w:val="14"/>
          <w:i w:val="1"/>
          <w:iCs w:val="1"/>
          <w:color w:val="auto"/>
        </w:rPr>
        <w:t>(Stated in millions)</w:t>
      </w:r>
    </w:p>
    <w:p>
      <w:pPr>
        <w:spacing w:after="0" w:line="9"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United States—Federal</w:t>
            </w:r>
          </w:p>
        </w:tc>
        <w:tc>
          <w:tcPr>
            <w:tcW w:w="3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2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United States—State</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Outside United States</w:t>
            </w: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United States—Federal</w:t>
            </w:r>
          </w:p>
        </w:tc>
        <w:tc>
          <w:tcPr>
            <w:tcW w:w="3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(40)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United States—State</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Outside United States</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Valuation allowance</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(47)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Consolidated taxes on income</w:t>
            </w:r>
          </w:p>
        </w:tc>
        <w:tc>
          <w:tcPr>
            <w:tcW w:w="3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Schlumberger reported charges in continuing operations in 2002. These are more fully described in the note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 A reconciliation of the US statutory federal tax rate (35%) to the consolidated effective tax rate is:</w:t>
      </w:r>
    </w:p>
    <w:p>
      <w:pPr>
        <w:spacing w:after="0" w:line="11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5600" w:type="dxa"/>
            <w:vAlign w:val="bottom"/>
            <w:gridSpan w:val="3"/>
          </w:tcPr>
          <w:p>
            <w:pPr>
              <w:spacing w:after="0"/>
              <w:rPr>
                <w:sz w:val="20"/>
                <w:szCs w:val="20"/>
                <w:color w:val="auto"/>
              </w:rPr>
            </w:pPr>
            <w:r>
              <w:rPr>
                <w:rFonts w:ascii="Arial" w:cs="Arial" w:eastAsia="Arial" w:hAnsi="Arial"/>
                <w:sz w:val="14"/>
                <w:szCs w:val="14"/>
                <w:color w:val="auto"/>
              </w:rPr>
              <w:t>Three months ended March 31,</w:t>
            </w: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3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US state income taxes</w:t>
            </w:r>
          </w:p>
        </w:tc>
        <w:tc>
          <w:tcPr>
            <w:tcW w:w="34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US income taxed at different rates</w:t>
            </w:r>
          </w:p>
        </w:tc>
        <w:tc>
          <w:tcPr>
            <w:tcW w:w="3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34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 and credits</w:t>
            </w:r>
          </w:p>
        </w:tc>
        <w:tc>
          <w:tcPr>
            <w:tcW w:w="3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 %</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66675</wp:posOffset>
            </wp:positionV>
            <wp:extent cx="20129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66675</wp:posOffset>
            </wp:positionV>
            <wp:extent cx="20129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Schlumberger’s effective tax rate, excluding charges was, 32% and 25% in 2003 and 2002,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Schlumberger’s financial instruments that are exposed to concentrations of credit risk consist primarily of cash and cash equivalents and receivables from clients. Schlumberger places its cash and cash equivalents with financial institutions and corporations, and limits the amount of credit exposure with any one of them. Schlumberger actively evaluates the creditworthiness of the issuers in which it invests. The receivables from clients are concentrated within a few significant industries and geographies.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four reportable business segments: Oilfield Services, SchlumbergerSema, WesternGeco and Other.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Prior periods have been restated so as to be comparable with our current reporting structure.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20" w:type="dxa"/>
            <w:vAlign w:val="bottom"/>
            <w:gridSpan w:val="7"/>
          </w:tcPr>
          <w:p>
            <w:pPr>
              <w:ind w:left="460"/>
              <w:spacing w:after="0"/>
              <w:rPr>
                <w:sz w:val="20"/>
                <w:szCs w:val="20"/>
                <w:color w:val="auto"/>
              </w:rPr>
            </w:pPr>
            <w:r>
              <w:rPr>
                <w:rFonts w:ascii="Arial" w:cs="Arial" w:eastAsia="Arial" w:hAnsi="Arial"/>
                <w:sz w:val="14"/>
                <w:szCs w:val="14"/>
                <w:b w:val="1"/>
                <w:bCs w:val="1"/>
                <w:color w:val="auto"/>
              </w:rPr>
              <w:t>FIRST QUARTER 2003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FIRST QUARTER 2002</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2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2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49"/>
        </w:trPr>
        <w:tc>
          <w:tcPr>
            <w:tcW w:w="2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after tax</w:t>
            </w:r>
          </w:p>
        </w:tc>
        <w:tc>
          <w:tcPr>
            <w:tcW w:w="16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Minority</w:t>
            </w: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Tax</w:t>
            </w:r>
          </w:p>
        </w:tc>
        <w:tc>
          <w:tcPr>
            <w:tcW w:w="180" w:type="dxa"/>
            <w:vAlign w:val="bottom"/>
          </w:tcPr>
          <w:p>
            <w:pPr>
              <w:spacing w:after="0"/>
              <w:rPr>
                <w:sz w:val="12"/>
                <w:szCs w:val="12"/>
                <w:color w:val="auto"/>
              </w:rPr>
            </w:pPr>
          </w:p>
        </w:tc>
        <w:tc>
          <w:tcPr>
            <w:tcW w:w="9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7"/>
              </w:rPr>
              <w:t>Income</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after tax</w:t>
            </w:r>
          </w:p>
        </w:tc>
        <w:tc>
          <w:tcPr>
            <w:tcW w:w="24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1"/>
              </w:rPr>
              <w:t>Minority</w:t>
            </w:r>
          </w:p>
        </w:tc>
        <w:tc>
          <w:tcPr>
            <w:tcW w:w="8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Income</w:t>
            </w:r>
          </w:p>
        </w:tc>
      </w:tr>
      <w:tr>
        <w:trPr>
          <w:trHeight w:val="174"/>
        </w:trPr>
        <w:tc>
          <w:tcPr>
            <w:tcW w:w="2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78"/>
              </w:rPr>
              <w:t>Revenue</w:t>
            </w:r>
          </w:p>
        </w:tc>
        <w:tc>
          <w:tcPr>
            <w:tcW w:w="36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&amp; MI</w:t>
            </w:r>
          </w:p>
        </w:tc>
        <w:tc>
          <w:tcPr>
            <w:tcW w:w="160" w:type="dxa"/>
            <w:vAlign w:val="bottom"/>
          </w:tcPr>
          <w:p>
            <w:pPr>
              <w:spacing w:after="0"/>
              <w:rPr>
                <w:sz w:val="15"/>
                <w:szCs w:val="15"/>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Interest</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Expense</w:t>
            </w:r>
          </w:p>
        </w:tc>
        <w:tc>
          <w:tcPr>
            <w:tcW w:w="18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before tax</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Revenue</w:t>
            </w:r>
          </w:p>
        </w:tc>
        <w:tc>
          <w:tcPr>
            <w:tcW w:w="380" w:type="dxa"/>
            <w:vAlign w:val="bottom"/>
          </w:tcPr>
          <w:p>
            <w:pPr>
              <w:spacing w:after="0"/>
              <w:rPr>
                <w:sz w:val="15"/>
                <w:szCs w:val="15"/>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&amp; MI</w:t>
            </w:r>
          </w:p>
        </w:tc>
        <w:tc>
          <w:tcPr>
            <w:tcW w:w="240" w:type="dxa"/>
            <w:vAlign w:val="bottom"/>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Expense</w:t>
            </w:r>
          </w:p>
        </w:tc>
        <w:tc>
          <w:tcPr>
            <w:tcW w:w="16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before tax</w:t>
            </w:r>
          </w:p>
        </w:tc>
      </w:tr>
      <w:tr>
        <w:trPr>
          <w:trHeight w:val="95"/>
        </w:trPr>
        <w:tc>
          <w:tcPr>
            <w:tcW w:w="2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0"/>
              </w:rPr>
              <w:t>(Stated in millions)</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420" w:type="dxa"/>
            <w:vAlign w:val="bottom"/>
          </w:tcPr>
          <w:p>
            <w:pPr>
              <w:ind w:left="100"/>
              <w:spacing w:after="0"/>
              <w:rPr>
                <w:sz w:val="20"/>
                <w:szCs w:val="20"/>
                <w:color w:val="auto"/>
              </w:rPr>
            </w:pPr>
            <w:r>
              <w:rPr>
                <w:rFonts w:ascii="Arial" w:cs="Arial" w:eastAsia="Arial" w:hAnsi="Arial"/>
                <w:sz w:val="18"/>
                <w:szCs w:val="18"/>
                <w:color w:val="auto"/>
              </w:rPr>
              <w:t>North America</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595</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   48</w:t>
            </w: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   25</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73</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564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   28</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r>
      <w:tr>
        <w:trPr>
          <w:trHeight w:val="216"/>
        </w:trPr>
        <w:tc>
          <w:tcPr>
            <w:tcW w:w="2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Latin America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r>
      <w:tr>
        <w:trPr>
          <w:trHeight w:val="216"/>
        </w:trPr>
        <w:tc>
          <w:tcPr>
            <w:tcW w:w="2420" w:type="dxa"/>
            <w:vAlign w:val="bottom"/>
          </w:tcPr>
          <w:p>
            <w:pPr>
              <w:ind w:left="100"/>
              <w:spacing w:after="0"/>
              <w:rPr>
                <w:sz w:val="20"/>
                <w:szCs w:val="20"/>
                <w:color w:val="auto"/>
              </w:rPr>
            </w:pPr>
            <w:r>
              <w:rPr>
                <w:rFonts w:ascii="Arial" w:cs="Arial" w:eastAsia="Arial" w:hAnsi="Arial"/>
                <w:sz w:val="18"/>
                <w:szCs w:val="18"/>
                <w:color w:val="auto"/>
              </w:rPr>
              <w:t>Europe/CIS/W. Africa</w:t>
            </w:r>
          </w:p>
        </w:tc>
        <w:tc>
          <w:tcPr>
            <w:tcW w:w="500" w:type="dxa"/>
            <w:vAlign w:val="bottom"/>
          </w:tcPr>
          <w:p>
            <w:pPr>
              <w:jc w:val="right"/>
              <w:spacing w:after="0"/>
              <w:rPr>
                <w:sz w:val="20"/>
                <w:szCs w:val="20"/>
                <w:color w:val="auto"/>
              </w:rPr>
            </w:pPr>
            <w:r>
              <w:rPr>
                <w:rFonts w:ascii="Arial" w:cs="Arial" w:eastAsia="Arial" w:hAnsi="Arial"/>
                <w:sz w:val="18"/>
                <w:szCs w:val="18"/>
                <w:color w:val="auto"/>
              </w:rPr>
              <w:t>588</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500" w:type="dxa"/>
            <w:vAlign w:val="bottom"/>
          </w:tcPr>
          <w:p>
            <w:pPr>
              <w:jc w:val="right"/>
              <w:spacing w:after="0"/>
              <w:rPr>
                <w:sz w:val="20"/>
                <w:szCs w:val="20"/>
                <w:color w:val="auto"/>
              </w:rPr>
            </w:pPr>
            <w:r>
              <w:rPr>
                <w:rFonts w:ascii="Arial" w:cs="Arial" w:eastAsia="Arial" w:hAnsi="Arial"/>
                <w:sz w:val="18"/>
                <w:szCs w:val="18"/>
                <w:color w:val="auto"/>
              </w:rPr>
              <w:t>555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r>
      <w:tr>
        <w:trPr>
          <w:trHeight w:val="216"/>
        </w:trPr>
        <w:tc>
          <w:tcPr>
            <w:tcW w:w="2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Eastern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r>
      <w:tr>
        <w:trPr>
          <w:trHeight w:val="222"/>
        </w:trPr>
        <w:tc>
          <w:tcPr>
            <w:tcW w:w="2420" w:type="dxa"/>
            <w:vAlign w:val="bottom"/>
          </w:tcPr>
          <w:p>
            <w:pPr>
              <w:ind w:left="100"/>
              <w:spacing w:after="0"/>
              <w:rPr>
                <w:sz w:val="20"/>
                <w:szCs w:val="20"/>
                <w:color w:val="auto"/>
              </w:rPr>
            </w:pPr>
            <w:r>
              <w:rPr>
                <w:rFonts w:ascii="Arial" w:cs="Arial" w:eastAsia="Arial" w:hAnsi="Arial"/>
                <w:sz w:val="18"/>
                <w:szCs w:val="18"/>
                <w:color w:val="auto"/>
              </w:rPr>
              <w:t>Elims/Other</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102"/>
        </w:trPr>
        <w:tc>
          <w:tcPr>
            <w:tcW w:w="2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8"/>
                <w:szCs w:val="18"/>
                <w:color w:val="auto"/>
              </w:rPr>
            </w:pPr>
          </w:p>
        </w:tc>
      </w:tr>
      <w:tr>
        <w:trPr>
          <w:trHeight w:val="108"/>
        </w:trPr>
        <w:tc>
          <w:tcPr>
            <w:tcW w:w="24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108"/>
        </w:trPr>
        <w:tc>
          <w:tcPr>
            <w:tcW w:w="24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SchlumbergerSema</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420" w:type="dxa"/>
            <w:vAlign w:val="bottom"/>
          </w:tcPr>
          <w:p>
            <w:pPr>
              <w:ind w:left="100"/>
              <w:spacing w:after="0"/>
              <w:rPr>
                <w:sz w:val="20"/>
                <w:szCs w:val="20"/>
                <w:color w:val="auto"/>
              </w:rPr>
            </w:pPr>
            <w:r>
              <w:rPr>
                <w:rFonts w:ascii="Arial" w:cs="Arial" w:eastAsia="Arial" w:hAnsi="Arial"/>
                <w:sz w:val="18"/>
                <w:szCs w:val="18"/>
                <w:color w:val="auto"/>
              </w:rPr>
              <w:t>North &amp; South America</w:t>
            </w: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500" w:type="dxa"/>
            <w:vAlign w:val="bottom"/>
          </w:tcPr>
          <w:p>
            <w:pPr>
              <w:jc w:val="right"/>
              <w:spacing w:after="0"/>
              <w:rPr>
                <w:sz w:val="20"/>
                <w:szCs w:val="20"/>
                <w:color w:val="auto"/>
              </w:rPr>
            </w:pPr>
            <w:r>
              <w:rPr>
                <w:rFonts w:ascii="Arial" w:cs="Arial" w:eastAsia="Arial" w:hAnsi="Arial"/>
                <w:sz w:val="18"/>
                <w:szCs w:val="18"/>
                <w:color w:val="auto"/>
              </w:rPr>
              <w:t>146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124"/>
        </w:trPr>
        <w:tc>
          <w:tcPr>
            <w:tcW w:w="2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bl>
    <w:p>
      <w:pPr>
        <w:sectPr>
          <w:pgSz w:w="11900" w:h="16900" w:orient="portrait"/>
          <w:cols w:equalWidth="0" w:num="1">
            <w:col w:w="11420"/>
          </w:cols>
          <w:pgMar w:left="240" w:top="127" w:right="239" w:bottom="0" w:gutter="0" w:footer="0" w:header="0"/>
        </w:sectPr>
      </w:pPr>
    </w:p>
    <w:bookmarkStart w:id="8" w:name="page9"/>
    <w:bookmarkEnd w:id="8"/>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Europe/M. East/Africa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r>
      <w:tr>
        <w:trPr>
          <w:trHeight w:val="216"/>
        </w:trPr>
        <w:tc>
          <w:tcPr>
            <w:tcW w:w="2420" w:type="dxa"/>
            <w:vAlign w:val="bottom"/>
            <w:gridSpan w:val="2"/>
          </w:tcPr>
          <w:p>
            <w:pPr>
              <w:ind w:left="100"/>
              <w:spacing w:after="0"/>
              <w:rPr>
                <w:sz w:val="20"/>
                <w:szCs w:val="20"/>
                <w:color w:val="auto"/>
              </w:rPr>
            </w:pPr>
            <w:r>
              <w:rPr>
                <w:rFonts w:ascii="Arial" w:cs="Arial" w:eastAsia="Arial" w:hAnsi="Arial"/>
                <w:sz w:val="18"/>
                <w:szCs w:val="18"/>
                <w:color w:val="auto"/>
              </w:rPr>
              <w:t>Asia</w:t>
            </w: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2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Elims/Other</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108"/>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108"/>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Elims &amp; Other</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720" w:type="dxa"/>
            <w:vAlign w:val="bottom"/>
            <w:gridSpan w:val="3"/>
          </w:tcPr>
          <w:p>
            <w:pPr>
              <w:ind w:left="200"/>
              <w:spacing w:after="0"/>
              <w:rPr>
                <w:sz w:val="20"/>
                <w:szCs w:val="20"/>
                <w:color w:val="auto"/>
              </w:rPr>
            </w:pPr>
            <w:r>
              <w:rPr>
                <w:rFonts w:ascii="Arial" w:cs="Arial" w:eastAsia="Arial" w:hAnsi="Arial"/>
                <w:sz w:val="18"/>
                <w:szCs w:val="18"/>
                <w:color w:val="auto"/>
              </w:rPr>
              <w:t>(1)</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$3,343</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227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(4)</w:t>
            </w: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69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$3,256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252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32"/>
        </w:trPr>
        <w:tc>
          <w:tcPr>
            <w:tcW w:w="2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r>
      <w:tr>
        <w:trPr>
          <w:trHeight w:val="216"/>
        </w:trPr>
        <w:tc>
          <w:tcPr>
            <w:tcW w:w="24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(1)</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(91)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108"/>
        </w:trPr>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18"/>
                <w:szCs w:val="18"/>
                <w:color w:val="auto"/>
              </w:rPr>
            </w:pPr>
          </w:p>
        </w:tc>
      </w:tr>
      <w:tr>
        <w:trPr>
          <w:trHeight w:val="132"/>
        </w:trPr>
        <w:tc>
          <w:tcPr>
            <w:tcW w:w="2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1529715</wp:posOffset>
            </wp:positionH>
            <wp:positionV relativeFrom="paragraph">
              <wp:posOffset>-887095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-887095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-887095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-887095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-887095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-887095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-887095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-887095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-887095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-887095</wp:posOffset>
            </wp:positionV>
            <wp:extent cx="33845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-887095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-887095</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-887095</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-887095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-887095</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-887095</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-887095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-887095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-887095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-887095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-887095</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-887095</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5560" w:right="4000" w:hanging="5552"/>
        <w:spacing w:after="0" w:line="440" w:lineRule="auto"/>
        <w:tabs>
          <w:tab w:leader="none" w:pos="446"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($2 million in 2003; $2 million in 2002).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REVIEW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4"/>
                <w:szCs w:val="14"/>
                <w:color w:val="auto"/>
              </w:rPr>
              <w:t>First Quarter</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320" w:type="dxa"/>
            <w:vAlign w:val="bottom"/>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2002</w:t>
            </w:r>
            <w:r>
              <w:rPr>
                <w:rFonts w:ascii="Arial" w:cs="Arial" w:eastAsia="Arial" w:hAnsi="Arial"/>
                <w:sz w:val="22"/>
                <w:szCs w:val="22"/>
                <w:color w:val="auto"/>
                <w:w w:val="89"/>
                <w:vertAlign w:val="superscript"/>
              </w:rPr>
              <w:t>(1)</w:t>
            </w:r>
          </w:p>
        </w:tc>
        <w:tc>
          <w:tcPr>
            <w:tcW w:w="420" w:type="dxa"/>
            <w:vAlign w:val="bottom"/>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2"/>
              </w:rPr>
              <w:t>% chg</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1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Oilfield Services</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4"/>
                <w:szCs w:val="14"/>
                <w:i w:val="1"/>
                <w:iCs w:val="1"/>
                <w:color w:val="auto"/>
                <w:w w:val="90"/>
              </w:rPr>
              <w:t>(Stated in millions)</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912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1,977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1,903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120" w:type="dxa"/>
            <w:vAlign w:val="bottom"/>
            <w:gridSpan w:val="6"/>
          </w:tcPr>
          <w:p>
            <w:pPr>
              <w:ind w:left="20"/>
              <w:spacing w:after="0" w:line="217" w:lineRule="exact"/>
              <w:rPr>
                <w:sz w:val="20"/>
                <w:szCs w:val="20"/>
                <w:color w:val="auto"/>
              </w:rPr>
            </w:pPr>
            <w:r>
              <w:rPr>
                <w:rFonts w:ascii="Arial" w:cs="Arial" w:eastAsia="Arial" w:hAnsi="Arial"/>
                <w:sz w:val="18"/>
                <w:szCs w:val="18"/>
                <w:color w:val="auto"/>
              </w:rPr>
              <w:t xml:space="preserve">Pretax Operating Income </w:t>
            </w:r>
            <w:r>
              <w:rPr>
                <w:rFonts w:ascii="Arial" w:cs="Arial" w:eastAsia="Arial" w:hAnsi="Arial"/>
                <w:sz w:val="22"/>
                <w:szCs w:val="22"/>
                <w:color w:val="auto"/>
                <w:vertAlign w:val="superscript"/>
              </w:rPr>
              <w:t>(2)</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315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307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6"/>
        </w:trPr>
        <w:tc>
          <w:tcPr>
            <w:tcW w:w="9120" w:type="dxa"/>
            <w:vAlign w:val="bottom"/>
            <w:gridSpan w:val="6"/>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WesternGeco</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gridSpan w:val="6"/>
          </w:tcPr>
          <w:p>
            <w:pPr>
              <w:ind w:left="20"/>
              <w:spacing w:after="0"/>
              <w:rPr>
                <w:sz w:val="20"/>
                <w:szCs w:val="20"/>
                <w:color w:val="auto"/>
              </w:rPr>
            </w:pPr>
            <w:r>
              <w:rPr>
                <w:rFonts w:ascii="Arial" w:cs="Arial" w:eastAsia="Arial" w:hAnsi="Arial"/>
                <w:sz w:val="18"/>
                <w:szCs w:val="18"/>
                <w:color w:val="auto"/>
              </w:rPr>
              <w:t>Operating Revenue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385</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120" w:type="dxa"/>
            <w:vAlign w:val="bottom"/>
            <w:gridSpan w:val="6"/>
            <w:shd w:val="clear" w:color="auto" w:fill="CCEEFF"/>
          </w:tcPr>
          <w:p>
            <w:pPr>
              <w:ind w:left="20"/>
              <w:spacing w:after="0" w:line="217" w:lineRule="exact"/>
              <w:rPr>
                <w:sz w:val="20"/>
                <w:szCs w:val="20"/>
                <w:color w:val="auto"/>
              </w:rPr>
            </w:pPr>
            <w:r>
              <w:rPr>
                <w:rFonts w:ascii="Arial" w:cs="Arial" w:eastAsia="Arial" w:hAnsi="Arial"/>
                <w:sz w:val="18"/>
                <w:szCs w:val="18"/>
                <w:color w:val="auto"/>
              </w:rPr>
              <w:t xml:space="preserve">Pretax Operating Income </w:t>
            </w:r>
            <w:r>
              <w:rPr>
                <w:rFonts w:ascii="Arial" w:cs="Arial" w:eastAsia="Arial" w:hAnsi="Arial"/>
                <w:sz w:val="22"/>
                <w:szCs w:val="22"/>
                <w:color w:val="auto"/>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6"/>
        </w:trPr>
        <w:tc>
          <w:tcPr>
            <w:tcW w:w="9120" w:type="dxa"/>
            <w:vAlign w:val="bottom"/>
            <w:gridSpan w:val="6"/>
          </w:tcPr>
          <w:p>
            <w:pPr>
              <w:ind w:left="20"/>
              <w:spacing w:after="0" w:line="176" w:lineRule="exact"/>
              <w:rPr>
                <w:sz w:val="20"/>
                <w:szCs w:val="20"/>
                <w:color w:val="auto"/>
              </w:rPr>
            </w:pPr>
            <w:r>
              <w:rPr>
                <w:rFonts w:ascii="Arial" w:cs="Arial" w:eastAsia="Arial" w:hAnsi="Arial"/>
                <w:sz w:val="18"/>
                <w:szCs w:val="18"/>
                <w:b w:val="1"/>
                <w:bCs w:val="1"/>
                <w:color w:val="auto"/>
              </w:rPr>
              <w:t>SchlumbergerSema</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120" w:type="dxa"/>
            <w:vAlign w:val="bottom"/>
            <w:gridSpan w:val="6"/>
          </w:tcPr>
          <w:p>
            <w:pPr>
              <w:ind w:left="20"/>
              <w:spacing w:after="0" w:line="217" w:lineRule="exact"/>
              <w:rPr>
                <w:sz w:val="20"/>
                <w:szCs w:val="20"/>
                <w:color w:val="auto"/>
              </w:rPr>
            </w:pPr>
            <w:r>
              <w:rPr>
                <w:rFonts w:ascii="Arial" w:cs="Arial" w:eastAsia="Arial" w:hAnsi="Arial"/>
                <w:sz w:val="18"/>
                <w:szCs w:val="18"/>
                <w:color w:val="auto"/>
              </w:rPr>
              <w:t xml:space="preserve">Pretax Operating Income </w:t>
            </w:r>
            <w:r>
              <w:rPr>
                <w:rFonts w:ascii="Arial" w:cs="Arial" w:eastAsia="Arial" w:hAnsi="Arial"/>
                <w:sz w:val="22"/>
                <w:szCs w:val="22"/>
                <w:color w:val="auto"/>
                <w:vertAlign w:val="superscript"/>
              </w:rPr>
              <w:t>(2)</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6"/>
        </w:trPr>
        <w:tc>
          <w:tcPr>
            <w:tcW w:w="9120" w:type="dxa"/>
            <w:vAlign w:val="bottom"/>
            <w:gridSpan w:val="6"/>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gridSpan w:val="6"/>
          </w:tcPr>
          <w:p>
            <w:pPr>
              <w:ind w:left="20"/>
              <w:spacing w:after="0"/>
              <w:rPr>
                <w:sz w:val="20"/>
                <w:szCs w:val="20"/>
                <w:color w:val="auto"/>
              </w:rPr>
            </w:pPr>
            <w:r>
              <w:rPr>
                <w:rFonts w:ascii="Arial" w:cs="Arial" w:eastAsia="Arial" w:hAnsi="Arial"/>
                <w:sz w:val="18"/>
                <w:szCs w:val="18"/>
                <w:color w:val="auto"/>
              </w:rPr>
              <w:t>Operating Revenue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342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320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120" w:type="dxa"/>
            <w:vAlign w:val="bottom"/>
            <w:gridSpan w:val="6"/>
            <w:shd w:val="clear" w:color="auto" w:fill="CCEEFF"/>
          </w:tcPr>
          <w:p>
            <w:pPr>
              <w:ind w:left="20"/>
              <w:spacing w:after="0" w:line="217" w:lineRule="exact"/>
              <w:rPr>
                <w:sz w:val="20"/>
                <w:szCs w:val="20"/>
                <w:color w:val="auto"/>
              </w:rPr>
            </w:pPr>
            <w:r>
              <w:rPr>
                <w:rFonts w:ascii="Arial" w:cs="Arial" w:eastAsia="Arial" w:hAnsi="Arial"/>
                <w:sz w:val="18"/>
                <w:szCs w:val="18"/>
                <w:color w:val="auto"/>
              </w:rPr>
              <w:t xml:space="preserve">Pretax Operating Income </w:t>
            </w:r>
            <w:r>
              <w:rPr>
                <w:rFonts w:ascii="Arial" w:cs="Arial" w:eastAsia="Arial" w:hAnsi="Arial"/>
                <w:sz w:val="22"/>
                <w:szCs w:val="22"/>
                <w:color w:val="auto"/>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Restated, in part, for organizational changes and discontinued operations.</w:t>
      </w:r>
    </w:p>
    <w:p>
      <w:pPr>
        <w:spacing w:after="0" w:line="15"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Pretax operating income represents income before taxes and minority interest, excluding interest income, interest expense and amortization of intangibles and charges, which is consistent with how Schlumberger views its segment results.</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Principally comprises the Cards, Terminals, Meters North America and NPTest activities.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Quarter 2003 Compared to First Quarter 2002</w:t>
      </w:r>
    </w:p>
    <w:p>
      <w:pPr>
        <w:spacing w:after="0" w:line="16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Operating revenue for the first quarter was $3.34 billion and net income was $149 million. Earnings from continuing operations were $0.26 per share. This compares to $0.28 per share last year, a 7% decrease.</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Oilfield Services revenue of $1.98 billion decreased 1% versus the fourth quarter of 2002, but increased 4% compared to the first quarter of last year. Pretax operating income was $315 million, increases of 14% sequentially and 3% year-on-year.</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WesternGeco revenue of $307 million decreased 8% versus the fourth quarter of 2002, and 20% compared to the first quarter of last year. Pretax operating income broke even compared to $6 million in the fourth quarter of last year, and $47 million in the first quarter of last year.</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SchlumbergerSema revenue of $793 million decreased 2% sequentially, but was up 12% year-on-year. Pretax operating income was $15 million, a decrease of 55% sequentially, and an increase of $14 million year-on-year.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OILFIELD SERVICES</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First quarter Oilfield Services revenue of $1.98 billion decreased 1% sequentially, but increased 4% year-on-year. This contrasted with M-I rig count growth of 12% sequentially and 11% year-on-year.</w:t>
      </w:r>
    </w:p>
    <w:p>
      <w:pPr>
        <w:spacing w:after="0" w:line="11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Pretax operating income of $315 million rose 14% sequentially and 3% year-on-year. Savings from restructuring programs initiated in Europe and Africa the previous quarter and the recovery following the storms in the Gulf of Mexico, coupled with exceptional growth in Drilling &amp; Measurements contributed to the sequential increase.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Revenue in North America increased 8% sequentially and 6% year-on-year to $595 million. M-I rig count growth of 22% sequentially and 19% year-on-year did not substantially impact onshore revenue growth due to the natural lag effect and ‘trough’ pricing, particularly in pressure pumping. Offshore, Wireline and Drilling &amp; Measurements achieved double-digit sequential increases in Gulf of Mexico revenues versus a reduced rig count. Pretax operating income of $73 million showed a 30% sequential growth, but decreased 9% year-on-year. The sequential improvement was primarily related to the colder than usual winter</w:t>
      </w:r>
    </w:p>
    <w:p>
      <w:pPr>
        <w:sectPr>
          <w:pgSz w:w="11900" w:h="16911" w:orient="portrait"/>
          <w:cols w:equalWidth="0" w:num="1">
            <w:col w:w="11420"/>
          </w:cols>
          <w:pgMar w:left="240" w:top="140" w:right="239" w:bottom="0" w:gutter="0" w:footer="0" w:header="0"/>
        </w:sectPr>
      </w:pPr>
    </w:p>
    <w:bookmarkStart w:id="9" w:name="page10"/>
    <w:bookmarkEnd w:id="9"/>
    <w:p>
      <w:pPr>
        <w:ind w:right="260"/>
        <w:spacing w:after="0" w:line="268" w:lineRule="auto"/>
        <w:rPr>
          <w:sz w:val="20"/>
          <w:szCs w:val="20"/>
          <w:color w:val="auto"/>
        </w:rPr>
      </w:pPr>
      <w:r>
        <w:rPr>
          <w:rFonts w:ascii="Arial" w:cs="Arial" w:eastAsia="Arial" w:hAnsi="Arial"/>
          <w:sz w:val="18"/>
          <w:szCs w:val="18"/>
          <w:color w:val="auto"/>
        </w:rPr>
        <w:t>weather, which propelled the high seasonal upswing in Canada, where rig count rose 68% sequentially and 18% year-on-year, coupled with improved offshore performance.</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Premium technology offerings in cementing also contributed to the results, and PowerDrive* rotary steerable activity was particularly strong on deepwater delineation projects due in part to this technology’s capacity for real-time transmission of MWD/LWD information.</w:t>
      </w:r>
    </w:p>
    <w:p>
      <w:pPr>
        <w:spacing w:after="0" w:line="11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Reflecting the growing demand for Integrated Project Management services, Schlumberger signed a 20-year performance-based production management agreement with Dunhill Exploration and Production, LLC to manage operations and maintenance of fields acquired by Dunhill in the Gulf of Mexico and US lower 48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Revenue of $290 million decreased 17% sequentially and 11% year-on-year, in contrast to the M-I rig count increase of 1% sequentially and 4% year-on-year. Overall results were largely impacted by the ongoing political turmoil in Venezuela, which also drove the country’s rig count down 43% sequentially and 56% year-on-year. Pretax operating income of $34 million decreased 34% sequentially and 14% year-on-year.</w:t>
      </w:r>
    </w:p>
    <w:p>
      <w:pPr>
        <w:spacing w:after="0" w:line="93"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declines in Venezuela were partially mitigated by sustained growth in offshore and onshore activity in Mexico, where the rig count increased 15% sequentially and 55% year-on-year in response to higher domestic demand for natural gas and light oil, which is spurring PEMEX’s commitment to develop its national resources. Reflecting this trend, PEMEX awarded Schlumberger a four-year, $500 million integrated oilfield services project in partnership with ICA Fluor Daniel; a two-year $60 million information management solution contract which is shared with SchlumbergerSema and representative of the future direction for its Energy IT services offering; and an IndigoPool project to host multiple service contract data rooms.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Revenue of $588 million decreased 1% sequentially and increased 6% year-on-year, outpacing the M-I rig count, which dropped 2% sequentially and 11% year-on-year. Pretax operating income of $100 million showed a 54% sequential and 2% year-on-year increase primarily due to generally improved GeoMarket activity, as well as savings generated from prior year restructuring efforts.</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Russia, West &amp; South Africa and Scandinavia GeoMarkets recorded the strongest revenue growth both sequentially and year-on-year, with increased demand for fracturing and completions services especially strong in Russia.</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North Sea activity benefited from premium technology and superior service quality. In particular, PowerDrive rotary steerable systems not only doubled operating performance but were available for short-notice deployment in response to increasing client needs.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Despite the war in Iraq and relative softness across Asia, revenue of $489 million showed a modest 4% sequential growth, and a 10% year-on-year increase, outpacing the M-I rig count, which rose 1% sequentially and 6% year-on-year. Settlement of revised contract pricing improved revenue by $9 million. Pretax operating income of $116 million remained flat sequentially but increased 11% year-on-year.</w:t>
      </w:r>
    </w:p>
    <w:p>
      <w:pPr>
        <w:spacing w:after="0" w:line="9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Operations in the Saudi Arabia, India and Australia GeoMarkets showed improved revenue both sequentially and year-on-year. There was high demand for Well Services, Drilling &amp; Measurements and, particularly, Wireline technologies, which showed very strong growth across the entire area. This was partially offset by reduced activity in Brunei, Malaysia and the Philippines.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WESTERNGECO</w:t>
      </w:r>
    </w:p>
    <w:p>
      <w:pPr>
        <w:spacing w:after="0" w:line="8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Revenue of $307 million decreased 8% sequentially and 20% year-on-year. Pretax operating income broke even for the quarter, which included a $7 million provision for a contract loss in Mexico. Flat multiclient sales and declines in other product lines contributed to the year-on-year revenue decrease, while sequential results were impacted by strong land activity in Alaska, Mexico and Africa GeoMarkets; flat data processing activity; and decreased multiclient and marine sales.</w:t>
      </w:r>
    </w:p>
    <w:p>
      <w:pPr>
        <w:spacing w:after="0" w:line="13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Including multiclient pre-commitments, total backlog at the end of the first quarter of 2003 stood at $325 million. The marine seismic backlog stayed relatively strong in the Asia/Pacific, and the North Sea firmed up with Q capacity almost fully booked for the 2003 season. Both the land and data processing backlog remained strong, the former predominantly in the Middle East.</w:t>
      </w:r>
    </w:p>
    <w:p>
      <w:pPr>
        <w:spacing w:after="0" w:line="12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Pricing across all business segments remained flat for conventional marine, land and data processing activity. However, Q-Marine continued to command significant pricing premiums as a result of the added value obtained from the delivered product. Additionally, the restructuring effort announced in the fourth quarter of 2002 was completed during the current quarter with thirteen land crews and three 3D vessels decommissioned. Expected annualized cost savings are estimated to be $200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SCHLUMBERGERSEMA</w:t>
      </w:r>
    </w:p>
    <w:p>
      <w:pPr>
        <w:spacing w:after="0" w:line="8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 of $793 million in the first quarter decreased 2% sequentially, but increased 12% year-on-year. The year-on-year improvement was mainly due to the strengthening of European currencies against the US dollar and the continuing growth of the UK public sector favored by the development of e-government projects. The sequential decrease was principally related to the first quarter seasonal slowdown in IT services spending, partially offset by the favorable effect of the strengthening of European currencies against the US dollar.</w:t>
      </w:r>
    </w:p>
    <w:p>
      <w:pPr>
        <w:spacing w:after="0" w:line="13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Pretax operating income of $15 million decreased $18 million, or 55%, sequentially mainly due to lower activity resulting from seasonality, lower daily rates in Western Europe, the depressed IT industry in France and the decline in telecommunications activity in Eastern Europe. However, the $14 million year-on-year increase reflected the significant cost reduction programs carried out in 2002, particularly in North &amp; South America and Asia, combined with a release of employee-related provisions of $7 million.</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in the global energy segment increased 15% year-on-year to $190 million demonstrating the renewed focus that SchlumbergerSema brings to the market by combining systems integration skills, network and infrastructure capabilities, and Schlumberger global reach and sector knowledge. The opportunities generated by this combination include the recent contract awards by PEMEX, Hafslund and HubCo.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Middle East and Africa</w:t>
      </w:r>
    </w:p>
    <w:p>
      <w:pPr>
        <w:spacing w:after="0" w:line="83"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Revenue of $605 million declined 8% sequentially, but increased 14% year-on-year. The year-on-year revenue increase came mainly from the UK, France and the Mediterranean, and reflected the favorable impact of European currencies appreciating 9% overall against the US dollar; as well as significant new public sector</w:t>
      </w:r>
    </w:p>
    <w:p>
      <w:pPr>
        <w:sectPr>
          <w:pgSz w:w="11900" w:h="16838" w:orient="portrait"/>
          <w:cols w:equalWidth="0" w:num="1">
            <w:col w:w="11400"/>
          </w:cols>
          <w:pgMar w:left="240" w:top="131" w:right="259" w:bottom="0" w:gutter="0" w:footer="0" w:header="0"/>
        </w:sectPr>
      </w:pPr>
    </w:p>
    <w:bookmarkStart w:id="10" w:name="page11"/>
    <w:bookmarkEnd w:id="10"/>
    <w:p>
      <w:pPr>
        <w:ind w:right="700"/>
        <w:spacing w:after="0" w:line="268" w:lineRule="auto"/>
        <w:rPr>
          <w:sz w:val="20"/>
          <w:szCs w:val="20"/>
          <w:color w:val="auto"/>
        </w:rPr>
      </w:pPr>
      <w:r>
        <w:rPr>
          <w:rFonts w:ascii="Arial" w:cs="Arial" w:eastAsia="Arial" w:hAnsi="Arial"/>
          <w:sz w:val="18"/>
          <w:szCs w:val="18"/>
          <w:color w:val="auto"/>
        </w:rPr>
        <w:t>contracts in the UK. The sequential revenue decline was mainly due to seasonality, a lackluster telecommunications environment and a sale related to the development of a call center for the UK Department of Works &amp; Pension (DWP) in the fourth quarter of 2002.</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Pretax operating income of $13 million decreased 79% sequentially and 63% year-on-year. The sequential decline was mainly attributable to overcapacity in the IT services industry in France, and consequently, low daily rates which dropped by more than 15% during the quarter. Also contributing to the decline was a weak utilization ratio in Systems Integration projects, which were 2% to 3% lower than optimal, and the lower activity and profitability in the telecommunications industry in Germany and the Mediterranean.</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and South America</w:t>
      </w:r>
    </w:p>
    <w:p>
      <w:pPr>
        <w:spacing w:after="0" w:line="83" w:lineRule="exact"/>
        <w:rPr>
          <w:sz w:val="20"/>
          <w:szCs w:val="20"/>
          <w:color w:val="auto"/>
        </w:rPr>
      </w:pPr>
    </w:p>
    <w:p>
      <w:pPr>
        <w:ind w:right="900"/>
        <w:spacing w:after="0" w:line="332" w:lineRule="auto"/>
        <w:rPr>
          <w:sz w:val="20"/>
          <w:szCs w:val="20"/>
          <w:color w:val="auto"/>
        </w:rPr>
      </w:pPr>
      <w:r>
        <w:rPr>
          <w:rFonts w:ascii="Arial" w:cs="Arial" w:eastAsia="Arial" w:hAnsi="Arial"/>
          <w:sz w:val="16"/>
          <w:szCs w:val="16"/>
          <w:color w:val="auto"/>
        </w:rPr>
        <w:t>Revenue of $136 million increased 9% sequentially, but decreased 7% year-on-year mainly due to the weak IT spending environment, primarily in the telecommunications industry, as clients revise their budget outlays downwards and postpone decisions on major contracts.</w:t>
      </w:r>
    </w:p>
    <w:p>
      <w:pPr>
        <w:spacing w:after="0" w:line="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Pretax operating income of $4 million increased $15 million from a loss of $11 million sequentially, and $21 million from a loss of $17 million in the same period last year. Despite revenue decreasing year-on-year, pretax operating income increased mainly due to the cost reduction programs carried out in North America throughout 2002, and the release of employee-related cost accruals.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8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Revenue of $53 million decreased 9% sequentially, but increased 4% year-on-year mainly due to increased activity on systems integration projects in Japan. The sequential decline was due to the traditional seasonality in the IT service industry coupled with the SARS effect starting to delay projects due to contingency plans and travel restrictions. The energy segment showed strong growth with year-on-year activity climbing 16%.</w:t>
      </w:r>
    </w:p>
    <w:p>
      <w:pPr>
        <w:spacing w:after="0" w:line="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Pretax operating income of $11 million increased $14 million from the loss of $3 million sequentially, and $7 million from $4 million year-on-year. The sequential pretax operating income increase was primarily due to the release of employee-related cost accruals in the quarter. The year-on-year improvement was mainly due to the benefits of the cost cutting program implemented last 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Revenue for Volume Products of $202 million decreased 22% sequentially, but improved 1% year-on-year. The year-on-year improvement was mainly due to a 7% growth in mobilecom cards principally in North America and Europe, offset by a decline in parking terminals due to the exceptional Euro currency retrofit program that extended into early 2002. The sequential decrease reflected the seasonal drop in mobilecom activity, following telecommunications operators’ traditional Christmas campaigns coupled with reduced activity in prepaid phone cards.</w:t>
      </w:r>
    </w:p>
    <w:p>
      <w:pPr>
        <w:spacing w:after="0" w:line="99"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Revenue for NPTest of $59 million increased 20% sequentially and 3% year-on-year. The sequential increase reflected improvements in Test Systems sales, including renewed activity from its customer base and penetration into new customers in the US and Asia. NPTest book-to-bill remained above industry averages.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w:t>
      </w:r>
    </w:p>
    <w:p>
      <w:pPr>
        <w:spacing w:after="0" w:line="8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Interest income of $13 million decreased 27% reflecting a decrease of $184 million in average investment balances and a decrease in average return investment from 4.1% to 3.6%. Gross margin of 20.7% was 0.6 percentage point below last year. As a percentage of revenue, research and engineering expense was flat and marketing expense decreased 0.1% from last year. General expense as a percentage of revenue decreased from 4.9% to 4.8%. Interest expense of $92.9 million increased $10.6 million compared to same quarter last year with an increase in average borrowing rates from 4.6% to 5.3% due primarily to the US 10 year senior unsecured notes which were issued on April 4, 2002. The average debt balance decreased $65 million compared to same quarter last year. The effective tax rate for the first quarter was 32% compared to 25% for the same period last year. Major causes of the increase over last year was due to the country mix of the pretax results in WesternGeco and valuation allowance relating to a certain European operating loss.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first quarter, cash provided by operations was $91 million as net income plus depreciation/amortization were only partially offset by increases in customer receivables and decrease in accounts payable and accrued liabilities. The decrease in accounts payable and accrued liabilities was primarily due to traditional, normal funding of employee benefits. Cash used in investing activities was $62 million as investments in fixed assets and multiclient seismic data was offset by reductions in investments. Cash used in financing activities was $174 million representing payment of dividends to shareholders and increases in short-term borrowings to finance working capital and other requirements.</w:t>
      </w:r>
    </w:p>
    <w:p>
      <w:pPr>
        <w:spacing w:after="0" w:line="129"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Net Debt is gross debt less cash, short-term investments and fixed income investments held to maturity. Management believes that “Net Debt” provides useful information regarding the level of Schlumberger’s indebtedness by reflecting cash and investments that could be used to repay debt, and that the level of net debt provides useful information as to the results of Schlumberger’s deleveraging efforts. Details of the Net Debt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580" w:type="dxa"/>
            <w:vAlign w:val="bottom"/>
          </w:tcPr>
          <w:p>
            <w:pPr>
              <w:jc w:val="right"/>
              <w:ind w:right="3097"/>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60" w:type="dxa"/>
            <w:vAlign w:val="bottom"/>
            <w:tcBorders>
              <w:bottom w:val="single" w:sz="8" w:color="999999"/>
            </w:tcBorders>
          </w:tcPr>
          <w:p>
            <w:pPr>
              <w:spacing w:after="0"/>
              <w:rPr>
                <w:sz w:val="21"/>
                <w:szCs w:val="21"/>
                <w:color w:val="auto"/>
              </w:rPr>
            </w:pPr>
          </w:p>
        </w:tc>
        <w:tc>
          <w:tcPr>
            <w:tcW w:w="20" w:type="dxa"/>
            <w:vAlign w:val="bottom"/>
            <w:tcBorders>
              <w:bottom w:val="single" w:sz="8" w:color="999999"/>
            </w:tcBorders>
          </w:tcPr>
          <w:p>
            <w:pPr>
              <w:spacing w:after="0"/>
              <w:rPr>
                <w:sz w:val="21"/>
                <w:szCs w:val="21"/>
                <w:color w:val="auto"/>
              </w:rPr>
            </w:pPr>
          </w:p>
        </w:tc>
        <w:tc>
          <w:tcPr>
            <w:tcW w:w="980" w:type="dxa"/>
            <w:vAlign w:val="bottom"/>
            <w:tcBorders>
              <w:bottom w:val="single" w:sz="8" w:color="999999"/>
            </w:tcBorders>
          </w:tcPr>
          <w:p>
            <w:pPr>
              <w:spacing w:after="0"/>
              <w:rPr>
                <w:sz w:val="21"/>
                <w:szCs w:val="21"/>
                <w:color w:val="auto"/>
              </w:rPr>
            </w:pPr>
          </w:p>
        </w:tc>
        <w:tc>
          <w:tcPr>
            <w:tcW w:w="960" w:type="dxa"/>
            <w:vAlign w:val="bottom"/>
            <w:tcBorders>
              <w:bottom w:val="single" w:sz="8" w:color="999999"/>
            </w:tcBorders>
          </w:tcPr>
          <w:p>
            <w:pPr>
              <w:spacing w:after="0"/>
              <w:rPr>
                <w:sz w:val="21"/>
                <w:szCs w:val="21"/>
                <w:color w:val="auto"/>
              </w:rPr>
            </w:pPr>
          </w:p>
        </w:tc>
        <w:tc>
          <w:tcPr>
            <w:tcW w:w="1640" w:type="dxa"/>
            <w:vAlign w:val="bottom"/>
            <w:tcBorders>
              <w:bottom w:val="single" w:sz="8" w:color="999999"/>
            </w:tcBorders>
          </w:tcPr>
          <w:p>
            <w:pPr>
              <w:spacing w:after="0"/>
              <w:rPr>
                <w:sz w:val="21"/>
                <w:szCs w:val="21"/>
                <w:color w:val="auto"/>
              </w:rPr>
            </w:pPr>
          </w:p>
        </w:tc>
        <w:tc>
          <w:tcPr>
            <w:tcW w:w="4580" w:type="dxa"/>
            <w:vAlign w:val="bottom"/>
            <w:tcBorders>
              <w:bottom w:val="single" w:sz="8" w:color="999999"/>
            </w:tcBorders>
          </w:tcPr>
          <w:p>
            <w:pPr>
              <w:spacing w:after="0"/>
              <w:rPr>
                <w:sz w:val="21"/>
                <w:szCs w:val="21"/>
                <w:color w:val="auto"/>
              </w:rPr>
            </w:pPr>
          </w:p>
        </w:tc>
        <w:tc>
          <w:tcPr>
            <w:tcW w:w="420" w:type="dxa"/>
            <w:vAlign w:val="bottom"/>
            <w:tcBorders>
              <w:bottom w:val="single" w:sz="8" w:color="999999"/>
            </w:tcBorders>
          </w:tcPr>
          <w:p>
            <w:pPr>
              <w:spacing w:after="0"/>
              <w:rPr>
                <w:sz w:val="21"/>
                <w:szCs w:val="21"/>
                <w:color w:val="auto"/>
              </w:rPr>
            </w:pPr>
          </w:p>
        </w:tc>
        <w:tc>
          <w:tcPr>
            <w:tcW w:w="140" w:type="dxa"/>
            <w:vAlign w:val="bottom"/>
            <w:tcBorders>
              <w:bottom w:val="single" w:sz="8" w:color="999999"/>
            </w:tcBorders>
          </w:tcPr>
          <w:p>
            <w:pPr>
              <w:spacing w:after="0"/>
              <w:rPr>
                <w:sz w:val="21"/>
                <w:szCs w:val="21"/>
                <w:color w:val="auto"/>
              </w:rPr>
            </w:pPr>
          </w:p>
        </w:tc>
        <w:tc>
          <w:tcPr>
            <w:tcW w:w="340" w:type="dxa"/>
            <w:vAlign w:val="bottom"/>
            <w:tcBorders>
              <w:bottom w:val="single" w:sz="8" w:color="999999"/>
            </w:tcBorders>
          </w:tcPr>
          <w:p>
            <w:pPr>
              <w:spacing w:after="0"/>
              <w:rPr>
                <w:sz w:val="21"/>
                <w:szCs w:val="21"/>
                <w:color w:val="auto"/>
              </w:rPr>
            </w:pPr>
          </w:p>
        </w:tc>
        <w:tc>
          <w:tcPr>
            <w:tcW w:w="620" w:type="dxa"/>
            <w:vAlign w:val="bottom"/>
            <w:tcBorders>
              <w:bottom w:val="single" w:sz="8" w:color="999999"/>
            </w:tcBorders>
          </w:tcPr>
          <w:p>
            <w:pPr>
              <w:spacing w:after="0"/>
              <w:rPr>
                <w:sz w:val="21"/>
                <w:szCs w:val="21"/>
                <w:color w:val="auto"/>
              </w:rPr>
            </w:pPr>
          </w:p>
        </w:tc>
        <w:tc>
          <w:tcPr>
            <w:tcW w:w="900" w:type="dxa"/>
            <w:vAlign w:val="bottom"/>
            <w:tcBorders>
              <w:bottom w:val="single" w:sz="8" w:color="999999"/>
            </w:tcBorders>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860" w:type="dxa"/>
            <w:vAlign w:val="bottom"/>
          </w:tcPr>
          <w:p>
            <w:pPr>
              <w:spacing w:after="0"/>
              <w:rPr>
                <w:sz w:val="24"/>
                <w:szCs w:val="24"/>
                <w:color w:val="auto"/>
              </w:rPr>
            </w:pPr>
          </w:p>
        </w:tc>
        <w:tc>
          <w:tcPr>
            <w:tcW w:w="3600" w:type="dxa"/>
            <w:vAlign w:val="bottom"/>
            <w:gridSpan w:val="4"/>
          </w:tcPr>
          <w:p>
            <w:pPr>
              <w:spacing w:after="0"/>
              <w:rPr>
                <w:sz w:val="20"/>
                <w:szCs w:val="20"/>
                <w:color w:val="auto"/>
              </w:rPr>
            </w:pPr>
            <w:r>
              <w:rPr>
                <w:rFonts w:ascii="Arial" w:cs="Arial" w:eastAsia="Arial" w:hAnsi="Arial"/>
                <w:sz w:val="14"/>
                <w:szCs w:val="14"/>
                <w:color w:val="auto"/>
              </w:rPr>
              <w:t>First Quarter</w:t>
            </w:r>
          </w:p>
        </w:tc>
        <w:tc>
          <w:tcPr>
            <w:tcW w:w="4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5140" w:type="dxa"/>
            <w:vAlign w:val="bottom"/>
            <w:gridSpan w:val="3"/>
            <w:shd w:val="clear" w:color="auto" w:fill="CCEEFF"/>
          </w:tcPr>
          <w:p>
            <w:pPr>
              <w:ind w:left="500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3"/>
          </w:tcPr>
          <w:p>
            <w:pPr>
              <w:ind w:left="320"/>
              <w:spacing w:after="0"/>
              <w:rPr>
                <w:sz w:val="20"/>
                <w:szCs w:val="20"/>
                <w:color w:val="auto"/>
              </w:rPr>
            </w:pPr>
            <w:r>
              <w:rPr>
                <w:rFonts w:ascii="Arial" w:cs="Arial" w:eastAsia="Arial" w:hAnsi="Arial"/>
                <w:sz w:val="18"/>
                <w:szCs w:val="18"/>
                <w:color w:val="auto"/>
              </w:rPr>
              <w:t>Net income</w:t>
            </w:r>
          </w:p>
        </w:tc>
        <w:tc>
          <w:tcPr>
            <w:tcW w:w="4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4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3"/>
          </w:tcPr>
          <w:p>
            <w:pPr>
              <w:ind w:left="320"/>
              <w:spacing w:after="0"/>
              <w:rPr>
                <w:sz w:val="20"/>
                <w:szCs w:val="20"/>
                <w:color w:val="auto"/>
              </w:rPr>
            </w:pPr>
            <w:r>
              <w:rPr>
                <w:rFonts w:ascii="Arial" w:cs="Arial" w:eastAsia="Arial" w:hAnsi="Arial"/>
                <w:sz w:val="18"/>
                <w:szCs w:val="18"/>
                <w:color w:val="auto"/>
              </w:rPr>
              <w:t>Change in working capital</w:t>
            </w:r>
          </w:p>
        </w:tc>
        <w:tc>
          <w:tcPr>
            <w:tcW w:w="4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Capital expenditures</w:t>
            </w:r>
          </w:p>
        </w:tc>
        <w:tc>
          <w:tcPr>
            <w:tcW w:w="4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3"/>
          </w:tcPr>
          <w:p>
            <w:pPr>
              <w:ind w:left="320"/>
              <w:spacing w:after="0"/>
              <w:rPr>
                <w:sz w:val="20"/>
                <w:szCs w:val="20"/>
                <w:color w:val="auto"/>
              </w:rPr>
            </w:pPr>
            <w:r>
              <w:rPr>
                <w:rFonts w:ascii="Arial" w:cs="Arial" w:eastAsia="Arial" w:hAnsi="Arial"/>
                <w:sz w:val="18"/>
                <w:szCs w:val="18"/>
                <w:color w:val="auto"/>
              </w:rPr>
              <w:t>Dividends paid</w:t>
            </w:r>
          </w:p>
        </w:tc>
        <w:tc>
          <w:tcPr>
            <w:tcW w:w="4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Employee stock option plan</w:t>
            </w:r>
          </w:p>
        </w:tc>
        <w:tc>
          <w:tcPr>
            <w:tcW w:w="4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3"/>
          </w:tcPr>
          <w:p>
            <w:pPr>
              <w:ind w:left="320"/>
              <w:spacing w:after="0"/>
              <w:rPr>
                <w:sz w:val="20"/>
                <w:szCs w:val="20"/>
                <w:color w:val="auto"/>
              </w:rPr>
            </w:pPr>
            <w:r>
              <w:rPr>
                <w:rFonts w:ascii="Arial" w:cs="Arial" w:eastAsia="Arial" w:hAnsi="Arial"/>
                <w:sz w:val="18"/>
                <w:szCs w:val="18"/>
                <w:color w:val="auto"/>
              </w:rPr>
              <w:t>Other</w:t>
            </w:r>
          </w:p>
        </w:tc>
        <w:tc>
          <w:tcPr>
            <w:tcW w:w="4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Translation effect on net debt</w:t>
            </w:r>
          </w:p>
        </w:tc>
        <w:tc>
          <w:tcPr>
            <w:tcW w:w="4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6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5140" w:type="dxa"/>
            <w:vAlign w:val="bottom"/>
            <w:gridSpan w:val="3"/>
            <w:shd w:val="clear" w:color="auto" w:fill="CCEEFF"/>
          </w:tcPr>
          <w:p>
            <w:pPr>
              <w:ind w:left="500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Mar. 31</w:t>
            </w:r>
          </w:p>
        </w:tc>
        <w:tc>
          <w:tcPr>
            <w:tcW w:w="34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3600" w:type="dxa"/>
            <w:vAlign w:val="bottom"/>
            <w:gridSpan w:val="4"/>
          </w:tcPr>
          <w:p>
            <w:pPr>
              <w:spacing w:after="0"/>
              <w:rPr>
                <w:sz w:val="20"/>
                <w:szCs w:val="20"/>
                <w:color w:val="auto"/>
              </w:rPr>
            </w:pPr>
            <w:r>
              <w:rPr>
                <w:rFonts w:ascii="Arial" w:cs="Arial" w:eastAsia="Arial" w:hAnsi="Arial"/>
                <w:sz w:val="14"/>
                <w:szCs w:val="14"/>
                <w:color w:val="auto"/>
              </w:rPr>
              <w:t>Components of Net Debt</w:t>
            </w:r>
          </w:p>
        </w:tc>
        <w:tc>
          <w:tcPr>
            <w:tcW w:w="5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960" w:type="dxa"/>
            <w:vAlign w:val="bottom"/>
            <w:gridSpan w:val="2"/>
          </w:tcPr>
          <w:p>
            <w:pPr>
              <w:jc w:val="right"/>
              <w:ind w:right="132"/>
              <w:spacing w:after="0"/>
              <w:rPr>
                <w:sz w:val="20"/>
                <w:szCs w:val="20"/>
                <w:color w:val="auto"/>
              </w:rPr>
            </w:pPr>
            <w:r>
              <w:rPr>
                <w:rFonts w:ascii="Arial" w:cs="Arial" w:eastAsia="Arial" w:hAnsi="Arial"/>
                <w:sz w:val="14"/>
                <w:szCs w:val="14"/>
                <w:color w:val="auto"/>
              </w:rPr>
              <w:t>2002</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-2565400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-2565400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-455930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-455930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-455930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60"/>
          </w:cols>
          <w:pgMar w:left="240" w:top="131" w:right="199" w:bottom="0" w:gutter="0" w:footer="0" w:header="0"/>
        </w:sectPr>
      </w:pPr>
    </w:p>
    <w:bookmarkStart w:id="11" w:name="page12"/>
    <w:bookmarkEnd w:id="11"/>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280"/>
              <w:spacing w:after="0"/>
              <w:rPr>
                <w:sz w:val="20"/>
                <w:szCs w:val="20"/>
                <w:color w:val="auto"/>
              </w:rPr>
            </w:pPr>
            <w:r>
              <w:rPr>
                <w:rFonts w:ascii="Arial" w:cs="Arial" w:eastAsia="Arial" w:hAnsi="Arial"/>
                <w:sz w:val="14"/>
                <w:szCs w:val="14"/>
                <w:i w:val="1"/>
                <w:iCs w:val="1"/>
                <w:color w:val="auto"/>
                <w:w w:val="97"/>
              </w:rPr>
              <w:t>(Stated in millions)</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&amp; short-term investments</w:t>
            </w: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$ 1,470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$ 1,736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2920" w:type="dxa"/>
            <w:vAlign w:val="bottom"/>
            <w:gridSpan w:val="3"/>
          </w:tcPr>
          <w:p>
            <w:pPr>
              <w:jc w:val="right"/>
              <w:spacing w:after="0"/>
              <w:rPr>
                <w:sz w:val="20"/>
                <w:szCs w:val="20"/>
                <w:color w:val="auto"/>
              </w:rPr>
            </w:pPr>
            <w:r>
              <w:rPr>
                <w:rFonts w:ascii="Arial" w:cs="Arial" w:eastAsia="Arial" w:hAnsi="Arial"/>
                <w:sz w:val="18"/>
                <w:szCs w:val="18"/>
                <w:b w:val="1"/>
                <w:bCs w:val="1"/>
                <w:color w:val="auto"/>
              </w:rPr>
              <w:t>380</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3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(1,023)</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28"/>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Long-term debt</w:t>
            </w:r>
          </w:p>
        </w:tc>
        <w:tc>
          <w:tcPr>
            <w:tcW w:w="31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(6,145)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(6,029)</w:t>
            </w:r>
          </w:p>
        </w:tc>
      </w:tr>
      <w:tr>
        <w:trPr>
          <w:trHeight w:val="96"/>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3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$(5,318)</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$(5,021)</w:t>
            </w:r>
          </w:p>
        </w:tc>
      </w:tr>
      <w:tr>
        <w:trPr>
          <w:trHeight w:val="132"/>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-29210</wp:posOffset>
            </wp:positionV>
            <wp:extent cx="3816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80"/>
        <w:spacing w:after="0" w:line="375" w:lineRule="auto"/>
        <w:rPr>
          <w:sz w:val="20"/>
          <w:szCs w:val="20"/>
          <w:color w:val="auto"/>
        </w:rPr>
      </w:pPr>
      <w:r>
        <w:rPr>
          <w:rFonts w:ascii="Arial" w:cs="Arial" w:eastAsia="Arial" w:hAnsi="Arial"/>
          <w:sz w:val="18"/>
          <w:szCs w:val="18"/>
          <w:color w:val="auto"/>
        </w:rPr>
        <w:t xml:space="preserve">On April 4, 2003, Schlumberger sold its investment of 9.7 million shares in Grant Prideco Inc. Net proceeds from the sale were $106 million. </w:t>
      </w:r>
      <w:r>
        <w:rPr>
          <w:rFonts w:ascii="Arial" w:cs="Arial" w:eastAsia="Arial" w:hAnsi="Arial"/>
          <w:sz w:val="18"/>
          <w:szCs w:val="18"/>
          <w:b w:val="1"/>
          <w:bCs w:val="1"/>
          <w:color w:val="auto"/>
        </w:rPr>
        <w:t>FORWARD-LOOKING STATEMENTS</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10-Q report, the first quarter 2003 earnings release and associated web-based publications and other statements we make contain forward looking statements, which include any statements that are not historical facts, such as our expectations regarding business outlook, economic recovery, expected capex, multiclient and depreciation and amortization expenditures, the funding of pension plans and related pension expense, the likelihood of and benefits to be derived from divestitures, conditions in the oilfield service business, including activity levels during 2003, production increases in non-OPEC areas, issues affecting the seismic industry, including sales pertaining to Q technology, continued deepwater drilling activity, benefits from contract awards, future results of operations, pricing, future effective tax rates, the realization of cost reduction and savings in SchlumbergerSema and expectations regarding the future business and performance of SchlumbergerSema. These statements involve risks and uncertainties, including, but not limited to, the extent and timing of a rebound in the global economy, changes in exploration and production spending by major oil companies, including our expectations for renewed growth in gas drilling and improvement in rigless gas pressure pumping activities in NAM; recovery of activity levels, improved pricing and realization of cost reduction and cost savings targets associated with the seismic business, Q seismic technology contracts; continuing customer commitment to certain key oilfield projects, general economic and business conditions in key regions of the world, including Argentina and political and economic uncertainty in Venezuela, Nigeria and further socio-political unrest in the Persian Gulf and/or Asia, changes in business strategy for SchlumbergerSema businesses including the expected growth of Schlumberger IT Consulting and Systems Integration Services and Network and Infrastructure Solutions in the global energy sector, continuing customer commitment to key long-term services and solutions contracts in our SchlumbergerSema businesses; a reversal of the weak IT environment and an increase in IT spending; the extent and timing of a recovery in the telecommunications industry; continued growth in the demand for smart cards and related products and in e-Government systems integration efforts in Western Europe; the impact of SARS; Schlumberger ability to meet its identified liquidity projections, including the generation of sufficient cash flow from oilfield operating results and the successful completion of certain business divestitures, the adoption and effect of new accounting standards, potential contributions to pension plans and other factors detailed in our first quarter 2003 earnings release, this Form 10-Q, our most recent Form 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 about Market Risk</w:t>
      </w:r>
    </w:p>
    <w:p>
      <w:pPr>
        <w:spacing w:after="0" w:line="8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Schlumberger does not believe it has a material exposure to financial market risk.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99"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Schlumberger Oilfield Services has operations in Venezuela which represented about 4% of the 2002 Oilfield Services operating revenue. In light of the present labor unrest in Venezuela, Schlumberger is reviewing its potential currency and business exposure, and taking appropriate steps to minimize the risks. While the ultimate loss is not determinable at this time, such loss will not have a significant effect on Schlumberger’s consolidated financial position or liquidity.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83"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color w:val="auto"/>
        </w:rPr>
        <w:t>Within the 90-day period prior to the filing of this report, an evaluation was carried out under the supervision and with the participation of Schlumberger’s management, including the Chief Executive Officer (“CEO”) and Chief Financial Officer (“CFO”), of the effectiveness of the design and operation of Schlumberger’s disclosure controls and procedures pursuant to Rule 13a – 14 of the Securities Exchange Act of 1934 (the “Exchange Act”). Based on that evaluation, the CEO and CFO have concluded that Schlumberger’s disclosure controls and procedures are effective to ensure that information required to be disclosed by Schlumberger in reports that it files or submits under the Exchange Act is recorded, processed, summarized and reported within the time periods specified in Securities and Exchange Commission rules and forms. Subsequent to the date of their evaluation, there were no significant changes in Schlumberger’s internal controls or in other factors that could significantly affect these controls.</w:t>
      </w:r>
    </w:p>
    <w:p>
      <w:pPr>
        <w:spacing w:after="0" w:line="10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 of Schlumberger</w:t>
      </w:r>
    </w:p>
    <w:p>
      <w:pPr>
        <w:spacing w:after="0" w:line="152"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Submission of Matters to a Vote of Security Holders</w:t>
      </w:r>
    </w:p>
    <w:p>
      <w:pPr>
        <w:spacing w:after="0" w:line="16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Annual General Meeting of Stockholders of the Registrant (“the Meeting”) was held on April 11, 2003.</w:t>
      </w:r>
    </w:p>
    <w:p>
      <w:pPr>
        <w:spacing w:after="0" w:line="76" w:lineRule="exact"/>
        <w:rPr>
          <w:rFonts w:ascii="Arial" w:cs="Arial" w:eastAsia="Arial" w:hAnsi="Arial"/>
          <w:sz w:val="18"/>
          <w:szCs w:val="18"/>
          <w:color w:val="auto"/>
        </w:rPr>
      </w:pPr>
    </w:p>
    <w:p>
      <w:pPr>
        <w:jc w:val="both"/>
        <w:ind w:left="460" w:right="120" w:hanging="452"/>
        <w:spacing w:after="0" w:line="30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the Meeting, the number of Directors was fixed at 10 and the following-named 10 individuals were elected to comprise the entire Board of Directors of the Registrant, each to hold office until the next Annual General Meeting of Stockholders and until a director’s successor is elected and qualified or until a director’s death, resignation or removal. All of the nominees, except Tony Isaac, were directors who were previously elected by the stockholders.</w:t>
      </w:r>
    </w:p>
    <w:p>
      <w:pPr>
        <w:spacing w:after="0" w:line="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Jamie S. Gorelick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Andrew Gould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Tony Isaac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Adrian Lajous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André Lévy-Lang</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Didier Primat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Nicolas Seydoux</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Linda Gillespie Stuntz</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Sven Ullring</w:t>
      </w:r>
    </w:p>
    <w:p>
      <w:pPr>
        <w:sectPr>
          <w:pgSz w:w="11900" w:h="16838" w:orient="portrait"/>
          <w:cols w:equalWidth="0" w:num="1">
            <w:col w:w="11420"/>
          </w:cols>
          <w:pgMar w:left="240" w:top="127" w:right="239" w:bottom="0" w:gutter="0" w:footer="0" w:header="0"/>
        </w:sectPr>
      </w:pPr>
    </w:p>
    <w:bookmarkStart w:id="12" w:name="page13"/>
    <w:bookmarkEnd w:id="12"/>
    <w:p>
      <w:pPr>
        <w:ind w:left="460" w:right="320" w:hanging="452"/>
        <w:spacing w:after="0" w:line="335"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Meeting also voted (i) to adopt and approve the Company’s Consolidated Balance Sheet as at December 31, 2002, its Consolidated Statement of Income for the year ended December 31, 2002, and the declaration of dividends reflected in the Company’s 2002 Annual Report to Stockholders; (ii) to approve the appointment of PricewaterhouseCoopers LLP as independent public accountants to audit the accounts of the Company for the year 2003.</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votes cast were as follows: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4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3"/>
          </w:tcPr>
          <w:p>
            <w:pPr>
              <w:ind w:left="340"/>
              <w:spacing w:after="0"/>
              <w:rPr>
                <w:sz w:val="20"/>
                <w:szCs w:val="20"/>
                <w:color w:val="auto"/>
              </w:rPr>
            </w:pPr>
            <w:r>
              <w:rPr>
                <w:rFonts w:ascii="Arial" w:cs="Arial" w:eastAsia="Arial" w:hAnsi="Arial"/>
                <w:sz w:val="14"/>
                <w:szCs w:val="14"/>
                <w:b w:val="1"/>
                <w:bCs w:val="1"/>
                <w:color w:val="auto"/>
              </w:rPr>
              <w:t>For</w:t>
            </w: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Deutch</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492,977,249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5,252,763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Jamie S. Gorelick</w:t>
            </w:r>
          </w:p>
        </w:tc>
        <w:tc>
          <w:tcPr>
            <w:tcW w:w="1100" w:type="dxa"/>
            <w:vAlign w:val="bottom"/>
          </w:tcPr>
          <w:p>
            <w:pPr>
              <w:jc w:val="right"/>
              <w:spacing w:after="0"/>
              <w:rPr>
                <w:sz w:val="20"/>
                <w:szCs w:val="20"/>
                <w:color w:val="auto"/>
              </w:rPr>
            </w:pPr>
            <w:r>
              <w:rPr>
                <w:rFonts w:ascii="Arial" w:cs="Arial" w:eastAsia="Arial" w:hAnsi="Arial"/>
                <w:sz w:val="18"/>
                <w:szCs w:val="18"/>
                <w:color w:val="auto"/>
              </w:rPr>
              <w:t>493,206,956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5,023,056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Gould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493,221,175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5,008,837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Tony Isaac</w:t>
            </w:r>
          </w:p>
        </w:tc>
        <w:tc>
          <w:tcPr>
            <w:tcW w:w="1100" w:type="dxa"/>
            <w:vAlign w:val="bottom"/>
          </w:tcPr>
          <w:p>
            <w:pPr>
              <w:jc w:val="right"/>
              <w:spacing w:after="0"/>
              <w:rPr>
                <w:sz w:val="20"/>
                <w:szCs w:val="20"/>
                <w:color w:val="auto"/>
              </w:rPr>
            </w:pPr>
            <w:r>
              <w:rPr>
                <w:rFonts w:ascii="Arial" w:cs="Arial" w:eastAsia="Arial" w:hAnsi="Arial"/>
                <w:sz w:val="18"/>
                <w:szCs w:val="18"/>
                <w:color w:val="auto"/>
              </w:rPr>
              <w:t>492,948,703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5,281,309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Adrian Lajous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493,186,587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5,043,425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André Lévy-Lang</w:t>
            </w:r>
          </w:p>
        </w:tc>
        <w:tc>
          <w:tcPr>
            <w:tcW w:w="1100" w:type="dxa"/>
            <w:vAlign w:val="bottom"/>
          </w:tcPr>
          <w:p>
            <w:pPr>
              <w:jc w:val="right"/>
              <w:spacing w:after="0"/>
              <w:rPr>
                <w:sz w:val="20"/>
                <w:szCs w:val="20"/>
                <w:color w:val="auto"/>
              </w:rPr>
            </w:pPr>
            <w:r>
              <w:rPr>
                <w:rFonts w:ascii="Arial" w:cs="Arial" w:eastAsia="Arial" w:hAnsi="Arial"/>
                <w:sz w:val="18"/>
                <w:szCs w:val="18"/>
                <w:color w:val="auto"/>
              </w:rPr>
              <w:t>493,204,981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5,025,031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Didier Primat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493,206,475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5,023,537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Nicolas Seydoux</w:t>
            </w:r>
          </w:p>
        </w:tc>
        <w:tc>
          <w:tcPr>
            <w:tcW w:w="1100" w:type="dxa"/>
            <w:vAlign w:val="bottom"/>
          </w:tcPr>
          <w:p>
            <w:pPr>
              <w:jc w:val="right"/>
              <w:spacing w:after="0"/>
              <w:rPr>
                <w:sz w:val="20"/>
                <w:szCs w:val="20"/>
                <w:color w:val="auto"/>
              </w:rPr>
            </w:pPr>
            <w:r>
              <w:rPr>
                <w:rFonts w:ascii="Arial" w:cs="Arial" w:eastAsia="Arial" w:hAnsi="Arial"/>
                <w:sz w:val="18"/>
                <w:szCs w:val="18"/>
                <w:color w:val="auto"/>
              </w:rPr>
              <w:t>492,973,087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5,256,925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Gillespie Stuntz</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493,008,036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5,221,976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Sven Ullring</w:t>
            </w:r>
          </w:p>
        </w:tc>
        <w:tc>
          <w:tcPr>
            <w:tcW w:w="1100" w:type="dxa"/>
            <w:vAlign w:val="bottom"/>
          </w:tcPr>
          <w:p>
            <w:pPr>
              <w:jc w:val="right"/>
              <w:spacing w:after="0"/>
              <w:rPr>
                <w:sz w:val="20"/>
                <w:szCs w:val="20"/>
                <w:color w:val="auto"/>
              </w:rPr>
            </w:pPr>
            <w:r>
              <w:rPr>
                <w:rFonts w:ascii="Arial" w:cs="Arial" w:eastAsia="Arial" w:hAnsi="Arial"/>
                <w:sz w:val="18"/>
                <w:szCs w:val="18"/>
                <w:color w:val="auto"/>
              </w:rPr>
              <w:t>493,229,359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5,000,653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7700" w:type="dxa"/>
            <w:vAlign w:val="bottom"/>
            <w:gridSpan w:val="3"/>
          </w:tcPr>
          <w:p>
            <w:pPr>
              <w:spacing w:after="0"/>
              <w:rPr>
                <w:sz w:val="20"/>
                <w:szCs w:val="20"/>
                <w:color w:val="auto"/>
              </w:rPr>
            </w:pPr>
            <w:r>
              <w:rPr>
                <w:rFonts w:ascii="Arial" w:cs="Arial" w:eastAsia="Arial" w:hAnsi="Arial"/>
                <w:sz w:val="18"/>
                <w:szCs w:val="18"/>
                <w:color w:val="auto"/>
              </w:rPr>
              <w:t>Financials:</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20" w:type="dxa"/>
            <w:vAlign w:val="bottom"/>
          </w:tcPr>
          <w:p>
            <w:pPr>
              <w:spacing w:after="0"/>
              <w:rPr>
                <w:sz w:val="24"/>
                <w:szCs w:val="24"/>
                <w:color w:val="auto"/>
              </w:rPr>
            </w:pPr>
          </w:p>
        </w:tc>
        <w:tc>
          <w:tcPr>
            <w:tcW w:w="7280" w:type="dxa"/>
            <w:vAlign w:val="bottom"/>
            <w:gridSpan w:val="2"/>
          </w:tcPr>
          <w:p>
            <w:pPr>
              <w:ind w:left="6860"/>
              <w:spacing w:after="0"/>
              <w:rPr>
                <w:sz w:val="20"/>
                <w:szCs w:val="20"/>
                <w:color w:val="auto"/>
              </w:rPr>
            </w:pPr>
            <w:r>
              <w:rPr>
                <w:rFonts w:ascii="Arial" w:cs="Arial" w:eastAsia="Arial" w:hAnsi="Arial"/>
                <w:sz w:val="14"/>
                <w:szCs w:val="14"/>
                <w:b w:val="1"/>
                <w:bCs w:val="1"/>
                <w:color w:val="auto"/>
              </w:rPr>
              <w:t>For</w:t>
            </w:r>
          </w:p>
        </w:tc>
        <w:tc>
          <w:tcPr>
            <w:tcW w:w="1560" w:type="dxa"/>
            <w:vAlign w:val="bottom"/>
            <w:gridSpan w:val="3"/>
          </w:tcPr>
          <w:p>
            <w:pPr>
              <w:ind w:left="1060"/>
              <w:spacing w:after="0"/>
              <w:rPr>
                <w:sz w:val="20"/>
                <w:szCs w:val="20"/>
                <w:color w:val="auto"/>
              </w:rPr>
            </w:pPr>
            <w:r>
              <w:rPr>
                <w:rFonts w:ascii="Arial" w:cs="Arial" w:eastAsia="Arial" w:hAnsi="Arial"/>
                <w:sz w:val="14"/>
                <w:szCs w:val="14"/>
                <w:b w:val="1"/>
                <w:bCs w:val="1"/>
                <w:color w:val="auto"/>
                <w:w w:val="93"/>
              </w:rPr>
              <w:t>Against</w:t>
            </w:r>
          </w:p>
        </w:tc>
        <w:tc>
          <w:tcPr>
            <w:tcW w:w="8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85"/>
              </w:rPr>
              <w:t>Abstain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60325</wp:posOffset>
            </wp:positionV>
            <wp:extent cx="2735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88" w:lineRule="exact"/>
        <w:rPr>
          <w:sz w:val="20"/>
          <w:szCs w:val="20"/>
          <w:color w:val="auto"/>
        </w:rPr>
      </w:pPr>
    </w:p>
    <w:p>
      <w:pPr>
        <w:jc w:val="both"/>
        <w:ind w:left="7700"/>
        <w:spacing w:after="0"/>
        <w:tabs>
          <w:tab w:leader="none" w:pos="9360" w:val="left"/>
          <w:tab w:leader="none" w:pos="10700" w:val="left"/>
        </w:tabs>
        <w:rPr>
          <w:sz w:val="20"/>
          <w:szCs w:val="20"/>
          <w:color w:val="auto"/>
        </w:rPr>
      </w:pPr>
      <w:r>
        <w:rPr>
          <w:rFonts w:ascii="Arial" w:cs="Arial" w:eastAsia="Arial" w:hAnsi="Arial"/>
          <w:sz w:val="18"/>
          <w:szCs w:val="18"/>
          <w:color w:val="auto"/>
        </w:rPr>
        <w:t>493,395,986</w:t>
      </w:r>
      <w:r>
        <w:rPr>
          <w:sz w:val="20"/>
          <w:szCs w:val="20"/>
          <w:color w:val="auto"/>
        </w:rPr>
        <w:tab/>
      </w:r>
      <w:r>
        <w:rPr>
          <w:rFonts w:ascii="Arial" w:cs="Arial" w:eastAsia="Arial" w:hAnsi="Arial"/>
          <w:sz w:val="18"/>
          <w:szCs w:val="18"/>
          <w:color w:val="auto"/>
        </w:rPr>
        <w:t>709,443</w:t>
      </w:r>
      <w:r>
        <w:rPr>
          <w:sz w:val="20"/>
          <w:szCs w:val="20"/>
          <w:color w:val="auto"/>
        </w:rPr>
        <w:tab/>
      </w:r>
      <w:r>
        <w:rPr>
          <w:rFonts w:ascii="Arial" w:cs="Arial" w:eastAsia="Arial" w:hAnsi="Arial"/>
          <w:sz w:val="15"/>
          <w:szCs w:val="15"/>
          <w:color w:val="auto"/>
        </w:rPr>
        <w:t>4,124,583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PricewaterhouseCoopers:</w:t>
      </w:r>
    </w:p>
    <w:p>
      <w:pPr>
        <w:spacing w:after="0" w:line="153" w:lineRule="exact"/>
        <w:rPr>
          <w:sz w:val="20"/>
          <w:szCs w:val="20"/>
          <w:color w:val="auto"/>
        </w:rPr>
      </w:pPr>
    </w:p>
    <w:p>
      <w:pPr>
        <w:ind w:left="7640"/>
        <w:spacing w:after="0"/>
        <w:tabs>
          <w:tab w:leader="none" w:pos="9140" w:val="left"/>
          <w:tab w:leader="none" w:pos="106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68580</wp:posOffset>
            </wp:positionV>
            <wp:extent cx="2804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02" w:lineRule="exact"/>
        <w:rPr>
          <w:sz w:val="20"/>
          <w:szCs w:val="20"/>
          <w:color w:val="auto"/>
        </w:rPr>
      </w:pPr>
    </w:p>
    <w:p>
      <w:pPr>
        <w:jc w:val="both"/>
        <w:ind w:left="7600"/>
        <w:spacing w:after="0"/>
        <w:tabs>
          <w:tab w:leader="none" w:pos="9220" w:val="left"/>
          <w:tab w:leader="none" w:pos="10700" w:val="left"/>
        </w:tabs>
        <w:rPr>
          <w:sz w:val="20"/>
          <w:szCs w:val="20"/>
          <w:color w:val="auto"/>
        </w:rPr>
      </w:pPr>
      <w:r>
        <w:rPr>
          <w:rFonts w:ascii="Arial" w:cs="Arial" w:eastAsia="Arial" w:hAnsi="Arial"/>
          <w:sz w:val="18"/>
          <w:szCs w:val="18"/>
          <w:color w:val="auto"/>
        </w:rPr>
        <w:t>490,534,613</w:t>
      </w:r>
      <w:r>
        <w:rPr>
          <w:sz w:val="20"/>
          <w:szCs w:val="20"/>
          <w:color w:val="auto"/>
        </w:rPr>
        <w:tab/>
      </w:r>
      <w:r>
        <w:rPr>
          <w:rFonts w:ascii="Arial" w:cs="Arial" w:eastAsia="Arial" w:hAnsi="Arial"/>
          <w:sz w:val="18"/>
          <w:szCs w:val="18"/>
          <w:color w:val="auto"/>
        </w:rPr>
        <w:t>3,409,301</w:t>
      </w:r>
      <w:r>
        <w:rPr>
          <w:sz w:val="20"/>
          <w:szCs w:val="20"/>
          <w:color w:val="auto"/>
        </w:rPr>
        <w:tab/>
      </w:r>
      <w:r>
        <w:rPr>
          <w:rFonts w:ascii="Arial" w:cs="Arial" w:eastAsia="Arial" w:hAnsi="Arial"/>
          <w:sz w:val="15"/>
          <w:szCs w:val="15"/>
          <w:color w:val="auto"/>
        </w:rPr>
        <w:t>4,286,098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 and Reports on Form 8-K</w:t>
      </w:r>
    </w:p>
    <w:p>
      <w:pPr>
        <w:spacing w:after="0" w:line="8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460" w:right="200"/>
        <w:spacing w:after="0" w:line="268" w:lineRule="auto"/>
        <w:rPr>
          <w:rFonts w:ascii="Arial" w:cs="Arial" w:eastAsia="Arial" w:hAnsi="Arial"/>
          <w:sz w:val="18"/>
          <w:szCs w:val="18"/>
          <w:color w:val="auto"/>
        </w:rPr>
      </w:pPr>
      <w:r>
        <w:rPr>
          <w:rFonts w:ascii="Arial" w:cs="Arial" w:eastAsia="Arial" w:hAnsi="Arial"/>
          <w:sz w:val="18"/>
          <w:szCs w:val="18"/>
          <w:color w:val="auto"/>
        </w:rPr>
        <w:t>Exhibit 3.1 Deed of incorporation of Schlumberger Limited as last amended on May 4, 2001, incorporated by reference to Exhibit 3 (a) to Form 10-Q for the period ended June 30, 2001.</w:t>
      </w:r>
    </w:p>
    <w:p>
      <w:pPr>
        <w:spacing w:after="0" w:line="37" w:lineRule="exact"/>
        <w:rPr>
          <w:rFonts w:ascii="Arial" w:cs="Arial" w:eastAsia="Arial" w:hAnsi="Arial"/>
          <w:sz w:val="18"/>
          <w:szCs w:val="18"/>
          <w:color w:val="auto"/>
        </w:rPr>
      </w:pPr>
    </w:p>
    <w:p>
      <w:pPr>
        <w:ind w:left="460" w:right="1000"/>
        <w:spacing w:after="0" w:line="369" w:lineRule="auto"/>
        <w:rPr>
          <w:rFonts w:ascii="Arial" w:cs="Arial" w:eastAsia="Arial" w:hAnsi="Arial"/>
          <w:sz w:val="18"/>
          <w:szCs w:val="18"/>
          <w:color w:val="auto"/>
        </w:rPr>
      </w:pPr>
      <w:r>
        <w:rPr>
          <w:rFonts w:ascii="Arial" w:cs="Arial" w:eastAsia="Arial" w:hAnsi="Arial"/>
          <w:sz w:val="16"/>
          <w:szCs w:val="16"/>
          <w:color w:val="auto"/>
        </w:rPr>
        <w:t>Exhibit 3.2 Amended and Restated Bylaws of Schlumberger Limited incorporated by reference to Exhibit 3 to Form 8-K filed April 17, 2003. Exhibit 10(a) Employment Agreement between Schlumberger Limited and Irwin Pfister, effective January 1, 2003.</w:t>
      </w:r>
    </w:p>
    <w:p>
      <w:pPr>
        <w:spacing w:after="0" w:line="1" w:lineRule="exact"/>
        <w:rPr>
          <w:rFonts w:ascii="Arial" w:cs="Arial" w:eastAsia="Arial" w:hAnsi="Arial"/>
          <w:sz w:val="18"/>
          <w:szCs w:val="18"/>
          <w:color w:val="auto"/>
        </w:rPr>
      </w:pPr>
    </w:p>
    <w:p>
      <w:pPr>
        <w:jc w:val="both"/>
        <w:ind w:left="460" w:right="1520"/>
        <w:spacing w:after="0" w:line="394" w:lineRule="auto"/>
        <w:rPr>
          <w:rFonts w:ascii="Arial" w:cs="Arial" w:eastAsia="Arial" w:hAnsi="Arial"/>
          <w:sz w:val="18"/>
          <w:szCs w:val="18"/>
          <w:color w:val="auto"/>
        </w:rPr>
      </w:pPr>
      <w:r>
        <w:rPr>
          <w:rFonts w:ascii="Arial" w:cs="Arial" w:eastAsia="Arial" w:hAnsi="Arial"/>
          <w:sz w:val="15"/>
          <w:szCs w:val="15"/>
          <w:color w:val="auto"/>
        </w:rPr>
        <w:t>Exhibit 99.1 Certification Pursuant to 18 U.S.C. Section 1350, as Adopted Pursuant to Section 906 of the Sarbanes-Oxley Act of 2002 Exhibit 99.2 Certification Pursuant to 18 U.S.C. Section 1350, as Adopted Pursuant to Section 906 of the Sarbanes-Oxley Act of 2002</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6" w:lineRule="exact"/>
        <w:rPr>
          <w:rFonts w:ascii="Arial" w:cs="Arial" w:eastAsia="Arial" w:hAnsi="Arial"/>
          <w:sz w:val="18"/>
          <w:szCs w:val="18"/>
          <w:color w:val="auto"/>
        </w:rPr>
      </w:pPr>
    </w:p>
    <w:p>
      <w:pPr>
        <w:ind w:left="460" w:right="380"/>
        <w:spacing w:after="0" w:line="268" w:lineRule="auto"/>
        <w:rPr>
          <w:rFonts w:ascii="Arial" w:cs="Arial" w:eastAsia="Arial" w:hAnsi="Arial"/>
          <w:sz w:val="18"/>
          <w:szCs w:val="18"/>
          <w:color w:val="auto"/>
        </w:rPr>
      </w:pPr>
      <w:r>
        <w:rPr>
          <w:rFonts w:ascii="Arial" w:cs="Arial" w:eastAsia="Arial" w:hAnsi="Arial"/>
          <w:sz w:val="18"/>
          <w:szCs w:val="18"/>
          <w:color w:val="auto"/>
        </w:rPr>
        <w:t>Report 8-K dated January 21, 2003, furnished as of January 22, 2003 to report under Item 9 a Question and Answer document on the January 21, 2003 Schlumberger Press Release.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16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1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00" w:val="left"/>
          <w:tab w:leader="none" w:pos="6280" w:val="left"/>
          <w:tab w:leader="none" w:pos="8360" w:val="left"/>
          <w:tab w:leader="none" w:pos="8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RANK</w:t>
      </w:r>
      <w:r>
        <w:rPr>
          <w:rFonts w:ascii="Arial" w:cs="Arial" w:eastAsia="Arial" w:hAnsi="Arial"/>
          <w:sz w:val="16"/>
          <w:szCs w:val="16"/>
          <w:color w:val="auto"/>
        </w:rPr>
        <w:t xml:space="preserve"> A. S</w:t>
      </w:r>
      <w:r>
        <w:rPr>
          <w:rFonts w:ascii="Arial" w:cs="Arial" w:eastAsia="Arial" w:hAnsi="Arial"/>
          <w:sz w:val="13"/>
          <w:szCs w:val="13"/>
          <w:color w:val="auto"/>
        </w:rPr>
        <w:t>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80010</wp:posOffset>
            </wp:positionV>
            <wp:extent cx="13119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80010</wp:posOffset>
            </wp:positionV>
            <wp:extent cx="28213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14"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Frank A. Sorgie</w:t>
      </w:r>
    </w:p>
    <w:p>
      <w:pPr>
        <w:spacing w:after="0" w:line="1"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Chief Accounting Officer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15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76" w:lineRule="exact"/>
        <w:rPr>
          <w:rFonts w:ascii="Arial" w:cs="Arial" w:eastAsia="Arial" w:hAnsi="Arial"/>
          <w:sz w:val="18"/>
          <w:szCs w:val="18"/>
          <w:color w:val="auto"/>
        </w:rPr>
      </w:pPr>
    </w:p>
    <w:p>
      <w:pPr>
        <w:jc w:val="both"/>
        <w:ind w:left="460" w:right="8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460" w:right="40" w:hanging="452"/>
        <w:spacing w:after="0" w:line="32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w:t>
      </w:r>
    </w:p>
    <w:p>
      <w:pPr>
        <w:sectPr>
          <w:pgSz w:w="11900" w:h="16838" w:orient="portrait"/>
          <w:cols w:equalWidth="0" w:num="1">
            <w:col w:w="11420"/>
          </w:cols>
          <w:pgMar w:left="240" w:top="131" w:right="239" w:bottom="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color w:val="auto"/>
        </w:rPr>
        <w:t>Act Rules 13a-14 and 15d-14) for the registrant and we have:</w:t>
      </w:r>
    </w:p>
    <w:p>
      <w:pPr>
        <w:spacing w:after="0" w:line="77" w:lineRule="exact"/>
        <w:rPr>
          <w:sz w:val="20"/>
          <w:szCs w:val="20"/>
          <w:color w:val="auto"/>
        </w:rPr>
      </w:pPr>
    </w:p>
    <w:p>
      <w:pPr>
        <w:ind w:left="900" w:hanging="446"/>
        <w:spacing w:after="0" w:line="325"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6"/>
          <w:szCs w:val="16"/>
          <w:color w:val="auto"/>
        </w:rPr>
      </w:pPr>
    </w:p>
    <w:p>
      <w:pPr>
        <w:ind w:left="900" w:right="18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fulfilling the equivalent function);</w:t>
      </w:r>
    </w:p>
    <w:p>
      <w:pPr>
        <w:spacing w:after="0" w:line="37" w:lineRule="exact"/>
        <w:rPr>
          <w:rFonts w:ascii="Arial" w:cs="Arial" w:eastAsia="Arial" w:hAnsi="Arial"/>
          <w:sz w:val="18"/>
          <w:szCs w:val="18"/>
          <w:color w:val="auto"/>
        </w:rPr>
      </w:pPr>
    </w:p>
    <w:p>
      <w:pPr>
        <w:ind w:left="900" w:right="460" w:hanging="446"/>
        <w:spacing w:after="0" w:line="325"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1"/>
          <w:numId w:val="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controls; and</w:t>
      </w:r>
    </w:p>
    <w:p>
      <w:pPr>
        <w:spacing w:after="0" w:line="111" w:lineRule="exact"/>
        <w:rPr>
          <w:rFonts w:ascii="Arial" w:cs="Arial" w:eastAsia="Arial" w:hAnsi="Arial"/>
          <w:sz w:val="15"/>
          <w:szCs w:val="15"/>
          <w:color w:val="auto"/>
        </w:rPr>
      </w:pPr>
    </w:p>
    <w:p>
      <w:pPr>
        <w:ind w:left="460" w:right="12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43" w:lineRule="exact"/>
        <w:rPr>
          <w:sz w:val="20"/>
          <w:szCs w:val="20"/>
          <w:color w:val="auto"/>
        </w:rPr>
      </w:pPr>
    </w:p>
    <w:p>
      <w:pPr>
        <w:spacing w:after="0"/>
        <w:tabs>
          <w:tab w:leader="none" w:pos="700" w:val="left"/>
          <w:tab w:leader="none" w:pos="8160" w:val="left"/>
          <w:tab w:leader="none" w:pos="8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2003</w:t>
      </w:r>
      <w:r>
        <w:rPr>
          <w:sz w:val="20"/>
          <w:szCs w:val="20"/>
          <w:color w:val="auto"/>
        </w:rPr>
        <w:tab/>
      </w: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G</w:t>
      </w:r>
      <w:r>
        <w:rPr>
          <w:rFonts w:ascii="Arial" w:cs="Arial" w:eastAsia="Arial" w:hAnsi="Arial"/>
          <w:sz w:val="14"/>
          <w:szCs w:val="14"/>
          <w:color w:val="auto"/>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80010</wp:posOffset>
            </wp:positionV>
            <wp:extent cx="131191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80010</wp:posOffset>
            </wp:positionV>
            <wp:extent cx="31045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Andrew Gould</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 Jean-Marc Perraud, certify that:</w:t>
      </w:r>
    </w:p>
    <w:p>
      <w:pPr>
        <w:spacing w:after="0" w:line="7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76" w:lineRule="exact"/>
        <w:rPr>
          <w:rFonts w:ascii="Arial" w:cs="Arial" w:eastAsia="Arial" w:hAnsi="Arial"/>
          <w:sz w:val="18"/>
          <w:szCs w:val="18"/>
          <w:color w:val="auto"/>
        </w:rPr>
      </w:pPr>
    </w:p>
    <w:p>
      <w:pPr>
        <w:jc w:val="both"/>
        <w:ind w:left="460" w:right="4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ind w:left="460" w:right="1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37"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6"/>
          <w:szCs w:val="16"/>
          <w:color w:val="auto"/>
        </w:rPr>
      </w:pPr>
    </w:p>
    <w:p>
      <w:pPr>
        <w:ind w:left="900" w:right="18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fulfilling the equivalent function);</w:t>
      </w:r>
    </w:p>
    <w:p>
      <w:pPr>
        <w:spacing w:after="0" w:line="37" w:lineRule="exact"/>
        <w:rPr>
          <w:rFonts w:ascii="Arial" w:cs="Arial" w:eastAsia="Arial" w:hAnsi="Arial"/>
          <w:sz w:val="18"/>
          <w:szCs w:val="18"/>
          <w:color w:val="auto"/>
        </w:rPr>
      </w:pPr>
    </w:p>
    <w:p>
      <w:pPr>
        <w:ind w:left="900" w:right="460" w:hanging="446"/>
        <w:spacing w:after="0" w:line="325"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1"/>
          <w:numId w:val="1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controls; and</w:t>
      </w:r>
    </w:p>
    <w:p>
      <w:pPr>
        <w:spacing w:after="0" w:line="111" w:lineRule="exact"/>
        <w:rPr>
          <w:rFonts w:ascii="Arial" w:cs="Arial" w:eastAsia="Arial" w:hAnsi="Arial"/>
          <w:sz w:val="15"/>
          <w:szCs w:val="15"/>
          <w:color w:val="auto"/>
        </w:rPr>
      </w:pPr>
    </w:p>
    <w:p>
      <w:pPr>
        <w:ind w:left="460" w:right="12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43" w:lineRule="exact"/>
        <w:rPr>
          <w:sz w:val="20"/>
          <w:szCs w:val="20"/>
          <w:color w:val="auto"/>
        </w:rPr>
      </w:pPr>
    </w:p>
    <w:p>
      <w:pPr>
        <w:spacing w:after="0"/>
        <w:tabs>
          <w:tab w:leader="none" w:pos="700" w:val="left"/>
          <w:tab w:leader="none" w:pos="798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EAN</w:t>
      </w:r>
      <w:r>
        <w:rPr>
          <w:rFonts w:ascii="Arial" w:cs="Arial" w:eastAsia="Arial" w:hAnsi="Arial"/>
          <w:sz w:val="16"/>
          <w:szCs w:val="16"/>
          <w:color w:val="auto"/>
        </w:rPr>
        <w:t>-M</w:t>
      </w:r>
      <w:r>
        <w:rPr>
          <w:rFonts w:ascii="Arial" w:cs="Arial" w:eastAsia="Arial" w:hAnsi="Arial"/>
          <w:sz w:val="13"/>
          <w:szCs w:val="13"/>
          <w:color w:val="auto"/>
        </w:rPr>
        <w:t>ARC</w:t>
      </w:r>
      <w:r>
        <w:rPr>
          <w:rFonts w:ascii="Arial" w:cs="Arial" w:eastAsia="Arial" w:hAnsi="Arial"/>
          <w:sz w:val="16"/>
          <w:szCs w:val="16"/>
          <w:color w:val="auto"/>
        </w:rPr>
        <w:t xml:space="preserve"> P</w:t>
      </w:r>
      <w:r>
        <w:rPr>
          <w:rFonts w:ascii="Arial" w:cs="Arial" w:eastAsia="Arial" w:hAnsi="Arial"/>
          <w:sz w:val="13"/>
          <w:szCs w:val="13"/>
          <w:color w:val="auto"/>
        </w:rPr>
        <w:t>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80010</wp:posOffset>
            </wp:positionV>
            <wp:extent cx="131191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80010</wp:posOffset>
            </wp:positionV>
            <wp:extent cx="31045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Jean-Marc Perraud</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31" w:right="27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Exhibit 10(a)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5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 xml:space="preserve">THIS EMPLOYMENT AGREEMENT (“Agreement”) is effective as of the 1st day of January, 1, 2003, by and between </w:t>
      </w:r>
      <w:r>
        <w:rPr>
          <w:rFonts w:ascii="Arial" w:cs="Arial" w:eastAsia="Arial" w:hAnsi="Arial"/>
          <w:sz w:val="18"/>
          <w:szCs w:val="18"/>
          <w:b w:val="1"/>
          <w:bCs w:val="1"/>
          <w:color w:val="auto"/>
        </w:rPr>
        <w:t>SCHLUMBERGER LIMITED</w:t>
      </w:r>
      <w:r>
        <w:rPr>
          <w:rFonts w:ascii="Arial" w:cs="Arial" w:eastAsia="Arial" w:hAnsi="Arial"/>
          <w:sz w:val="18"/>
          <w:szCs w:val="18"/>
          <w:color w:val="auto"/>
        </w:rPr>
        <w:t>, a Netherlands Antilles corporation (the ”Company”), and Irwin Pfister, an individual currently residing at 5944 Bellevue Avenue; La Jolla, Ca. 92037 (“Executive”).</w:t>
      </w:r>
    </w:p>
    <w:p>
      <w:pPr>
        <w:spacing w:after="0" w:line="125" w:lineRule="exact"/>
        <w:rPr>
          <w:sz w:val="20"/>
          <w:szCs w:val="20"/>
          <w:color w:val="auto"/>
        </w:rPr>
      </w:pPr>
    </w:p>
    <w:p>
      <w:pPr>
        <w:jc w:val="both"/>
        <w:ind w:right="280" w:firstLine="8"/>
        <w:spacing w:after="0" w:line="256" w:lineRule="auto"/>
        <w:tabs>
          <w:tab w:leader="none" w:pos="17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Employment of Executive</w:t>
      </w:r>
      <w:r>
        <w:rPr>
          <w:rFonts w:ascii="Arial" w:cs="Arial" w:eastAsia="Arial" w:hAnsi="Arial"/>
          <w:sz w:val="18"/>
          <w:szCs w:val="18"/>
          <w:color w:val="auto"/>
        </w:rPr>
        <w:t>: In consideration of the mutual covenants and agreements herein contained, including Executive’s agreement to sign a release of claims as provided in Section 13, the Company and Executive wish to establish an Employment Agreement retaining Executive’s services as described herein, establishing certain incentive, tenure and performance criteria related to such employment and otherwise fixing Executive’s benefits, base salary and incentive compensation.</w:t>
      </w:r>
    </w:p>
    <w:p>
      <w:pPr>
        <w:spacing w:after="0" w:line="129" w:lineRule="exact"/>
        <w:rPr>
          <w:rFonts w:ascii="Arial" w:cs="Arial" w:eastAsia="Arial" w:hAnsi="Arial"/>
          <w:sz w:val="18"/>
          <w:szCs w:val="18"/>
          <w:color w:val="auto"/>
        </w:rPr>
      </w:pPr>
    </w:p>
    <w:p>
      <w:pPr>
        <w:ind w:right="60" w:firstLine="8"/>
        <w:spacing w:after="0" w:line="289" w:lineRule="auto"/>
        <w:tabs>
          <w:tab w:leader="none" w:pos="17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Term and Extent of Services</w:t>
      </w:r>
      <w:r>
        <w:rPr>
          <w:rFonts w:ascii="Arial" w:cs="Arial" w:eastAsia="Arial" w:hAnsi="Arial"/>
          <w:sz w:val="16"/>
          <w:szCs w:val="16"/>
          <w:color w:val="auto"/>
        </w:rPr>
        <w:t>: During the Term, as defined below, Executive shall be employed with responsibility for Special Projects. The term, which will be broken into two pieces, shall commence January 1, 2003 (the ”Effective Date”) and shall continue until the close of business on April 30, 2005 (the “Term”). The Initial Term as referenced herein shall commence on the Effective Date and shall continue until September 30, 2003. The Secondary Term shall commence October 1, 2003 and shall continue until April 30, 2005. During the Initial Term, Executive agrees to devote 100% of his time to perform special projects and, to the best of his ability and with reasonable diligence, the duties and responsibilities assigned to him by the appropriate management of the Company. During the Secondary Term, Executive agrees to devote up to 50% of his time to perform, to the best of his ability and with reasonable diligence, the duties and responsibilities assigned to him by the appropriate management of the Company. At the expiration of the Term, Executive agrees to voluntarily terminate his employment with the Company and all affiliates.</w:t>
      </w:r>
    </w:p>
    <w:p>
      <w:pPr>
        <w:spacing w:after="0" w:line="104" w:lineRule="exact"/>
        <w:rPr>
          <w:rFonts w:ascii="Arial" w:cs="Arial" w:eastAsia="Arial" w:hAnsi="Arial"/>
          <w:sz w:val="16"/>
          <w:szCs w:val="16"/>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158" w:lineRule="exact"/>
        <w:rPr>
          <w:sz w:val="20"/>
          <w:szCs w:val="20"/>
          <w:color w:val="auto"/>
        </w:rPr>
      </w:pPr>
    </w:p>
    <w:p>
      <w:pPr>
        <w:ind w:right="540" w:firstLine="464"/>
        <w:spacing w:after="0" w:line="332"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Salary</w:t>
      </w:r>
      <w:r>
        <w:rPr>
          <w:rFonts w:ascii="Arial" w:cs="Arial" w:eastAsia="Arial" w:hAnsi="Arial"/>
          <w:sz w:val="16"/>
          <w:szCs w:val="16"/>
          <w:color w:val="auto"/>
        </w:rPr>
        <w:t>: During the Initial Term, Executive’s base salary shall be $50,000 per month; during the Secondary Term, Executive’s base salary shall be $37,500 per month. Executive’s base salary shall be payable monthly in accordance with the Company’s normal payroll practices.</w:t>
      </w:r>
    </w:p>
    <w:p>
      <w:pPr>
        <w:spacing w:after="0" w:line="71" w:lineRule="exact"/>
        <w:rPr>
          <w:rFonts w:ascii="Arial" w:cs="Arial" w:eastAsia="Arial" w:hAnsi="Arial"/>
          <w:sz w:val="16"/>
          <w:szCs w:val="16"/>
          <w:color w:val="auto"/>
        </w:rPr>
      </w:pPr>
    </w:p>
    <w:p>
      <w:pPr>
        <w:ind w:right="100" w:firstLine="464"/>
        <w:spacing w:after="0" w:line="268"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Welfare Benefits</w:t>
      </w:r>
      <w:r>
        <w:rPr>
          <w:rFonts w:ascii="Arial" w:cs="Arial" w:eastAsia="Arial" w:hAnsi="Arial"/>
          <w:sz w:val="18"/>
          <w:szCs w:val="18"/>
          <w:color w:val="auto"/>
        </w:rPr>
        <w:t>: During both the Initial and Secondary Terms, Executive shall be eligible to participate in the Company’s medical and dental plans on a basis comparable to that of other employees at the Company’s New York offices.</w:t>
      </w:r>
    </w:p>
    <w:p>
      <w:pPr>
        <w:spacing w:after="0" w:line="118" w:lineRule="exact"/>
        <w:rPr>
          <w:rFonts w:ascii="Arial" w:cs="Arial" w:eastAsia="Arial" w:hAnsi="Arial"/>
          <w:sz w:val="18"/>
          <w:szCs w:val="18"/>
          <w:color w:val="auto"/>
        </w:rPr>
      </w:pPr>
    </w:p>
    <w:p>
      <w:pPr>
        <w:ind w:right="280" w:firstLine="464"/>
        <w:spacing w:after="0" w:line="268"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Pension and Profit-Sharing</w:t>
      </w:r>
      <w:r>
        <w:rPr>
          <w:rFonts w:ascii="Arial" w:cs="Arial" w:eastAsia="Arial" w:hAnsi="Arial"/>
          <w:sz w:val="18"/>
          <w:szCs w:val="18"/>
          <w:color w:val="auto"/>
        </w:rPr>
        <w:t>: During both the Initial and Secondary Terms, Executive shall continue to accrue benefits under the Company’s qualified and non-qualified pension and profit-sharing plans based on his base salary in effect under this Agreement.</w:t>
      </w:r>
    </w:p>
    <w:p>
      <w:pPr>
        <w:spacing w:after="0" w:line="118" w:lineRule="exact"/>
        <w:rPr>
          <w:rFonts w:ascii="Arial" w:cs="Arial" w:eastAsia="Arial" w:hAnsi="Arial"/>
          <w:sz w:val="18"/>
          <w:szCs w:val="18"/>
          <w:color w:val="auto"/>
        </w:rPr>
      </w:pPr>
    </w:p>
    <w:p>
      <w:pPr>
        <w:jc w:val="both"/>
        <w:ind w:left="460" w:firstLine="443"/>
        <w:spacing w:after="0" w:line="259" w:lineRule="auto"/>
        <w:tabs>
          <w:tab w:leader="none" w:pos="11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addition, during the Secondary Term, Executive shall accrue a nonqualified pension based on the difference between $50,000 per month and his actual base salary. Such pension shall be accrued, paid and calculated in the same manner as the Executive’s pension from the Company’s qualified pension plan, but shall be unfunded, unsecured and paid out of the Company’s general assets.</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Incentive Plans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460" w:right="40" w:firstLine="443"/>
        <w:spacing w:after="0" w:line="306" w:lineRule="auto"/>
        <w:tabs>
          <w:tab w:leader="none" w:pos="1108" w:val="left"/>
        </w:tabs>
        <w:numPr>
          <w:ilvl w:val="1"/>
          <w:numId w:val="12"/>
        </w:numPr>
        <w:rPr>
          <w:rFonts w:ascii="Arial" w:cs="Arial" w:eastAsia="Arial" w:hAnsi="Arial"/>
          <w:sz w:val="16"/>
          <w:szCs w:val="16"/>
          <w:color w:val="auto"/>
        </w:rPr>
      </w:pPr>
      <w:r>
        <w:rPr>
          <w:rFonts w:ascii="Arial" w:cs="Arial" w:eastAsia="Arial" w:hAnsi="Arial"/>
          <w:sz w:val="16"/>
          <w:szCs w:val="16"/>
          <w:color w:val="auto"/>
        </w:rPr>
        <w:t>During the Initial Term, Executive shall be eligible to participate in the Company’s Performance Incentive Plan. Any bonus due from participation in this plan shall be based on both the financial results of the company and Executive’s performance against certain key objectives that have been agreed to by his manager. During the Secondary Term, Executive shall not participate in the Company’s Performance Incentive Plan.</w:t>
      </w:r>
    </w:p>
    <w:p>
      <w:pPr>
        <w:spacing w:after="0" w:line="93" w:lineRule="exact"/>
        <w:rPr>
          <w:rFonts w:ascii="Arial" w:cs="Arial" w:eastAsia="Arial" w:hAnsi="Arial"/>
          <w:sz w:val="16"/>
          <w:szCs w:val="16"/>
          <w:color w:val="auto"/>
        </w:rPr>
      </w:pPr>
    </w:p>
    <w:p>
      <w:pPr>
        <w:ind w:left="460" w:right="180" w:firstLine="443"/>
        <w:spacing w:after="0" w:line="268" w:lineRule="auto"/>
        <w:tabs>
          <w:tab w:leader="none" w:pos="11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During both Terms, Executive will continue to vest in stock options previously granted to Executive under the Company’s stock option plans in accordance with the terms of those plans and any applicable agreements.</w:t>
      </w:r>
    </w:p>
    <w:p>
      <w:pPr>
        <w:spacing w:after="0" w:line="118" w:lineRule="exact"/>
        <w:rPr>
          <w:rFonts w:ascii="Arial" w:cs="Arial" w:eastAsia="Arial" w:hAnsi="Arial"/>
          <w:sz w:val="18"/>
          <w:szCs w:val="18"/>
          <w:color w:val="auto"/>
        </w:rPr>
      </w:pPr>
    </w:p>
    <w:p>
      <w:pPr>
        <w:ind w:left="460" w:right="340" w:firstLine="443"/>
        <w:spacing w:after="0" w:line="256" w:lineRule="auto"/>
        <w:tabs>
          <w:tab w:leader="none" w:pos="12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Upon termination of employment, except for a termination for Cause pursuant to Section 4(c) or upon Executive’s employment with an unauthorized Competitor as described in Section 5(c)(i), Executive shall have the lesser of 5 years or the length of time left on the option term from the date of such termination to exercise any previously granted stock options, to the extent that such options were exercisable as of the date of such termination.</w:t>
      </w:r>
    </w:p>
    <w:p>
      <w:pPr>
        <w:spacing w:after="0" w:line="129" w:lineRule="exact"/>
        <w:rPr>
          <w:rFonts w:ascii="Arial" w:cs="Arial" w:eastAsia="Arial" w:hAnsi="Arial"/>
          <w:sz w:val="18"/>
          <w:szCs w:val="18"/>
          <w:color w:val="auto"/>
        </w:rPr>
      </w:pPr>
    </w:p>
    <w:p>
      <w:pPr>
        <w:ind w:right="80" w:firstLine="464"/>
        <w:spacing w:after="0" w:line="332"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During the Secondary Term, Executive shall not be eligible to accrue vacation pay. Within 30 days after the commencement of the Secondary Term, Executive shall be paid a cash amount representing his accrued and unused vacation accumulated as of September 30, 2003.</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54" w:lineRule="exact"/>
        <w:rPr>
          <w:sz w:val="20"/>
          <w:szCs w:val="20"/>
          <w:color w:val="auto"/>
        </w:rPr>
      </w:pPr>
    </w:p>
    <w:p>
      <w:pPr>
        <w:ind w:right="380" w:firstLine="464"/>
        <w:spacing w:after="0" w:line="332" w:lineRule="auto"/>
        <w:tabs>
          <w:tab w:leader="none" w:pos="676"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Relocation</w:t>
      </w:r>
      <w:r>
        <w:rPr>
          <w:rFonts w:ascii="Arial" w:cs="Arial" w:eastAsia="Arial" w:hAnsi="Arial"/>
          <w:sz w:val="16"/>
          <w:szCs w:val="16"/>
          <w:color w:val="auto"/>
        </w:rPr>
        <w:t>: Until April 30, 2005, Executive shall be eligible for participation in the company’s North American relocation policy as it relates to the relocation of his residence from New York, N.Y. to San Diego, Ca. This includes home sale assistance and shipment of household goods.</w:t>
      </w:r>
    </w:p>
    <w:p>
      <w:pPr>
        <w:spacing w:after="0" w:line="71" w:lineRule="exact"/>
        <w:rPr>
          <w:rFonts w:ascii="Arial" w:cs="Arial" w:eastAsia="Arial" w:hAnsi="Arial"/>
          <w:sz w:val="16"/>
          <w:szCs w:val="16"/>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Should Executive’s employment terminate prior to the end of the Terms, the following provisions of this Section 4 shall govern the rights of Executive under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51" w:lineRule="exact"/>
        <w:rPr>
          <w:sz w:val="20"/>
          <w:szCs w:val="20"/>
          <w:color w:val="auto"/>
        </w:rPr>
      </w:pPr>
    </w:p>
    <w:p>
      <w:pPr>
        <w:ind w:firstLine="464"/>
        <w:spacing w:after="0" w:line="259"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In the event Executive’s employment terminates during the Terms as a result of Executive’s death, Executive’s beneficiary or beneficiaries shall receive any base salary and benefits accrued but unpaid as of his death, plus any amounts payable on account of Executive’s death pursuant to any other plan or program of the Company.</w:t>
      </w:r>
    </w:p>
    <w:p>
      <w:pPr>
        <w:spacing w:after="0" w:line="126" w:lineRule="exact"/>
        <w:rPr>
          <w:rFonts w:ascii="Arial" w:cs="Arial" w:eastAsia="Arial" w:hAnsi="Arial"/>
          <w:sz w:val="18"/>
          <w:szCs w:val="18"/>
          <w:color w:val="auto"/>
        </w:rPr>
      </w:pPr>
    </w:p>
    <w:p>
      <w:pPr>
        <w:ind w:right="40" w:firstLine="464"/>
        <w:spacing w:after="0" w:line="256"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In the event Executive’s employment terminates during the Terms due to his disability within the meaning of any long-term disability plan maintained by the Company and covering Executive as of the date of Executive’s disability, Executive shall receive any base salary and benefits accrued but unpaid as of the date of his termination due to disability, plus any amounts payable on account of Executive’s disability pursuant to any other plan or program of the Company.</w:t>
      </w:r>
    </w:p>
    <w:p>
      <w:pPr>
        <w:spacing w:after="0" w:line="129" w:lineRule="exact"/>
        <w:rPr>
          <w:rFonts w:ascii="Arial" w:cs="Arial" w:eastAsia="Arial" w:hAnsi="Arial"/>
          <w:sz w:val="18"/>
          <w:szCs w:val="18"/>
          <w:color w:val="auto"/>
        </w:rPr>
      </w:pPr>
    </w:p>
    <w:p>
      <w:pPr>
        <w:ind w:right="200" w:firstLine="464"/>
        <w:spacing w:after="0" w:line="268"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In the event the Company terminates Executive’s employment during the Terms for Cause, as defined below, he shall be entitled to:</w:t>
      </w:r>
    </w:p>
    <w:p>
      <w:pPr>
        <w:spacing w:after="0" w:line="37" w:lineRule="exact"/>
        <w:rPr>
          <w:rFonts w:ascii="Arial" w:cs="Arial" w:eastAsia="Arial" w:hAnsi="Arial"/>
          <w:sz w:val="18"/>
          <w:szCs w:val="18"/>
          <w:color w:val="auto"/>
        </w:rPr>
      </w:pPr>
    </w:p>
    <w:p>
      <w:pPr>
        <w:ind w:left="2380" w:hanging="441"/>
        <w:spacing w:after="0"/>
        <w:tabs>
          <w:tab w:leader="none" w:pos="2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his base salary through the date of the termination of his employment for Cause; and</w:t>
      </w:r>
    </w:p>
    <w:p>
      <w:pPr>
        <w:spacing w:after="0" w:line="76" w:lineRule="exact"/>
        <w:rPr>
          <w:rFonts w:ascii="Arial" w:cs="Arial" w:eastAsia="Arial" w:hAnsi="Arial"/>
          <w:sz w:val="18"/>
          <w:szCs w:val="18"/>
          <w:color w:val="auto"/>
        </w:rPr>
      </w:pPr>
    </w:p>
    <w:p>
      <w:pPr>
        <w:ind w:left="2380" w:right="60" w:hanging="441"/>
        <w:spacing w:after="0" w:line="268" w:lineRule="auto"/>
        <w:tabs>
          <w:tab w:leader="none" w:pos="2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other amounts earned, accrued or owing as of the date of termination of employment under the applicable employee benefit plans or programs of the Company.</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“Cause” means Executive’s dishonesty, conviction of a felony, willful unauthorized disclosure of confidential information of the Company or willful refusal to perform the duties of Executive’s position or positions with the Company.</w:t>
      </w:r>
    </w:p>
    <w:p>
      <w:pPr>
        <w:sectPr>
          <w:pgSz w:w="11900" w:h="16838" w:orient="portrait"/>
          <w:cols w:equalWidth="0" w:num="1">
            <w:col w:w="11420"/>
          </w:cols>
          <w:pgMar w:left="240" w:top="131" w:right="239" w:bottom="0" w:gutter="0" w:footer="0" w:header="0"/>
        </w:sectPr>
      </w:pPr>
    </w:p>
    <w:bookmarkStart w:id="15" w:name="page16"/>
    <w:bookmarkEnd w:id="15"/>
    <w:p>
      <w:pPr>
        <w:ind w:right="20" w:firstLine="464"/>
        <w:spacing w:after="0" w:line="259"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Voluntary Termination</w:t>
      </w:r>
      <w:r>
        <w:rPr>
          <w:rFonts w:ascii="Arial" w:cs="Arial" w:eastAsia="Arial" w:hAnsi="Arial"/>
          <w:sz w:val="18"/>
          <w:szCs w:val="18"/>
          <w:color w:val="auto"/>
        </w:rPr>
        <w:t>: Upon 15 days’ prior written notice to the Company (unless otherwise waived by the Company), Executive may voluntarily terminate his employment with the Company. A voluntary termination pursuant to this Section 4(d) shall not include a termination under Section 4(a), 4(b) or 4(c) above, and shall not be deemed a breach of this Agreement by Executive.</w:t>
      </w:r>
    </w:p>
    <w:p>
      <w:pPr>
        <w:spacing w:after="0" w:line="126" w:lineRule="exact"/>
        <w:rPr>
          <w:rFonts w:ascii="Arial" w:cs="Arial" w:eastAsia="Arial" w:hAnsi="Arial"/>
          <w:sz w:val="18"/>
          <w:szCs w:val="18"/>
          <w:color w:val="auto"/>
        </w:rPr>
      </w:pPr>
    </w:p>
    <w:p>
      <w:pPr>
        <w:ind w:left="1120" w:hanging="217"/>
        <w:spacing w:after="0"/>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the event Executive voluntarily terminates his employment, he shall be entitled to:</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his base salary through the date of the termination of his employment;</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other benefits for which he is eligible in accordance with applicable plans or programs of the Company;</w:t>
      </w:r>
    </w:p>
    <w:p>
      <w:pPr>
        <w:spacing w:after="0" w:line="76" w:lineRule="exact"/>
        <w:rPr>
          <w:rFonts w:ascii="Arial" w:cs="Arial" w:eastAsia="Arial" w:hAnsi="Arial"/>
          <w:sz w:val="18"/>
          <w:szCs w:val="18"/>
          <w:color w:val="auto"/>
        </w:rPr>
      </w:pPr>
    </w:p>
    <w:p>
      <w:pPr>
        <w:ind w:left="920" w:right="240" w:firstLine="421"/>
        <w:spacing w:after="0" w:line="259" w:lineRule="auto"/>
        <w:tabs>
          <w:tab w:leader="none" w:pos="1618" w:val="left"/>
        </w:tabs>
        <w:numPr>
          <w:ilvl w:val="2"/>
          <w:numId w:val="16"/>
        </w:numPr>
        <w:rPr>
          <w:rFonts w:ascii="Arial" w:cs="Arial" w:eastAsia="Arial" w:hAnsi="Arial"/>
          <w:sz w:val="18"/>
          <w:szCs w:val="18"/>
          <w:color w:val="auto"/>
        </w:rPr>
      </w:pPr>
      <w:r>
        <w:rPr>
          <w:rFonts w:ascii="Arial" w:cs="Arial" w:eastAsia="Arial" w:hAnsi="Arial"/>
          <w:sz w:val="18"/>
          <w:szCs w:val="18"/>
          <w:color w:val="auto"/>
        </w:rPr>
        <w:t>exercise any stock options granted under a stock option plan of the Company that vested during the Term of the Agreement (and prior to his termination date) for up to the lesser of 5 years or the amount of time left on the option term after his termination date but not to exceed the original option term;</w:t>
      </w:r>
    </w:p>
    <w:p>
      <w:pPr>
        <w:spacing w:after="0" w:line="126" w:lineRule="exact"/>
        <w:rPr>
          <w:rFonts w:ascii="Arial" w:cs="Arial" w:eastAsia="Arial" w:hAnsi="Arial"/>
          <w:sz w:val="18"/>
          <w:szCs w:val="18"/>
          <w:color w:val="auto"/>
        </w:rPr>
      </w:pPr>
    </w:p>
    <w:p>
      <w:pPr>
        <w:ind w:right="540" w:firstLine="464"/>
        <w:spacing w:after="0" w:line="268"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Termination Due to Mutual Agreement</w:t>
      </w:r>
      <w:r>
        <w:rPr>
          <w:rFonts w:ascii="Arial" w:cs="Arial" w:eastAsia="Arial" w:hAnsi="Arial"/>
          <w:sz w:val="18"/>
          <w:szCs w:val="18"/>
          <w:color w:val="auto"/>
        </w:rPr>
        <w:t>: In the event the Company and the Executive mutually agree to terminate this agreement, the Executive’s employment will be terminated and he shall be entitled to:</w:t>
      </w:r>
    </w:p>
    <w:p>
      <w:pPr>
        <w:spacing w:after="0" w:line="118" w:lineRule="exact"/>
        <w:rPr>
          <w:rFonts w:ascii="Arial" w:cs="Arial" w:eastAsia="Arial" w:hAnsi="Arial"/>
          <w:sz w:val="18"/>
          <w:szCs w:val="18"/>
          <w:color w:val="auto"/>
        </w:rPr>
      </w:pPr>
    </w:p>
    <w:p>
      <w:pPr>
        <w:ind w:left="1620" w:hanging="279"/>
        <w:spacing w:after="0"/>
        <w:tabs>
          <w:tab w:leader="none" w:pos="16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his base salary through the date of the termination of his employment;</w:t>
      </w:r>
    </w:p>
    <w:p>
      <w:pPr>
        <w:spacing w:after="0" w:line="157" w:lineRule="exact"/>
        <w:rPr>
          <w:rFonts w:ascii="Arial" w:cs="Arial" w:eastAsia="Arial" w:hAnsi="Arial"/>
          <w:sz w:val="18"/>
          <w:szCs w:val="18"/>
          <w:color w:val="auto"/>
        </w:rPr>
      </w:pPr>
    </w:p>
    <w:p>
      <w:pPr>
        <w:ind w:left="1620" w:hanging="279"/>
        <w:spacing w:after="0"/>
        <w:tabs>
          <w:tab w:leader="none" w:pos="16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other benefits for which he is eligible in accordance with applicable plans or programs of the Company;</w:t>
      </w:r>
    </w:p>
    <w:p>
      <w:pPr>
        <w:spacing w:after="0" w:line="157" w:lineRule="exact"/>
        <w:rPr>
          <w:rFonts w:ascii="Arial" w:cs="Arial" w:eastAsia="Arial" w:hAnsi="Arial"/>
          <w:sz w:val="18"/>
          <w:szCs w:val="18"/>
          <w:color w:val="auto"/>
        </w:rPr>
      </w:pPr>
    </w:p>
    <w:p>
      <w:pPr>
        <w:ind w:left="920" w:right="220" w:firstLine="421"/>
        <w:spacing w:after="0" w:line="259" w:lineRule="auto"/>
        <w:tabs>
          <w:tab w:leader="none" w:pos="1618" w:val="left"/>
        </w:tabs>
        <w:numPr>
          <w:ilvl w:val="2"/>
          <w:numId w:val="16"/>
        </w:numPr>
        <w:rPr>
          <w:rFonts w:ascii="Arial" w:cs="Arial" w:eastAsia="Arial" w:hAnsi="Arial"/>
          <w:sz w:val="18"/>
          <w:szCs w:val="18"/>
          <w:color w:val="auto"/>
        </w:rPr>
      </w:pPr>
      <w:r>
        <w:rPr>
          <w:rFonts w:ascii="Arial" w:cs="Arial" w:eastAsia="Arial" w:hAnsi="Arial"/>
          <w:sz w:val="18"/>
          <w:szCs w:val="18"/>
          <w:color w:val="auto"/>
        </w:rPr>
        <w:t>exercise any stock options granted under a stock option plan of the Company that vested during the Term of the Agreement (and prior to his termination date) for up to the lesser of 5 years or the amount of time left on the option term after his termination date but not to exceed the original option term;</w:t>
      </w:r>
    </w:p>
    <w:p>
      <w:pPr>
        <w:spacing w:after="0" w:line="126" w:lineRule="exact"/>
        <w:rPr>
          <w:rFonts w:ascii="Arial" w:cs="Arial" w:eastAsia="Arial" w:hAnsi="Arial"/>
          <w:sz w:val="18"/>
          <w:szCs w:val="18"/>
          <w:color w:val="auto"/>
        </w:rPr>
      </w:pPr>
    </w:p>
    <w:p>
      <w:pPr>
        <w:ind w:left="1620" w:hanging="279"/>
        <w:spacing w:after="0"/>
        <w:tabs>
          <w:tab w:leader="none" w:pos="16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if and only if such termination occurs on the last day of the Initial Term, a lump sum payment equal to $712,500.</w:t>
      </w:r>
    </w:p>
    <w:p>
      <w:pPr>
        <w:spacing w:after="0" w:line="157" w:lineRule="exact"/>
        <w:rPr>
          <w:rFonts w:ascii="Arial" w:cs="Arial" w:eastAsia="Arial" w:hAnsi="Arial"/>
          <w:sz w:val="18"/>
          <w:szCs w:val="18"/>
          <w:color w:val="auto"/>
        </w:rPr>
      </w:pPr>
    </w:p>
    <w:p>
      <w:pPr>
        <w:ind w:left="920" w:right="80" w:firstLine="421"/>
        <w:spacing w:after="0" w:line="268" w:lineRule="auto"/>
        <w:tabs>
          <w:tab w:leader="none" w:pos="1608" w:val="left"/>
        </w:tabs>
        <w:numPr>
          <w:ilvl w:val="2"/>
          <w:numId w:val="16"/>
        </w:numPr>
        <w:rPr>
          <w:rFonts w:ascii="Arial" w:cs="Arial" w:eastAsia="Arial" w:hAnsi="Arial"/>
          <w:sz w:val="18"/>
          <w:szCs w:val="18"/>
          <w:color w:val="auto"/>
        </w:rPr>
      </w:pPr>
      <w:r>
        <w:rPr>
          <w:rFonts w:ascii="Arial" w:cs="Arial" w:eastAsia="Arial" w:hAnsi="Arial"/>
          <w:sz w:val="18"/>
          <w:szCs w:val="18"/>
          <w:color w:val="auto"/>
        </w:rPr>
        <w:t>if and only if such voluntary termination occurs after the last day of the Initial Term and on or before the last day of the Secondary Term, a lump sum payment of $712,500 multiplied by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5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fraction of N divided by 19 where N equals the number of months remaining in the Secondary Term after his termination.</w:t>
      </w:r>
    </w:p>
    <w:p>
      <w:pPr>
        <w:spacing w:after="0" w:line="158"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Confidentiality, Return of Property, and Covenant Not to Compete</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firstLine="464"/>
        <w:spacing w:after="0" w:line="287" w:lineRule="auto"/>
        <w:tabs>
          <w:tab w:leader="none" w:pos="695"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The Company agrees to provide Executive with Confidential Information as necessary to perform his duties hereunder. Executive agrees that in return for this and other consideration provided under this Agreement he will not disclose or make available to any other person or entity, or use for his own personal gain, any Confidential Information, except for such disclosures as required in the performance of his duties hereunder. For purposes of this Agreement, “Confidential Information” shall mean any and all information, data and knowledge that have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manuals, records of research, reports, memoranda, computer software, strategies, forecasts, new products, unpublished financial statements or parts thereof, budgets or other financial information, projections, licenses, prices, costs, and employee, customer and supplier lists or parts thereof.</w:t>
      </w:r>
    </w:p>
    <w:p>
      <w:pPr>
        <w:spacing w:after="0" w:line="10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the Company and Executive agree that the terms of this Agreement are confidential and that any disclosure to anyone for any purpose whatsoever (save and except disclosure to Executive’s spouse, to financial institutions as part of a financial statement, to immediate family members and/or heirs, financial, tax and legal advisors, outplacement, executive search advisors, prospective employers, or as required by law) in the event confirmation of any such information is requested the request should be directed to the Director of Personnel, New York)) by Executive or Executive’s agents, representatives, heirs, spouse, employees or spokespersons shall be a breach of this Agreement, and shall relieve the Company of its obligations hereunder. The above is not intended to restrict Executive from seeking or engaging in other employment and, in that connection, from making confidential disclosure to potential employers of such facts or opinions as Executive may elect to convey, nor is it intended to restrict the Company from conducting such confidential internal communications as may be necessary to manage implementation of this Agreement in a businesslike way.</w:t>
      </w:r>
    </w:p>
    <w:p>
      <w:pPr>
        <w:spacing w:after="0" w:line="105" w:lineRule="exact"/>
        <w:rPr>
          <w:sz w:val="20"/>
          <w:szCs w:val="20"/>
          <w:color w:val="auto"/>
        </w:rPr>
      </w:pPr>
    </w:p>
    <w:p>
      <w:pPr>
        <w:ind w:right="180" w:firstLine="464"/>
        <w:spacing w:after="0" w:line="255"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Executive agrees that at the time of leaving the Company’s employ, he will deliver to the Company (and will not keep in his possession, recreate or deliver to anyone else) all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Executive.</w:t>
      </w:r>
    </w:p>
    <w:p>
      <w:pPr>
        <w:spacing w:after="0" w:line="129" w:lineRule="exact"/>
        <w:rPr>
          <w:rFonts w:ascii="Arial" w:cs="Arial" w:eastAsia="Arial" w:hAnsi="Arial"/>
          <w:sz w:val="18"/>
          <w:szCs w:val="18"/>
          <w:color w:val="auto"/>
        </w:rPr>
      </w:pPr>
    </w:p>
    <w:p>
      <w:pPr>
        <w:ind w:firstLine="464"/>
        <w:spacing w:after="0" w:line="255"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 Executive acknowledges that the skills, processes and information developed at the Company could be utilized directly and to the Company’s detriment (or the detriment of any of the Company’s affiliates or ventures) with several other businesses. Executive also acknowledges that the nature of his position at the Company will bring him into close contact with much of the Company’s Confidential Information, and the Company has affirmatively agreed to provide him with Confidential Information. Accordingly, for the consideration provided to Executive in this Agreement, Executive agrees to be bound by the following restrictive covenants:</w:t>
      </w:r>
    </w:p>
    <w:p>
      <w:pPr>
        <w:spacing w:after="0" w:line="129" w:lineRule="exact"/>
        <w:rPr>
          <w:rFonts w:ascii="Arial" w:cs="Arial" w:eastAsia="Arial" w:hAnsi="Arial"/>
          <w:sz w:val="18"/>
          <w:szCs w:val="18"/>
          <w:color w:val="auto"/>
        </w:rPr>
      </w:pPr>
    </w:p>
    <w:p>
      <w:pPr>
        <w:ind w:left="460" w:right="20" w:firstLine="443"/>
        <w:spacing w:after="0" w:line="290" w:lineRule="auto"/>
        <w:tabs>
          <w:tab w:leader="none" w:pos="110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During the Term of the agreement, Executive shall not accept employment with or render services to any unauthorized competitor as a director, officer, agent, employee, independent contractor or consultant, or take any action inconsistent with the fiduciary relationship of an employee to his employer. In order to protect the Company’s good will and other legitimate business interests, provide greater flexibility to Executive in obtaining other employment and to provide both parties with greater certainty as to their obligations hereunder, the parties agree that Executive shall not be prohibited from accepting employment with any company or other enterprise except an Unauthorized Competitor. For purposes of this Agreement, an “Unauthorized Competitor” means companies involved in the Information Technology and/or Smart Card businesses, including any and all of their parents, subsidiaries, affiliates, joint ventures, divisions, successors or assigns.</w:t>
      </w:r>
    </w:p>
    <w:p>
      <w:pPr>
        <w:spacing w:after="0" w:line="104" w:lineRule="exact"/>
        <w:rPr>
          <w:rFonts w:ascii="Arial" w:cs="Arial" w:eastAsia="Arial" w:hAnsi="Arial"/>
          <w:sz w:val="16"/>
          <w:szCs w:val="16"/>
          <w:color w:val="auto"/>
        </w:rPr>
      </w:pPr>
    </w:p>
    <w:p>
      <w:pPr>
        <w:jc w:val="both"/>
        <w:ind w:left="460" w:right="20" w:firstLine="443"/>
        <w:spacing w:after="0" w:line="259" w:lineRule="auto"/>
        <w:tabs>
          <w:tab w:leader="none" w:pos="1157"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Executive further agrees that during the Term of the agreement, he shall not at any time, directly or indirectly, induce, entice or solicit (or attempt to induce, entice or solicit) any employee of the Company or any of its affiliates or ventures to leave the employment of the Company or any of its affiliates or ventures.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26" w:gutter="0" w:footer="0" w:header="0"/>
        </w:sectPr>
      </w:pPr>
    </w:p>
    <w:bookmarkStart w:id="16" w:name="page17"/>
    <w:bookmarkEnd w:id="16"/>
    <w:p>
      <w:pPr>
        <w:ind w:left="460" w:firstLine="443"/>
        <w:spacing w:after="0" w:line="253" w:lineRule="auto"/>
        <w:tabs>
          <w:tab w:leader="none" w:pos="1205" w:val="left"/>
        </w:tabs>
        <w:numPr>
          <w:ilvl w:val="2"/>
          <w:numId w:val="19"/>
        </w:numPr>
        <w:rPr>
          <w:rFonts w:ascii="Arial" w:cs="Arial" w:eastAsia="Arial" w:hAnsi="Arial"/>
          <w:sz w:val="18"/>
          <w:szCs w:val="18"/>
          <w:color w:val="auto"/>
        </w:rPr>
      </w:pPr>
      <w:r>
        <w:rPr>
          <w:rFonts w:ascii="Arial" w:cs="Arial" w:eastAsia="Arial" w:hAnsi="Arial"/>
          <w:sz w:val="18"/>
          <w:szCs w:val="18"/>
          <w:color w:val="auto"/>
        </w:rPr>
        <w:t>Executive acknowledges that these restrictive covenants under Section 5, for which he received consideration from the Company as provided in this Section 5, is ancillary to otherwise enforceable provisions of this Agreement and that these restrictive covenants contain limitations as to time, geographical area and scope of activity to be restrained that are reasonable and do not impose a greater restraint than is necessary to protect the good will or other business interests of the Company, such as the Company’s need to protect its confidential and proprietary information. Executive acknowledges that in the event of a breach by Executive of these restrictive covenants, the covenants may be enforced by temporary restraining order, preliminary or temporary injunction and permanent injunction. In that connection, Executive acknowledges that in the event of a breach, the Company will suffer irreparable injury for which there is no adequate legal remedy, in part because damages caused by the breach may be difficult to prove with any reasonable degree of certainty.</w:t>
      </w:r>
    </w:p>
    <w:p>
      <w:pPr>
        <w:spacing w:after="0" w:line="131" w:lineRule="exact"/>
        <w:rPr>
          <w:rFonts w:ascii="Arial" w:cs="Arial" w:eastAsia="Arial" w:hAnsi="Arial"/>
          <w:sz w:val="18"/>
          <w:szCs w:val="18"/>
          <w:color w:val="auto"/>
        </w:rPr>
      </w:pPr>
    </w:p>
    <w:p>
      <w:pPr>
        <w:ind w:right="180" w:firstLine="464"/>
        <w:spacing w:after="0" w:line="254" w:lineRule="auto"/>
        <w:tabs>
          <w:tab w:leader="none" w:pos="705"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Employment by Affiliates</w:t>
      </w:r>
      <w:r>
        <w:rPr>
          <w:rFonts w:ascii="Arial" w:cs="Arial" w:eastAsia="Arial" w:hAnsi="Arial"/>
          <w:sz w:val="18"/>
          <w:szCs w:val="18"/>
          <w:color w:val="auto"/>
        </w:rPr>
        <w:t>: Notwithstanding any provision of this Agreement to the contrary, for purposes of determining whether Executive has terminated employment hereunder, “employment” means employment as an employee with the Company or any Affiliate. For purposes of this Agreement, the term “Affiliate” means (i) Schlumberger Limited, a Netherlands Antilles corporation, (ii) any corporation in which the shares owned or controlled directly or indirectly by Schlumberger Limited shall represent 40% or more of the voting power of the issued and outstanding stock of such corporation, and (iii) any other company controlled by, controlling or under common control with the Company within the meaning of Section 414 of the Internal Revenue Code of 1986, as amended.</w:t>
      </w:r>
    </w:p>
    <w:p>
      <w:pPr>
        <w:spacing w:after="0" w:line="130" w:lineRule="exact"/>
        <w:rPr>
          <w:rFonts w:ascii="Arial" w:cs="Arial" w:eastAsia="Arial" w:hAnsi="Arial"/>
          <w:sz w:val="18"/>
          <w:szCs w:val="18"/>
          <w:color w:val="auto"/>
        </w:rPr>
      </w:pPr>
    </w:p>
    <w:p>
      <w:pPr>
        <w:ind w:right="220" w:firstLine="8"/>
        <w:spacing w:after="0" w:line="259" w:lineRule="auto"/>
        <w:tabs>
          <w:tab w:leader="none" w:pos="17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and Executive shall each be responsible for its/his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126" w:lineRule="exact"/>
        <w:rPr>
          <w:rFonts w:ascii="Arial" w:cs="Arial" w:eastAsia="Arial" w:hAnsi="Arial"/>
          <w:sz w:val="18"/>
          <w:szCs w:val="18"/>
          <w:color w:val="auto"/>
        </w:rPr>
      </w:pPr>
    </w:p>
    <w:p>
      <w:pPr>
        <w:ind w:right="200" w:firstLine="8"/>
        <w:spacing w:after="0" w:line="370" w:lineRule="auto"/>
        <w:tabs>
          <w:tab w:leader="none" w:pos="176"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For purposes of this Agreement, notices and all other communications provided for herein shall be in writing and shall be deemed to have been duly given when personally delivered or when mailed by United States registered or certified mail, return receipt requested, postage prepaid, addressed as follows:</w:t>
      </w:r>
    </w:p>
    <w:p>
      <w:pPr>
        <w:sectPr>
          <w:pgSz w:w="11900" w:h="16838" w:orient="portrait"/>
          <w:cols w:equalWidth="0" w:num="1">
            <w:col w:w="11420"/>
          </w:cols>
          <w:pgMar w:left="240" w:top="280" w:right="239" w:bottom="0" w:gutter="0" w:footer="0" w:header="0"/>
        </w:sectPr>
      </w:pPr>
    </w:p>
    <w:p>
      <w:pPr>
        <w:spacing w:after="0" w:line="4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300 Schlumberger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Sugar Land, Texas 77478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of Personnel, SL/NY</w:t>
      </w:r>
    </w:p>
    <w:p>
      <w:pPr>
        <w:spacing w:after="0" w:line="200" w:lineRule="exact"/>
        <w:rPr>
          <w:sz w:val="20"/>
          <w:szCs w:val="20"/>
          <w:color w:val="auto"/>
        </w:rPr>
      </w:pPr>
    </w:p>
    <w:p>
      <w:pPr>
        <w:sectPr>
          <w:pgSz w:w="11900" w:h="16838" w:orient="portrait"/>
          <w:cols w:equalWidth="0" w:num="2">
            <w:col w:w="4020" w:space="720"/>
            <w:col w:w="6680"/>
          </w:cols>
          <w:pgMar w:left="240" w:top="280" w:right="239" w:bottom="0" w:gutter="0" w:footer="0" w:header="0"/>
          <w:type w:val="continuous"/>
        </w:sectPr>
      </w:pPr>
    </w:p>
    <w:p>
      <w:pPr>
        <w:spacing w:after="0" w:line="15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If to Executive: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Irwin Pfister</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5"/>
          <w:szCs w:val="15"/>
          <w:color w:val="auto"/>
        </w:rPr>
        <w:t>5944 Bellevue Avenue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 Jolla, Ca. 92037</w:t>
      </w:r>
    </w:p>
    <w:p>
      <w:pPr>
        <w:spacing w:after="0" w:line="151" w:lineRule="exact"/>
        <w:rPr>
          <w:sz w:val="20"/>
          <w:szCs w:val="20"/>
          <w:color w:val="auto"/>
        </w:rPr>
      </w:pPr>
    </w:p>
    <w:p>
      <w:pPr>
        <w:sectPr>
          <w:pgSz w:w="11900" w:h="16838" w:orient="portrait"/>
          <w:cols w:equalWidth="0" w:num="2">
            <w:col w:w="3980" w:space="720"/>
            <w:col w:w="6720"/>
          </w:cols>
          <w:pgMar w:left="240" w:top="280" w:right="239" w:bottom="0" w:gutter="0" w:footer="0" w:header="0"/>
          <w:type w:val="continuous"/>
        </w:sectPr>
      </w:pPr>
    </w:p>
    <w:p>
      <w:pPr>
        <w:ind w:right="20"/>
        <w:spacing w:after="0" w:line="268" w:lineRule="auto"/>
        <w:rPr>
          <w:sz w:val="20"/>
          <w:szCs w:val="20"/>
          <w:color w:val="auto"/>
        </w:rPr>
      </w:pPr>
      <w:r>
        <w:rPr>
          <w:rFonts w:ascii="Arial" w:cs="Arial" w:eastAsia="Arial" w:hAnsi="Arial"/>
          <w:sz w:val="18"/>
          <w:szCs w:val="18"/>
          <w:color w:val="auto"/>
        </w:rPr>
        <w:t>or to such other address as either party may furnish to the other in writing in accordance herewith, except that notices of changes of address shall be effective only upon receipt.</w:t>
      </w:r>
    </w:p>
    <w:p>
      <w:pPr>
        <w:spacing w:after="0" w:line="118" w:lineRule="exact"/>
        <w:rPr>
          <w:sz w:val="20"/>
          <w:szCs w:val="20"/>
          <w:color w:val="auto"/>
        </w:rPr>
      </w:pPr>
    </w:p>
    <w:p>
      <w:pPr>
        <w:ind w:right="560" w:firstLine="8"/>
        <w:spacing w:after="0" w:line="268" w:lineRule="auto"/>
        <w:tabs>
          <w:tab w:leader="none" w:pos="17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validity, interpretation, construction and performance of this Agreement will be governed by and construed in accordance with the substantive laws of the State of New York, without giving effect to the principles of conflict of laws of such State.</w:t>
      </w:r>
    </w:p>
    <w:p>
      <w:pPr>
        <w:spacing w:after="0" w:line="118"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 court of competent jurisdiction determines that any provision of this Agreement is invalid or unenforceable, then the invalidity or unenforceability of that provision shall not affect the validity or enforceability of any other provision of this Agreement, and all other provisions shall remain in full force and effect.</w:t>
      </w:r>
    </w:p>
    <w:p>
      <w:pPr>
        <w:spacing w:after="0" w:line="126" w:lineRule="exact"/>
        <w:rPr>
          <w:rFonts w:ascii="Arial" w:cs="Arial" w:eastAsia="Arial" w:hAnsi="Arial"/>
          <w:sz w:val="18"/>
          <w:szCs w:val="18"/>
          <w:color w:val="auto"/>
        </w:rPr>
      </w:pPr>
    </w:p>
    <w:p>
      <w:pPr>
        <w:ind w:right="200" w:firstLine="8"/>
        <w:spacing w:after="0" w:line="268" w:lineRule="auto"/>
        <w:tabs>
          <w:tab w:leader="none" w:pos="26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may withhold from any benefits payable under this Agreement all federal, state, city or other taxes as may be required pursuant to any law or governmental regulation or ruling.</w:t>
      </w:r>
    </w:p>
    <w:p>
      <w:pPr>
        <w:spacing w:after="0" w:line="118" w:lineRule="exact"/>
        <w:rPr>
          <w:rFonts w:ascii="Arial" w:cs="Arial" w:eastAsia="Arial" w:hAnsi="Arial"/>
          <w:sz w:val="18"/>
          <w:szCs w:val="18"/>
          <w:color w:val="auto"/>
        </w:rPr>
      </w:pPr>
    </w:p>
    <w:p>
      <w:pPr>
        <w:ind w:firstLine="8"/>
        <w:spacing w:after="0" w:line="294" w:lineRule="auto"/>
        <w:tabs>
          <w:tab w:leader="none" w:pos="257"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No Assignment; Successors</w:t>
      </w:r>
      <w:r>
        <w:rPr>
          <w:rFonts w:ascii="Arial" w:cs="Arial" w:eastAsia="Arial" w:hAnsi="Arial"/>
          <w:sz w:val="16"/>
          <w:szCs w:val="16"/>
          <w:color w:val="auto"/>
        </w:rPr>
        <w:t>: Executive’s right to receive payments or benefits hereunder shall not be assignable or transferable, whether by pledge, creation or a security interest or otherwise, whether voluntary, involuntary, by operation of law or otherwise, other than a transfer by will or by the laws of descent or distribution, and in the event of any attempted assignment or transfer contrary to this Section 11, the Company shall have no liability to pay any amount so attempted to be assigned or transferred. This Agreement shall inure to the benefit of and be enforceable by Executive’s personal or legal representatives, executors, administrators, successors, heirs, distributes, devises and legatees.</w:t>
      </w:r>
    </w:p>
    <w:p>
      <w:pPr>
        <w:spacing w:after="0" w:line="10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Agreement shall be binding upon and inure to the benefit of the Company, its successors and assigns (including, without limitation, any company into or with which the Company may merge or consolidate).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100" w:firstLine="8"/>
        <w:spacing w:after="0" w:line="306" w:lineRule="auto"/>
        <w:tabs>
          <w:tab w:leader="none" w:pos="263"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Effect of Prior Agreements</w:t>
      </w:r>
      <w:r>
        <w:rPr>
          <w:rFonts w:ascii="Arial" w:cs="Arial" w:eastAsia="Arial" w:hAnsi="Arial"/>
          <w:sz w:val="16"/>
          <w:szCs w:val="16"/>
          <w:color w:val="auto"/>
        </w:rPr>
        <w:t>: This Agreement contains the entire understanding between the parties hereto and supersedes any prior employment agreement or severance agreement between the Company or any predecessor of the Company and Executive, except that this Agreement shall not affect or operate to reduce any benefit or compensation enuring to Executive of a kind elsewhere provided and not expressly provided or modified in this Agreement.</w:t>
      </w:r>
    </w:p>
    <w:p>
      <w:pPr>
        <w:spacing w:after="0" w:line="93" w:lineRule="exact"/>
        <w:rPr>
          <w:rFonts w:ascii="Arial" w:cs="Arial" w:eastAsia="Arial" w:hAnsi="Arial"/>
          <w:sz w:val="16"/>
          <w:szCs w:val="16"/>
          <w:color w:val="auto"/>
        </w:rPr>
      </w:pPr>
    </w:p>
    <w:p>
      <w:pPr>
        <w:ind w:right="60" w:firstLine="8"/>
        <w:spacing w:after="0" w:line="294" w:lineRule="auto"/>
        <w:tabs>
          <w:tab w:leader="none" w:pos="263"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In consideration for the compensation and other benefits provided pursuant to this Agreement, Executive agrees to execute a “Waiver and Release,” a form of which is attached hereto as Exhibit A. Executive acknowledges that he was given copies of this Agreement and the Waiver and Release on January 14, 2003, and was given at least 21 days to consider whether to sign the Agreement and the Waiver and Release. The Company’s obligations under this Agreement are expressly conditioned on the execution of the Release of Claims contemporaneously with the execution of this Agreement, and Executive’s failure to execute and deliver such Release of Claims will void the Company’s obligations hereunder.</w:t>
      </w:r>
    </w:p>
    <w:p>
      <w:pPr>
        <w:spacing w:after="0" w:line="102" w:lineRule="exact"/>
        <w:rPr>
          <w:sz w:val="20"/>
          <w:szCs w:val="20"/>
          <w:color w:val="auto"/>
        </w:rPr>
      </w:pPr>
    </w:p>
    <w:p>
      <w:pPr>
        <w:ind w:right="220" w:firstLine="456"/>
        <w:spacing w:after="0" w:line="228" w:lineRule="auto"/>
        <w:rPr>
          <w:sz w:val="20"/>
          <w:szCs w:val="20"/>
          <w:color w:val="auto"/>
        </w:rPr>
      </w:pPr>
      <w:r>
        <w:rPr>
          <w:rFonts w:ascii="Arial" w:cs="Arial" w:eastAsia="Arial" w:hAnsi="Arial"/>
          <w:sz w:val="18"/>
          <w:szCs w:val="18"/>
          <w:color w:val="auto"/>
        </w:rPr>
        <w:t>IN WITNESS WHEREOF, the parties have caused this Agreement to be executed and delivered the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January, 2003, but effective as of the day and year first above written.</w:t>
      </w:r>
    </w:p>
    <w:p>
      <w:pPr>
        <w:spacing w:after="0" w:line="13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CHLUMBERGER</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IMITED</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1300" w:type="dxa"/>
            <w:vAlign w:val="bottom"/>
            <w:gridSpan w:val="2"/>
          </w:tcPr>
          <w:p>
            <w:pPr>
              <w:spacing w:after="0"/>
              <w:rPr>
                <w:sz w:val="20"/>
                <w:szCs w:val="20"/>
                <w:color w:val="auto"/>
              </w:rPr>
            </w:pPr>
            <w:r>
              <w:rPr>
                <w:rFonts w:ascii="Arial" w:cs="Arial" w:eastAsia="Arial" w:hAnsi="Arial"/>
                <w:sz w:val="18"/>
                <w:szCs w:val="18"/>
                <w:color w:val="auto"/>
              </w:rPr>
              <w:t>By:</w:t>
            </w:r>
          </w:p>
        </w:tc>
        <w:tc>
          <w:tcPr>
            <w:tcW w:w="620" w:type="dxa"/>
            <w:vAlign w:val="bottom"/>
          </w:tcPr>
          <w:p>
            <w:pPr>
              <w:ind w:left="320"/>
              <w:spacing w:after="0"/>
              <w:rPr>
                <w:sz w:val="20"/>
                <w:szCs w:val="20"/>
                <w:color w:val="auto"/>
              </w:rPr>
            </w:pPr>
            <w:r>
              <w:rPr>
                <w:rFonts w:ascii="Arial" w:cs="Arial" w:eastAsia="Arial" w:hAnsi="Arial"/>
                <w:sz w:val="18"/>
                <w:szCs w:val="18"/>
                <w:color w:val="auto"/>
              </w:rPr>
              <w:t>/s/</w:t>
            </w:r>
          </w:p>
        </w:tc>
        <w:tc>
          <w:tcPr>
            <w:tcW w:w="2640" w:type="dxa"/>
            <w:vAlign w:val="bottom"/>
          </w:tcPr>
          <w:p>
            <w:pPr>
              <w:jc w:val="center"/>
              <w:ind w:right="1232"/>
              <w:spacing w:after="0"/>
              <w:rPr>
                <w:sz w:val="20"/>
                <w:szCs w:val="20"/>
                <w:color w:val="auto"/>
              </w:rPr>
            </w:pPr>
            <w:r>
              <w:rPr>
                <w:rFonts w:ascii="Arial" w:cs="Arial" w:eastAsia="Arial" w:hAnsi="Arial"/>
                <w:sz w:val="18"/>
                <w:szCs w:val="18"/>
                <w:color w:val="auto"/>
                <w:w w:val="98"/>
              </w:rPr>
              <w:t>P</w:t>
            </w:r>
            <w:r>
              <w:rPr>
                <w:rFonts w:ascii="Arial" w:cs="Arial" w:eastAsia="Arial" w:hAnsi="Arial"/>
                <w:sz w:val="14"/>
                <w:szCs w:val="14"/>
                <w:color w:val="auto"/>
                <w:w w:val="98"/>
              </w:rPr>
              <w:t>IERRE</w:t>
            </w:r>
            <w:r>
              <w:rPr>
                <w:rFonts w:ascii="Arial" w:cs="Arial" w:eastAsia="Arial" w:hAnsi="Arial"/>
                <w:sz w:val="18"/>
                <w:szCs w:val="18"/>
                <w:color w:val="auto"/>
                <w:w w:val="98"/>
              </w:rPr>
              <w:t xml:space="preserve"> B</w:t>
            </w:r>
            <w:r>
              <w:rPr>
                <w:rFonts w:ascii="Arial" w:cs="Arial" w:eastAsia="Arial" w:hAnsi="Arial"/>
                <w:sz w:val="14"/>
                <w:szCs w:val="14"/>
                <w:color w:val="auto"/>
                <w:w w:val="98"/>
              </w:rPr>
              <w:t>ISMUTH</w:t>
            </w:r>
          </w:p>
        </w:tc>
      </w:tr>
      <w:tr>
        <w:trPr>
          <w:trHeight w:val="110"/>
        </w:trPr>
        <w:tc>
          <w:tcPr>
            <w:tcW w:w="6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r>
      <w:tr>
        <w:trPr>
          <w:trHeight w:val="613"/>
        </w:trPr>
        <w:tc>
          <w:tcPr>
            <w:tcW w:w="130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By:</w:t>
            </w:r>
          </w:p>
        </w:tc>
        <w:tc>
          <w:tcPr>
            <w:tcW w:w="620" w:type="dxa"/>
            <w:vAlign w:val="bottom"/>
          </w:tcPr>
          <w:p>
            <w:pPr>
              <w:ind w:left="420"/>
              <w:spacing w:after="0"/>
              <w:rPr>
                <w:sz w:val="20"/>
                <w:szCs w:val="20"/>
                <w:color w:val="auto"/>
              </w:rPr>
            </w:pPr>
            <w:r>
              <w:rPr>
                <w:rFonts w:ascii="Arial" w:cs="Arial" w:eastAsia="Arial" w:hAnsi="Arial"/>
                <w:sz w:val="18"/>
                <w:szCs w:val="18"/>
                <w:color w:val="auto"/>
                <w:w w:val="94"/>
              </w:rPr>
              <w:t>/s/</w:t>
            </w:r>
          </w:p>
        </w:tc>
        <w:tc>
          <w:tcPr>
            <w:tcW w:w="2640" w:type="dxa"/>
            <w:vAlign w:val="bottom"/>
          </w:tcPr>
          <w:p>
            <w:pPr>
              <w:jc w:val="center"/>
              <w:ind w:right="1212"/>
              <w:spacing w:after="0"/>
              <w:rPr>
                <w:sz w:val="20"/>
                <w:szCs w:val="20"/>
                <w:color w:val="auto"/>
              </w:rPr>
            </w:pPr>
            <w:r>
              <w:rPr>
                <w:rFonts w:ascii="Arial" w:cs="Arial" w:eastAsia="Arial" w:hAnsi="Arial"/>
                <w:sz w:val="18"/>
                <w:szCs w:val="18"/>
                <w:color w:val="auto"/>
                <w:w w:val="97"/>
              </w:rPr>
              <w:t>I</w:t>
            </w:r>
            <w:r>
              <w:rPr>
                <w:rFonts w:ascii="Arial" w:cs="Arial" w:eastAsia="Arial" w:hAnsi="Arial"/>
                <w:sz w:val="14"/>
                <w:szCs w:val="14"/>
                <w:color w:val="auto"/>
                <w:w w:val="97"/>
              </w:rPr>
              <w:t>RWIN</w:t>
            </w:r>
            <w:r>
              <w:rPr>
                <w:rFonts w:ascii="Arial" w:cs="Arial" w:eastAsia="Arial" w:hAnsi="Arial"/>
                <w:sz w:val="18"/>
                <w:szCs w:val="18"/>
                <w:color w:val="auto"/>
                <w:w w:val="97"/>
              </w:rPr>
              <w:t xml:space="preserve"> P</w:t>
            </w:r>
            <w:r>
              <w:rPr>
                <w:rFonts w:ascii="Arial" w:cs="Arial" w:eastAsia="Arial" w:hAnsi="Arial"/>
                <w:sz w:val="14"/>
                <w:szCs w:val="14"/>
                <w:color w:val="auto"/>
                <w:w w:val="97"/>
              </w:rPr>
              <w:t>FISTER</w:t>
            </w:r>
          </w:p>
        </w:tc>
      </w:tr>
      <w:tr>
        <w:trPr>
          <w:trHeight w:val="110"/>
        </w:trPr>
        <w:tc>
          <w:tcPr>
            <w:tcW w:w="6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80" w:right="239" w:bottom="0" w:gutter="0" w:footer="0" w:header="0"/>
          <w:type w:val="continuous"/>
        </w:sectPr>
      </w:pPr>
    </w:p>
    <w:bookmarkStart w:id="17" w:name="page18"/>
    <w:bookmarkEnd w:id="17"/>
    <w:p>
      <w:pPr>
        <w:jc w:val="right"/>
        <w:ind w:right="2359"/>
        <w:spacing w:after="0"/>
        <w:rPr>
          <w:sz w:val="20"/>
          <w:szCs w:val="20"/>
          <w:color w:val="auto"/>
        </w:rPr>
      </w:pPr>
      <w:r>
        <w:rPr>
          <w:rFonts w:ascii="Arial" w:cs="Arial" w:eastAsia="Arial" w:hAnsi="Arial"/>
          <w:sz w:val="14"/>
          <w:szCs w:val="14"/>
          <w:b w:val="1"/>
          <w:bCs w:val="1"/>
          <w:color w:val="auto"/>
        </w:rPr>
        <w:t>Name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019"/>
          </w:cols>
          <w:pgMar w:left="1440" w:top="127"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period ending March 31, 2003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93" w:lineRule="exact"/>
        <w:rPr>
          <w:sz w:val="20"/>
          <w:szCs w:val="20"/>
          <w:color w:val="auto"/>
        </w:rPr>
      </w:pPr>
    </w:p>
    <w:p>
      <w:pPr>
        <w:ind w:left="460" w:right="2680" w:firstLine="4"/>
        <w:spacing w:after="0" w:line="422" w:lineRule="auto"/>
        <w:tabs>
          <w:tab w:leader="none" w:pos="7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 w:lineRule="exact"/>
        <w:rPr>
          <w:rFonts w:ascii="Arial" w:cs="Arial" w:eastAsia="Arial" w:hAnsi="Arial"/>
          <w:sz w:val="18"/>
          <w:szCs w:val="18"/>
          <w:color w:val="auto"/>
        </w:rPr>
      </w:pPr>
    </w:p>
    <w:p>
      <w:pPr>
        <w:ind w:left="720" w:hanging="256"/>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8100" w:val="left"/>
          <w:tab w:leader="none" w:pos="84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7, 2003</w:t>
      </w:r>
      <w:r>
        <w:rPr>
          <w:sz w:val="20"/>
          <w:szCs w:val="20"/>
          <w:color w:val="auto"/>
        </w:rPr>
        <w:tab/>
      </w: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G</w:t>
      </w:r>
      <w:r>
        <w:rPr>
          <w:rFonts w:ascii="Arial" w:cs="Arial" w:eastAsia="Arial" w:hAnsi="Arial"/>
          <w:sz w:val="14"/>
          <w:szCs w:val="14"/>
          <w:color w:val="auto"/>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318135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4"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Andrew Gould</w:t>
      </w:r>
    </w:p>
    <w:p>
      <w:pPr>
        <w:spacing w:after="0" w:line="1"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4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period ending March 31, 2003 as filed with the Securities and Exchange Commission on the date hereof (the “Report”), I, Jean-Marc Perraud, Executive Vice President and Chief Financial Officer of the Company, certify, pursuant to 18 U.S.C. § 1350, as adopted pursuant to § 906 of the Sarbanes-Oxley Act of 2002, that:</w:t>
      </w:r>
    </w:p>
    <w:p>
      <w:pPr>
        <w:spacing w:after="0" w:line="93" w:lineRule="exact"/>
        <w:rPr>
          <w:sz w:val="20"/>
          <w:szCs w:val="20"/>
          <w:color w:val="auto"/>
        </w:rPr>
      </w:pPr>
    </w:p>
    <w:p>
      <w:pPr>
        <w:ind w:left="460" w:right="2680" w:firstLine="4"/>
        <w:spacing w:after="0" w:line="422" w:lineRule="auto"/>
        <w:tabs>
          <w:tab w:leader="none" w:pos="70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97" w:lineRule="exact"/>
        <w:rPr>
          <w:sz w:val="20"/>
          <w:szCs w:val="20"/>
          <w:color w:val="auto"/>
        </w:rPr>
      </w:pPr>
    </w:p>
    <w:p>
      <w:pPr>
        <w:spacing w:after="0"/>
        <w:tabs>
          <w:tab w:leader="none" w:pos="7920" w:val="left"/>
          <w:tab w:leader="none" w:pos="82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7,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EAN</w:t>
      </w:r>
      <w:r>
        <w:rPr>
          <w:rFonts w:ascii="Arial" w:cs="Arial" w:eastAsia="Arial" w:hAnsi="Arial"/>
          <w:sz w:val="16"/>
          <w:szCs w:val="16"/>
          <w:color w:val="auto"/>
        </w:rPr>
        <w:t>-M</w:t>
      </w:r>
      <w:r>
        <w:rPr>
          <w:rFonts w:ascii="Arial" w:cs="Arial" w:eastAsia="Arial" w:hAnsi="Arial"/>
          <w:sz w:val="13"/>
          <w:szCs w:val="13"/>
          <w:color w:val="auto"/>
        </w:rPr>
        <w:t>ARC</w:t>
      </w:r>
      <w:r>
        <w:rPr>
          <w:rFonts w:ascii="Arial" w:cs="Arial" w:eastAsia="Arial" w:hAnsi="Arial"/>
          <w:sz w:val="16"/>
          <w:szCs w:val="16"/>
          <w:color w:val="auto"/>
        </w:rPr>
        <w:t xml:space="preserve"> P</w:t>
      </w:r>
      <w:r>
        <w:rPr>
          <w:rFonts w:ascii="Arial" w:cs="Arial" w:eastAsia="Arial" w:hAnsi="Arial"/>
          <w:sz w:val="13"/>
          <w:szCs w:val="13"/>
          <w:color w:val="auto"/>
        </w:rPr>
        <w:t>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318135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4"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Jean-Marc Perraud</w:t>
      </w:r>
    </w:p>
    <w:p>
      <w:pPr>
        <w:spacing w:after="0" w:line="1"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3"/>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lvl w:ilvl="1">
      <w:lvlJc w:val="left"/>
      <w:lvlText w:val="%2)"/>
      <w:numFmt w:val="lowerLetter"/>
      <w:start w:val="1"/>
    </w:lvl>
  </w:abstractNum>
  <w:abstractNum w:abstractNumId="8">
    <w:nsid w:val="25E45D32"/>
    <w:multiLevelType w:val="hybridMultilevel"/>
    <w:lvl w:ilvl="0">
      <w:lvlJc w:val="left"/>
      <w:lvlText w:val="%1."/>
      <w:numFmt w:val="decimal"/>
      <w:start w:val="5"/>
    </w:lvl>
    <w:lvl w:ilvl="1">
      <w:lvlJc w:val="left"/>
      <w:lvlText w:val="%2)"/>
      <w:numFmt w:val="lowerLetter"/>
      <w:start w:val="1"/>
    </w:lvl>
  </w:abstractNum>
  <w:abstractNum w:abstractNumId="9">
    <w:nsid w:val="519B500D"/>
    <w:multiLevelType w:val="hybridMultilevel"/>
    <w:lvl w:ilvl="0">
      <w:lvlJc w:val="left"/>
      <w:lvlText w:val="%1."/>
      <w:numFmt w:val="decimal"/>
      <w:start w:val="1"/>
    </w:lvl>
    <w:lvl w:ilvl="1">
      <w:lvlJc w:val="left"/>
      <w:lvlText w:val="%2)"/>
      <w:numFmt w:val="lowerLetter"/>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lowerLetter"/>
      <w:start w:val="1"/>
    </w:lvl>
    <w:lvl w:ilvl="1">
      <w:lvlJc w:val="left"/>
      <w:lvlText w:val="(%2)"/>
      <w:numFmt w:val="lowerRoman"/>
      <w:start w:val="1"/>
    </w:lvl>
  </w:abstractNum>
  <w:abstractNum w:abstractNumId="12">
    <w:nsid w:val="7C83E458"/>
    <w:multiLevelType w:val="hybridMultilevel"/>
    <w:lvl w:ilvl="0">
      <w:lvlJc w:val="left"/>
      <w:lvlText w:val="%1"/>
      <w:numFmt w:val="decimal"/>
      <w:start w:val="1"/>
    </w:lvl>
    <w:lvl w:ilvl="1">
      <w:lvlJc w:val="left"/>
      <w:lvlText w:val="(%2)"/>
      <w:numFmt w:val="lowerLetter"/>
      <w:start w:val="6"/>
    </w:lvl>
  </w:abstractNum>
  <w:abstractNum w:abstractNumId="13">
    <w:nsid w:val="257130A3"/>
    <w:multiLevelType w:val="hybridMultilevel"/>
    <w:lvl w:ilvl="0">
      <w:lvlJc w:val="left"/>
      <w:lvlText w:val="%1."/>
      <w:numFmt w:val="decimal"/>
      <w:start w:val="4"/>
    </w:lvl>
    <w:lvl w:ilvl="1">
      <w:lvlJc w:val="left"/>
      <w:lvlText w:val="%2"/>
      <w:numFmt w:val="lowerLetter"/>
      <w:start w:val="1"/>
    </w:lvl>
  </w:abstractNum>
  <w:abstractNum w:abstractNumId="14">
    <w:nsid w:val="62BBD95A"/>
    <w:multiLevelType w:val="hybridMultilevel"/>
    <w:lvl w:ilvl="0">
      <w:lvlJc w:val="left"/>
      <w:lvlText w:val="(%1)"/>
      <w:numFmt w:val="lowerLetter"/>
      <w:start w:val="1"/>
    </w:lvl>
    <w:lvl w:ilvl="1">
      <w:lvlJc w:val="left"/>
      <w:lvlText w:val="(%2)"/>
      <w:numFmt w:val="lowerRoman"/>
      <w:start w:val="1"/>
    </w:lvl>
  </w:abstractNum>
  <w:abstractNum w:abstractNumId="15">
    <w:nsid w:val="436C612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6">
    <w:nsid w:val="628C895D"/>
    <w:multiLevelType w:val="hybridMultilevel"/>
    <w:lvl w:ilvl="0">
      <w:lvlJc w:val="left"/>
      <w:lvlText w:val="%1."/>
      <w:numFmt w:val="decimal"/>
      <w:start w:val="5"/>
    </w:lvl>
    <w:lvl w:ilvl="1">
      <w:lvlJc w:val="left"/>
      <w:lvlText w:val="(%2)"/>
      <w:numFmt w:val="lowerLetter"/>
      <w:start w:val="1"/>
    </w:lvl>
  </w:abstractNum>
  <w:abstractNum w:abstractNumId="17">
    <w:nsid w:val="333AB105"/>
    <w:multiLevelType w:val="hybridMultilevel"/>
    <w:lvl w:ilvl="0">
      <w:lvlJc w:val="left"/>
      <w:lvlText w:val="(%1)"/>
      <w:numFmt w:val="lowerLetter"/>
      <w:start w:val="2"/>
    </w:lvl>
    <w:lvl w:ilvl="1">
      <w:lvlJc w:val="left"/>
      <w:lvlText w:val="(%2)"/>
      <w:numFmt w:val="lowerRoman"/>
      <w:start w:val="1"/>
    </w:lvl>
  </w:abstractNum>
  <w:abstractNum w:abstractNumId="18">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9">
    <w:nsid w:val="2443A85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0">
    <w:nsid w:val="2D1D5AE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1">
    <w:nsid w:val="6763845E"/>
    <w:multiLevelType w:val="hybridMultilevel"/>
    <w:lvl w:ilvl="0">
      <w:lvlJc w:val="left"/>
      <w:lvlText w:val="%1."/>
      <w:numFmt w:val="decimal"/>
      <w:start w:val="8"/>
    </w:lvl>
  </w:abstractNum>
  <w:abstractNum w:abstractNumId="22">
    <w:nsid w:val="75A2A8D4"/>
    <w:multiLevelType w:val="hybridMultilevel"/>
    <w:lvl w:ilvl="0">
      <w:lvlJc w:val="left"/>
      <w:lvlText w:val="%1."/>
      <w:numFmt w:val="decimal"/>
      <w:start w:val="12"/>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2019-12-13T06:38:03Z</dcterms:created>
  <dcterms:modified xsi:type="dcterms:W3CDTF">2019-12-13T06:38:03Z</dcterms:modified>
</cp:coreProperties>
</file>