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line="281" w:lineRule="auto"/>
        <w:rPr>
          <w:sz w:val="20"/>
          <w:szCs w:val="20"/>
          <w:color w:val="auto"/>
        </w:rPr>
      </w:pPr>
      <w:r>
        <w:rPr>
          <w:rFonts w:ascii="Arial" w:cs="Arial" w:eastAsia="Arial" w:hAnsi="Arial"/>
          <w:sz w:val="24"/>
          <w:szCs w:val="24"/>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71120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560" w:type="dxa"/>
            <w:vAlign w:val="bottom"/>
          </w:tcPr>
          <w:p>
            <w:pPr>
              <w:jc w:val="center"/>
              <w:ind w:right="1898"/>
              <w:spacing w:after="0"/>
              <w:rPr>
                <w:sz w:val="20"/>
                <w:szCs w:val="20"/>
                <w:color w:val="auto"/>
              </w:rPr>
            </w:pPr>
            <w:r>
              <w:rPr>
                <w:rFonts w:ascii="Arial" w:cs="Arial" w:eastAsia="Arial" w:hAnsi="Arial"/>
                <w:sz w:val="18"/>
                <w:szCs w:val="18"/>
                <w:b w:val="1"/>
                <w:bCs w:val="1"/>
                <w:color w:val="auto"/>
                <w:w w:val="97"/>
              </w:rPr>
              <w:t>CURAÇAO</w:t>
            </w:r>
          </w:p>
        </w:tc>
        <w:tc>
          <w:tcPr>
            <w:tcW w:w="306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60" w:type="dxa"/>
            <w:vAlign w:val="bottom"/>
          </w:tcPr>
          <w:p>
            <w:pPr>
              <w:jc w:val="center"/>
              <w:ind w:right="1918"/>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60" w:type="dxa"/>
            <w:vAlign w:val="bottom"/>
          </w:tcPr>
          <w:p>
            <w:pPr>
              <w:jc w:val="center"/>
              <w:ind w:left="194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560" w:type="dxa"/>
            <w:vAlign w:val="bottom"/>
          </w:tcPr>
          <w:p>
            <w:pPr>
              <w:jc w:val="center"/>
              <w:ind w:right="1918"/>
              <w:spacing w:after="0"/>
              <w:rPr>
                <w:sz w:val="20"/>
                <w:szCs w:val="20"/>
                <w:color w:val="auto"/>
              </w:rPr>
            </w:pPr>
            <w:r>
              <w:rPr>
                <w:rFonts w:ascii="Arial" w:cs="Arial" w:eastAsia="Arial" w:hAnsi="Arial"/>
                <w:sz w:val="14"/>
                <w:szCs w:val="14"/>
                <w:b w:val="1"/>
                <w:bCs w:val="1"/>
                <w:color w:val="auto"/>
                <w:w w:val="88"/>
              </w:rPr>
              <w:t>incorporation or organization)</w:t>
            </w:r>
          </w:p>
        </w:tc>
        <w:tc>
          <w:tcPr>
            <w:tcW w:w="3060" w:type="dxa"/>
            <w:vAlign w:val="bottom"/>
          </w:tcPr>
          <w:p>
            <w:pPr>
              <w:jc w:val="center"/>
              <w:ind w:left="1921"/>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8"/>
              </w:rPr>
              <w:t>42 RUE SAINT-DOMINIQUE</w:t>
            </w:r>
          </w:p>
        </w:tc>
        <w:tc>
          <w:tcPr>
            <w:tcW w:w="3060" w:type="dxa"/>
            <w:vAlign w:val="bottom"/>
          </w:tcPr>
          <w:p>
            <w:pPr>
              <w:spacing w:after="0"/>
              <w:rPr>
                <w:sz w:val="24"/>
                <w:szCs w:val="24"/>
                <w:color w:val="auto"/>
              </w:rPr>
            </w:pPr>
          </w:p>
        </w:tc>
      </w:tr>
      <w:tr>
        <w:trPr>
          <w:trHeight w:val="242"/>
        </w:trPr>
        <w:tc>
          <w:tcPr>
            <w:tcW w:w="4560" w:type="dxa"/>
            <w:vAlign w:val="bottom"/>
          </w:tcPr>
          <w:p>
            <w:pPr>
              <w:jc w:val="center"/>
              <w:ind w:right="1898"/>
              <w:spacing w:after="0"/>
              <w:rPr>
                <w:sz w:val="20"/>
                <w:szCs w:val="20"/>
                <w:color w:val="auto"/>
              </w:rPr>
            </w:pPr>
            <w:r>
              <w:rPr>
                <w:rFonts w:ascii="Arial" w:cs="Arial" w:eastAsia="Arial" w:hAnsi="Arial"/>
                <w:sz w:val="18"/>
                <w:szCs w:val="18"/>
                <w:b w:val="1"/>
                <w:bCs w:val="1"/>
                <w:color w:val="auto"/>
                <w:w w:val="95"/>
              </w:rPr>
              <w:t>PARIS, FRANCE</w:t>
            </w:r>
          </w:p>
        </w:tc>
        <w:tc>
          <w:tcPr>
            <w:tcW w:w="306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4"/>
              </w:rPr>
              <w:t>5599 SAN FELIPE, 17th FLOOR</w:t>
            </w:r>
          </w:p>
        </w:tc>
        <w:tc>
          <w:tcPr>
            <w:tcW w:w="3060" w:type="dxa"/>
            <w:vAlign w:val="bottom"/>
          </w:tcPr>
          <w:p>
            <w:pPr>
              <w:spacing w:after="0"/>
              <w:rPr>
                <w:sz w:val="24"/>
                <w:szCs w:val="24"/>
                <w:color w:val="auto"/>
              </w:rPr>
            </w:pPr>
          </w:p>
        </w:tc>
      </w:tr>
      <w:tr>
        <w:trPr>
          <w:trHeight w:val="242"/>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5"/>
              </w:rPr>
              <w:t>HOUSTON, TEXAS, U.S.A.</w:t>
            </w:r>
          </w:p>
        </w:tc>
        <w:tc>
          <w:tcPr>
            <w:tcW w:w="306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6"/>
              </w:rPr>
              <w:t>PARKSTRAAT 83 THE HAGUE,</w:t>
            </w:r>
          </w:p>
        </w:tc>
        <w:tc>
          <w:tcPr>
            <w:tcW w:w="3060" w:type="dxa"/>
            <w:vAlign w:val="bottom"/>
          </w:tcPr>
          <w:p>
            <w:pPr>
              <w:spacing w:after="0"/>
              <w:rPr>
                <w:sz w:val="24"/>
                <w:szCs w:val="24"/>
                <w:color w:val="auto"/>
              </w:rPr>
            </w:pPr>
          </w:p>
        </w:tc>
      </w:tr>
      <w:tr>
        <w:trPr>
          <w:trHeight w:val="231"/>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9"/>
              </w:rPr>
              <w:t>THE NETHERLANDS</w:t>
            </w:r>
          </w:p>
        </w:tc>
        <w:tc>
          <w:tcPr>
            <w:tcW w:w="3060" w:type="dxa"/>
            <w:vAlign w:val="bottom"/>
          </w:tcPr>
          <w:p>
            <w:pPr>
              <w:jc w:val="center"/>
              <w:ind w:left="192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60" w:type="dxa"/>
            <w:vAlign w:val="bottom"/>
          </w:tcPr>
          <w:p>
            <w:pPr>
              <w:jc w:val="center"/>
              <w:ind w:right="18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060" w:type="dxa"/>
            <w:vAlign w:val="bottom"/>
          </w:tcPr>
          <w:p>
            <w:pPr>
              <w:jc w:val="center"/>
              <w:ind w:left="1941"/>
              <w:spacing w:after="0"/>
              <w:rPr>
                <w:sz w:val="20"/>
                <w:szCs w:val="20"/>
                <w:color w:val="auto"/>
              </w:rPr>
            </w:pPr>
            <w:r>
              <w:rPr>
                <w:rFonts w:ascii="Arial" w:cs="Arial" w:eastAsia="Arial" w:hAnsi="Arial"/>
                <w:sz w:val="14"/>
                <w:szCs w:val="14"/>
                <w:b w:val="1"/>
                <w:bCs w:val="1"/>
                <w:color w:val="auto"/>
                <w:w w:val="88"/>
              </w:rPr>
              <w:t>(Zip Codes)</w:t>
            </w:r>
          </w:p>
        </w:tc>
      </w:tr>
    </w:tbl>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22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80" w:space="720"/>
            <w:col w:w="5340" w:space="720"/>
            <w:col w:w="2120" w:space="720"/>
            <w:col w:w="22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7980" w:space="160"/>
            <w:col w:w="340" w:space="80"/>
            <w:col w:w="160" w:space="180"/>
            <w:col w:w="2520"/>
          </w:cols>
          <w:pgMar w:left="240" w:top="23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Class</w:t>
            </w:r>
          </w:p>
        </w:tc>
        <w:tc>
          <w:tcPr>
            <w:tcW w:w="4400" w:type="dxa"/>
            <w:vAlign w:val="bottom"/>
          </w:tcPr>
          <w:p>
            <w:pPr>
              <w:spacing w:after="0"/>
              <w:rPr>
                <w:sz w:val="15"/>
                <w:szCs w:val="15"/>
                <w:color w:val="auto"/>
              </w:rPr>
            </w:pPr>
          </w:p>
        </w:tc>
        <w:tc>
          <w:tcPr>
            <w:tcW w:w="2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Outstanding at September 30, 2012</w:t>
            </w:r>
          </w:p>
        </w:tc>
        <w:tc>
          <w:tcPr>
            <w:tcW w:w="920" w:type="dxa"/>
            <w:vAlign w:val="bottom"/>
          </w:tcPr>
          <w:p>
            <w:pPr>
              <w:spacing w:after="0"/>
              <w:rPr>
                <w:sz w:val="15"/>
                <w:szCs w:val="15"/>
                <w:color w:val="auto"/>
              </w:rPr>
            </w:pPr>
          </w:p>
        </w:tc>
      </w:tr>
      <w:tr>
        <w:trPr>
          <w:trHeight w:val="203"/>
        </w:trPr>
        <w:tc>
          <w:tcPr>
            <w:tcW w:w="920" w:type="dxa"/>
            <w:vAlign w:val="bottom"/>
          </w:tcPr>
          <w:p>
            <w:pPr>
              <w:spacing w:after="0"/>
              <w:rPr>
                <w:sz w:val="17"/>
                <w:szCs w:val="17"/>
                <w:color w:val="auto"/>
              </w:rPr>
            </w:pPr>
          </w:p>
        </w:tc>
        <w:tc>
          <w:tcPr>
            <w:tcW w:w="74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COMMON STOCK, $0.01 PAR VALUE PER SHARE</w:t>
            </w:r>
          </w:p>
        </w:tc>
        <w:tc>
          <w:tcPr>
            <w:tcW w:w="2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1,327,570,132</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r>
      <w:tr>
        <w:trPr>
          <w:trHeight w:val="122"/>
        </w:trPr>
        <w:tc>
          <w:tcPr>
            <w:tcW w:w="92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r>
        <w:trPr>
          <w:trHeight w:val="34"/>
        </w:trPr>
        <w:tc>
          <w:tcPr>
            <w:tcW w:w="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Third Quarter 2012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94"/>
              </w:rPr>
              <w:t>PART I</w:t>
            </w:r>
          </w:p>
        </w:tc>
        <w:tc>
          <w:tcPr>
            <w:tcW w:w="540" w:type="dxa"/>
            <w:vAlign w:val="bottom"/>
            <w:gridSpan w:val="2"/>
            <w:vMerge w:val="restart"/>
          </w:tcPr>
          <w:p>
            <w:pPr>
              <w:spacing w:after="0"/>
              <w:rPr>
                <w:sz w:val="14"/>
                <w:szCs w:val="14"/>
                <w:color w:val="auto"/>
              </w:rPr>
            </w:pPr>
          </w:p>
        </w:tc>
        <w:tc>
          <w:tcPr>
            <w:tcW w:w="166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0"/>
              </w:rPr>
              <w:t>Financial Information</w:t>
            </w:r>
          </w:p>
        </w:tc>
        <w:tc>
          <w:tcPr>
            <w:tcW w:w="8260" w:type="dxa"/>
            <w:vAlign w:val="bottom"/>
            <w:gridSpan w:val="6"/>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auto"/>
            </w:tcBorders>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660" w:type="dxa"/>
            <w:vAlign w:val="bottom"/>
            <w:tcBorders>
              <w:bottom w:val="single" w:sz="8" w:color="auto"/>
            </w:tcBorders>
            <w:gridSpan w:val="6"/>
            <w:vMerge w:val="continue"/>
          </w:tcPr>
          <w:p>
            <w:pPr>
              <w:spacing w:after="0"/>
              <w:rPr>
                <w:sz w:val="13"/>
                <w:szCs w:val="13"/>
                <w:color w:val="auto"/>
              </w:rPr>
            </w:pPr>
          </w:p>
        </w:tc>
        <w:tc>
          <w:tcPr>
            <w:tcW w:w="826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6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57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1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Other Information</w:t>
            </w:r>
          </w:p>
        </w:tc>
        <w:tc>
          <w:tcPr>
            <w:tcW w:w="82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w:t>
            </w:r>
          </w:p>
        </w:tc>
        <w:tc>
          <w:tcPr>
            <w:tcW w:w="480" w:type="dxa"/>
            <w:vAlign w:val="bottom"/>
          </w:tcPr>
          <w:p>
            <w:pPr>
              <w:spacing w:after="0"/>
              <w:rPr>
                <w:sz w:val="24"/>
                <w:szCs w:val="24"/>
                <w:color w:val="auto"/>
              </w:rPr>
            </w:pPr>
          </w:p>
        </w:tc>
        <w:tc>
          <w:tcPr>
            <w:tcW w:w="1300" w:type="dxa"/>
            <w:vAlign w:val="bottom"/>
            <w:tcBorders>
              <w:top w:val="single" w:sz="8" w:color="auto"/>
              <w:bottom w:val="single" w:sz="8" w:color="0000EE"/>
            </w:tcBorders>
            <w:gridSpan w:val="4"/>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Legal Proceedings</w:t>
              </w:r>
            </w:hyperlink>
          </w:p>
        </w:tc>
        <w:tc>
          <w:tcPr>
            <w:tcW w:w="160" w:type="dxa"/>
            <w:vAlign w:val="bottom"/>
            <w:tcBorders>
              <w:top w:val="single" w:sz="8" w:color="auto"/>
            </w:tcBorders>
          </w:tcPr>
          <w:p>
            <w:pPr>
              <w:spacing w:after="0"/>
              <w:rPr>
                <w:sz w:val="24"/>
                <w:szCs w:val="24"/>
                <w:color w:val="auto"/>
              </w:rPr>
            </w:pPr>
          </w:p>
        </w:tc>
        <w:tc>
          <w:tcPr>
            <w:tcW w:w="84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Risk Factors</w:t>
              </w:r>
            </w:hyperlink>
          </w:p>
        </w:tc>
        <w:tc>
          <w:tcPr>
            <w:tcW w:w="90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Unregistered Sales of Equity Securities and Use of Proceeds</w:t>
              </w:r>
            </w:hyperlink>
          </w:p>
        </w:tc>
        <w:tc>
          <w:tcPr>
            <w:tcW w:w="56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76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82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34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Certifications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gridSpan w:val="11"/>
          </w:tcPr>
          <w:p>
            <w:pPr>
              <w:ind w:left="4560"/>
              <w:spacing w:after="0"/>
              <w:rPr>
                <w:sz w:val="20"/>
                <w:szCs w:val="20"/>
                <w:color w:val="auto"/>
              </w:rPr>
            </w:pPr>
            <w:r>
              <w:rPr>
                <w:rFonts w:ascii="Arial" w:cs="Arial" w:eastAsia="Arial" w:hAnsi="Arial"/>
                <w:sz w:val="18"/>
                <w:szCs w:val="18"/>
                <w:color w:val="auto"/>
              </w:rPr>
              <w:t>2</w:t>
            </w: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PART I.</w:t>
        <w:tab/>
        <w:t>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9"/>
          </w:tcPr>
          <w:p>
            <w:pPr>
              <w:jc w:val="right"/>
              <w:spacing w:after="0"/>
              <w:rPr>
                <w:sz w:val="20"/>
                <w:szCs w:val="20"/>
                <w:color w:val="auto"/>
              </w:rPr>
            </w:pPr>
            <w:r>
              <w:rPr>
                <w:rFonts w:ascii="Arial" w:cs="Arial" w:eastAsia="Arial" w:hAnsi="Arial"/>
                <w:sz w:val="14"/>
                <w:szCs w:val="14"/>
                <w:i w:val="1"/>
                <w:iCs w:val="1"/>
                <w:color w:val="auto"/>
              </w:rPr>
              <w:t>(Stated in millions, except per share amounts)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Third Quarter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3"/>
              </w:rPr>
              <w:t>2011</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10,608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30,974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i w:val="1"/>
                <w:iCs w:val="1"/>
                <w:color w:val="auto"/>
              </w:rPr>
              <w:t>Interest &amp; other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8,290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7,444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24,265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 &amp; integration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before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Assuming dilution</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1,336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1,340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Third Quarter</w:t>
            </w:r>
          </w:p>
        </w:tc>
        <w:tc>
          <w:tcPr>
            <w:tcW w:w="15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0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2011</w:t>
            </w:r>
          </w:p>
        </w:tc>
        <w:tc>
          <w:tcPr>
            <w:tcW w:w="440" w:type="dxa"/>
            <w:vAlign w:val="bottom"/>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Net income</w:t>
            </w:r>
          </w:p>
        </w:tc>
        <w:tc>
          <w:tcPr>
            <w:tcW w:w="1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$1,427</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$1,305</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$4,147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net change arising during the period</w:t>
            </w:r>
          </w:p>
        </w:tc>
        <w:tc>
          <w:tcPr>
            <w:tcW w:w="2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138</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i w:val="1"/>
                <w:iCs w:val="1"/>
                <w:color w:val="auto"/>
              </w:rPr>
              <w:t>Derivatives</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derivatives gain (loss) on hedge transactions</w:t>
            </w:r>
          </w:p>
        </w:tc>
        <w:tc>
          <w:tcPr>
            <w:tcW w:w="2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142</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Reclassification to net income of net realized loss (gain)</w:t>
            </w:r>
          </w:p>
        </w:tc>
        <w:tc>
          <w:tcPr>
            <w:tcW w:w="24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(92)</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165</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1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Actuarial gain (loss)</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Actuarial gain (loss) arising during the period</w:t>
            </w:r>
          </w:p>
        </w:tc>
        <w:tc>
          <w:tcPr>
            <w:tcW w:w="2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860"/>
              <w:spacing w:after="0"/>
              <w:rPr>
                <w:sz w:val="20"/>
                <w:szCs w:val="20"/>
                <w:color w:val="auto"/>
              </w:rPr>
            </w:pPr>
            <w:r>
              <w:rPr>
                <w:rFonts w:ascii="Arial" w:cs="Arial" w:eastAsia="Arial" w:hAnsi="Arial"/>
                <w:sz w:val="18"/>
                <w:szCs w:val="18"/>
                <w:color w:val="auto"/>
              </w:rPr>
              <w:t>Amortization to net income of net actuarial loss</w:t>
            </w:r>
          </w:p>
        </w:tc>
        <w:tc>
          <w:tcPr>
            <w:tcW w:w="24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51</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1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860"/>
              <w:spacing w:after="0"/>
              <w:rPr>
                <w:sz w:val="20"/>
                <w:szCs w:val="20"/>
                <w:color w:val="auto"/>
              </w:rPr>
            </w:pPr>
            <w:r>
              <w:rPr>
                <w:rFonts w:ascii="Arial" w:cs="Arial" w:eastAsia="Arial" w:hAnsi="Arial"/>
                <w:sz w:val="18"/>
                <w:szCs w:val="18"/>
                <w:color w:val="auto"/>
              </w:rPr>
              <w:t>Prior service credit arising during the period</w:t>
            </w:r>
          </w:p>
        </w:tc>
        <w:tc>
          <w:tcPr>
            <w:tcW w:w="156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to net income of net prior service cost</w:t>
            </w:r>
          </w:p>
        </w:tc>
        <w:tc>
          <w:tcPr>
            <w:tcW w:w="2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31</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Income taxes on pension and other postretirement benefit plans</w:t>
            </w:r>
          </w:p>
        </w:tc>
        <w:tc>
          <w:tcPr>
            <w:tcW w:w="15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Comprehensive income</w:t>
            </w:r>
          </w:p>
        </w:tc>
        <w:tc>
          <w:tcPr>
            <w:tcW w:w="1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4,374</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Comprehensive income attributable to noncontrolling interests</w:t>
            </w:r>
          </w:p>
        </w:tc>
        <w:tc>
          <w:tcPr>
            <w:tcW w:w="1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2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1,672</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4,354</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Sept. 30, 2012</w:t>
            </w:r>
          </w:p>
        </w:tc>
        <w:tc>
          <w:tcPr>
            <w:tcW w:w="122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3"/>
          </w:tcPr>
          <w:p>
            <w:pPr>
              <w:jc w:val="right"/>
              <w:ind w:right="180"/>
              <w:spacing w:after="0" w:line="147"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1,852</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2,908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less allowance for doubtful accounts (2012 - $187; 2011 - $177)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11,450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4,921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1,475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22,951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1,351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14,104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14,524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4,858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59,441</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55,201</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7,913</w:t>
            </w:r>
          </w:p>
        </w:tc>
        <w:tc>
          <w:tcPr>
            <w:tcW w:w="620" w:type="dxa"/>
            <w:vAlign w:val="bottom"/>
            <w:gridSpan w:val="2"/>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debt—current portion</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1,232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Liability for taxes on income</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Dividends payable</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11,532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9,397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Deferred Taxes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1,642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1,398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1,161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25,130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11,840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31,889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(3,325)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Schlumberger stockholders’ equity</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34,204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34,311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59,441</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55,201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Nine Months Ended Sept.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6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9"/>
                <w:szCs w:val="19"/>
                <w:color w:val="auto"/>
              </w:rPr>
            </w:pPr>
          </w:p>
        </w:tc>
        <w:tc>
          <w:tcPr>
            <w:tcW w:w="5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4,147</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Less: Income from discontinued operations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2,570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rPr>
              <w:t>Earnings of companies carried at equity, less dividends received</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251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Pension and other postretirement benefits expense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rPr>
              <w:t>Pension and other postretirement benefits funding</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(462)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1"/>
                <w:szCs w:val="11"/>
                <w:color w:val="auto"/>
              </w:rPr>
              <w:t>(2)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rPr>
              <w:t>Increase in receivables</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(2,208)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Increase in inventories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(784)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rPr>
              <w:t>Increase in other current assets</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Increase in accounts payable and accrued liabilities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rPr>
              <w:t>Increase (decrease) in liability for taxes on income</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(Decrease) increase in other liabilities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rPr>
              <w:t>Other—net</w:t>
            </w:r>
          </w:p>
        </w:tc>
        <w:tc>
          <w:tcPr>
            <w:tcW w:w="1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3,611</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(3,162)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Multiclient seismic data capitalized</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(713)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Sale (purchase) of investments, net</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221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(4,038)</w:t>
            </w:r>
          </w:p>
        </w:tc>
        <w:tc>
          <w:tcPr>
            <w:tcW w:w="32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(1,067)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 program</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2,788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(1,718)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Net increase (decrease) in short-term borrowings</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223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3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discontinued operations—operating activities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Cash flows from discontinued operations—investing activities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1,012</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gridSpan w:val="3"/>
          </w:tcPr>
          <w:p>
            <w:pPr>
              <w:spacing w:after="0"/>
              <w:rPr>
                <w:sz w:val="20"/>
                <w:szCs w:val="20"/>
                <w:color w:val="auto"/>
              </w:rPr>
            </w:pPr>
            <w:r>
              <w:rPr>
                <w:rFonts w:ascii="Arial" w:cs="Arial" w:eastAsia="Arial" w:hAnsi="Arial"/>
                <w:sz w:val="18"/>
                <w:szCs w:val="18"/>
                <w:color w:val="auto"/>
              </w:rPr>
              <w:t>Net increase (decrease) in cash before translation effect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effect on cash</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Cash, beginning of period</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1,705</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1,852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8660" w:type="dxa"/>
            <w:vAlign w:val="bottom"/>
            <w:vMerge w:val="restart"/>
          </w:tcPr>
          <w:p>
            <w:pPr>
              <w:ind w:left="180"/>
              <w:spacing w:after="0"/>
              <w:rPr>
                <w:sz w:val="20"/>
                <w:szCs w:val="20"/>
                <w:color w:val="auto"/>
              </w:rPr>
            </w:pPr>
            <w:r>
              <w:rPr>
                <w:rFonts w:ascii="Arial" w:cs="Arial" w:eastAsia="Arial" w:hAnsi="Arial"/>
                <w:sz w:val="18"/>
                <w:szCs w:val="18"/>
                <w:color w:val="auto"/>
              </w:rPr>
              <w:t>Includes multiclient seismic data costs.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80" w:type="dxa"/>
            <w:vAlign w:val="bottom"/>
            <w:gridSpan w:val="2"/>
            <w:vMerge w:val="continue"/>
          </w:tcPr>
          <w:p>
            <w:pPr>
              <w:spacing w:after="0"/>
              <w:rPr>
                <w:sz w:val="14"/>
                <w:szCs w:val="14"/>
                <w:color w:val="auto"/>
              </w:rPr>
            </w:pPr>
          </w:p>
        </w:tc>
        <w:tc>
          <w:tcPr>
            <w:tcW w:w="8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(2)</w:t>
            </w:r>
          </w:p>
        </w:tc>
        <w:tc>
          <w:tcPr>
            <w:tcW w:w="4200" w:type="dxa"/>
            <w:vAlign w:val="bottom"/>
            <w:vMerge w:val="restart"/>
          </w:tcPr>
          <w:p>
            <w:pPr>
              <w:ind w:left="160"/>
              <w:spacing w:after="0"/>
              <w:rPr>
                <w:sz w:val="20"/>
                <w:szCs w:val="20"/>
                <w:color w:val="auto"/>
              </w:rPr>
            </w:pPr>
            <w:r>
              <w:rPr>
                <w:rFonts w:ascii="Arial" w:cs="Arial" w:eastAsia="Arial" w:hAnsi="Arial"/>
                <w:sz w:val="18"/>
                <w:szCs w:val="18"/>
                <w:color w:val="auto"/>
                <w:w w:val="87"/>
              </w:rPr>
              <w:t>Net of the effect of business acquisitions and divestitures.</w:t>
            </w: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4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vMerge w:val="restart"/>
          </w:tcPr>
          <w:p>
            <w:pPr>
              <w:jc w:val="center"/>
              <w:ind w:right="260"/>
              <w:spacing w:after="0"/>
              <w:rPr>
                <w:sz w:val="20"/>
                <w:szCs w:val="20"/>
                <w:color w:val="auto"/>
              </w:rPr>
            </w:pPr>
            <w:r>
              <w:rPr>
                <w:rFonts w:ascii="Arial" w:cs="Arial" w:eastAsia="Arial" w:hAnsi="Arial"/>
                <w:sz w:val="14"/>
                <w:szCs w:val="14"/>
                <w:color w:val="auto"/>
                <w:w w:val="88"/>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gridSpan w:val="7"/>
            <w:vMerge w:val="restart"/>
          </w:tcPr>
          <w:p>
            <w:pPr>
              <w:ind w:left="360"/>
              <w:spacing w:after="0"/>
              <w:rPr>
                <w:sz w:val="20"/>
                <w:szCs w:val="20"/>
                <w:color w:val="auto"/>
              </w:rPr>
            </w:pPr>
            <w:r>
              <w:rPr>
                <w:rFonts w:ascii="Arial" w:cs="Arial" w:eastAsia="Arial" w:hAnsi="Arial"/>
                <w:sz w:val="14"/>
                <w:szCs w:val="14"/>
                <w:color w:val="auto"/>
              </w:rPr>
              <w:t>Common Stock</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7"/>
            <w:vMerge w:val="continue"/>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500"/>
              <w:spacing w:after="0" w:line="146" w:lineRule="exact"/>
              <w:rPr>
                <w:sz w:val="20"/>
                <w:szCs w:val="20"/>
                <w:color w:val="auto"/>
              </w:rPr>
            </w:pPr>
            <w:r>
              <w:rPr>
                <w:rFonts w:ascii="Arial" w:cs="Arial" w:eastAsia="Arial" w:hAnsi="Arial"/>
                <w:sz w:val="14"/>
                <w:szCs w:val="14"/>
                <w:color w:val="auto"/>
                <w:w w:val="85"/>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January 1, 2012—September 30, 2012</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1" w:lineRule="exact"/>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1"/>
                <w:szCs w:val="11"/>
                <w:color w:val="auto"/>
              </w:rPr>
            </w:pPr>
          </w:p>
        </w:tc>
        <w:tc>
          <w:tcPr>
            <w:tcW w:w="1100" w:type="dxa"/>
            <w:vAlign w:val="bottom"/>
            <w:gridSpan w:val="3"/>
          </w:tcPr>
          <w:p>
            <w:pPr>
              <w:jc w:val="center"/>
              <w:ind w:right="260"/>
              <w:spacing w:after="0" w:line="131" w:lineRule="exact"/>
              <w:rPr>
                <w:sz w:val="20"/>
                <w:szCs w:val="20"/>
                <w:color w:val="auto"/>
              </w:rPr>
            </w:pPr>
            <w:r>
              <w:rPr>
                <w:rFonts w:ascii="Arial" w:cs="Arial" w:eastAsia="Arial" w:hAnsi="Arial"/>
                <w:sz w:val="14"/>
                <w:szCs w:val="14"/>
                <w:color w:val="auto"/>
                <w:w w:val="85"/>
              </w:rPr>
              <w:t>Comprehensive</w:t>
            </w:r>
          </w:p>
        </w:tc>
        <w:tc>
          <w:tcPr>
            <w:tcW w:w="140" w:type="dxa"/>
            <w:vAlign w:val="bottom"/>
          </w:tcPr>
          <w:p>
            <w:pPr>
              <w:spacing w:after="0"/>
              <w:rPr>
                <w:sz w:val="11"/>
                <w:szCs w:val="11"/>
                <w:color w:val="auto"/>
              </w:rPr>
            </w:pPr>
          </w:p>
        </w:tc>
        <w:tc>
          <w:tcPr>
            <w:tcW w:w="1240" w:type="dxa"/>
            <w:vAlign w:val="bottom"/>
            <w:gridSpan w:val="4"/>
          </w:tcPr>
          <w:p>
            <w:pPr>
              <w:spacing w:after="0" w:line="131" w:lineRule="exact"/>
              <w:rPr>
                <w:sz w:val="20"/>
                <w:szCs w:val="20"/>
                <w:color w:val="auto"/>
              </w:rPr>
            </w:pPr>
            <w:r>
              <w:rPr>
                <w:rFonts w:ascii="Arial" w:cs="Arial" w:eastAsia="Arial" w:hAnsi="Arial"/>
                <w:sz w:val="14"/>
                <w:szCs w:val="14"/>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8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ind w:right="460"/>
              <w:spacing w:after="0" w:line="146" w:lineRule="exact"/>
              <w:rPr>
                <w:sz w:val="20"/>
                <w:szCs w:val="20"/>
                <w:color w:val="auto"/>
              </w:rPr>
            </w:pPr>
            <w:r>
              <w:rPr>
                <w:rFonts w:ascii="Arial" w:cs="Arial" w:eastAsia="Arial" w:hAnsi="Arial"/>
                <w:sz w:val="14"/>
                <w:szCs w:val="14"/>
                <w:color w:val="auto"/>
              </w:rPr>
              <w:t>Issued</w:t>
            </w:r>
          </w:p>
        </w:tc>
        <w:tc>
          <w:tcPr>
            <w:tcW w:w="60" w:type="dxa"/>
            <w:vAlign w:val="bottom"/>
          </w:tcPr>
          <w:p>
            <w:pPr>
              <w:spacing w:after="0"/>
              <w:rPr>
                <w:sz w:val="14"/>
                <w:szCs w:val="14"/>
                <w:color w:val="auto"/>
              </w:rPr>
            </w:pPr>
          </w:p>
        </w:tc>
        <w:tc>
          <w:tcPr>
            <w:tcW w:w="1000" w:type="dxa"/>
            <w:vAlign w:val="bottom"/>
            <w:gridSpan w:val="4"/>
          </w:tcPr>
          <w:p>
            <w:pPr>
              <w:spacing w:after="0" w:line="146" w:lineRule="exact"/>
              <w:rPr>
                <w:sz w:val="20"/>
                <w:szCs w:val="20"/>
                <w:color w:val="auto"/>
              </w:rPr>
            </w:pPr>
            <w:r>
              <w:rPr>
                <w:rFonts w:ascii="Arial" w:cs="Arial" w:eastAsia="Arial" w:hAnsi="Arial"/>
                <w:sz w:val="14"/>
                <w:szCs w:val="14"/>
                <w:color w:val="auto"/>
              </w:rPr>
              <w:t>In Treasury</w:t>
            </w:r>
          </w:p>
        </w:tc>
        <w:tc>
          <w:tcPr>
            <w:tcW w:w="780" w:type="dxa"/>
            <w:vAlign w:val="bottom"/>
            <w:gridSpan w:val="3"/>
          </w:tcPr>
          <w:p>
            <w:pPr>
              <w:ind w:left="60"/>
              <w:spacing w:after="0" w:line="146" w:lineRule="exact"/>
              <w:rPr>
                <w:sz w:val="20"/>
                <w:szCs w:val="20"/>
                <w:color w:val="auto"/>
              </w:rPr>
            </w:pPr>
            <w:r>
              <w:rPr>
                <w:rFonts w:ascii="Arial" w:cs="Arial" w:eastAsia="Arial" w:hAnsi="Arial"/>
                <w:sz w:val="14"/>
                <w:szCs w:val="14"/>
                <w:color w:val="auto"/>
              </w:rPr>
              <w:t>Earnings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center"/>
              <w:ind w:right="500"/>
              <w:spacing w:after="0" w:line="146" w:lineRule="exact"/>
              <w:rPr>
                <w:sz w:val="20"/>
                <w:szCs w:val="20"/>
                <w:color w:val="auto"/>
              </w:rPr>
            </w:pPr>
            <w:r>
              <w:rPr>
                <w:rFonts w:ascii="Arial" w:cs="Arial" w:eastAsia="Arial" w:hAnsi="Arial"/>
                <w:sz w:val="14"/>
                <w:szCs w:val="14"/>
                <w:color w:val="auto"/>
                <w:w w:val="87"/>
              </w:rPr>
              <w:t>Loss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ind w:left="60"/>
              <w:spacing w:after="0" w:line="146" w:lineRule="exact"/>
              <w:rPr>
                <w:sz w:val="20"/>
                <w:szCs w:val="20"/>
                <w:color w:val="auto"/>
              </w:rPr>
            </w:pPr>
            <w:r>
              <w:rPr>
                <w:rFonts w:ascii="Arial" w:cs="Arial" w:eastAsia="Arial" w:hAnsi="Arial"/>
                <w:sz w:val="14"/>
                <w:szCs w:val="14"/>
                <w:color w:val="auto"/>
              </w:rPr>
              <w:t>Interests</w:t>
            </w:r>
          </w:p>
        </w:tc>
        <w:tc>
          <w:tcPr>
            <w:tcW w:w="68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2520" w:type="dxa"/>
            <w:vAlign w:val="bottom"/>
            <w:tcBorders>
              <w:top w:val="single" w:sz="8" w:color="CCEEFF"/>
            </w:tcBorders>
            <w:gridSpan w:val="2"/>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$11,639</w:t>
            </w: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(5,679)</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$28,860</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(3,557)</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w:t>
            </w: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$31,392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Changes in fair value of derivatives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employee benefits liabilities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Shares sold to optionees, less shares exchanged</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(63)</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8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Shares issued under employee stock purchase plan</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(972)</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declared ($0.825 per share)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(1,098)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Other</w:t>
            </w:r>
          </w:p>
        </w:tc>
        <w:tc>
          <w:tcPr>
            <w:tcW w:w="4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September 30, 2012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11,840</w:t>
            </w:r>
          </w:p>
        </w:tc>
        <w:tc>
          <w:tcPr>
            <w:tcW w:w="3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9"/>
              </w:rPr>
              <w:t>$ (6,200)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31,889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vMerge w:val="restart"/>
          </w:tcPr>
          <w:p>
            <w:pPr>
              <w:jc w:val="center"/>
              <w:ind w:right="260"/>
              <w:spacing w:after="0"/>
              <w:rPr>
                <w:sz w:val="20"/>
                <w:szCs w:val="20"/>
                <w:color w:val="auto"/>
              </w:rPr>
            </w:pPr>
            <w:r>
              <w:rPr>
                <w:rFonts w:ascii="Arial" w:cs="Arial" w:eastAsia="Arial" w:hAnsi="Arial"/>
                <w:sz w:val="14"/>
                <w:szCs w:val="14"/>
                <w:color w:val="auto"/>
                <w:w w:val="88"/>
              </w:rPr>
              <w:t>Accumulated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gridSpan w:val="7"/>
            <w:vMerge w:val="restart"/>
          </w:tcPr>
          <w:p>
            <w:pPr>
              <w:ind w:left="360"/>
              <w:spacing w:after="0"/>
              <w:rPr>
                <w:sz w:val="20"/>
                <w:szCs w:val="20"/>
                <w:color w:val="auto"/>
              </w:rPr>
            </w:pPr>
            <w:r>
              <w:rPr>
                <w:rFonts w:ascii="Arial" w:cs="Arial" w:eastAsia="Arial" w:hAnsi="Arial"/>
                <w:sz w:val="14"/>
                <w:szCs w:val="14"/>
                <w:color w:val="auto"/>
              </w:rPr>
              <w:t>Common Stock</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7"/>
            <w:vMerge w:val="continue"/>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500"/>
              <w:spacing w:after="0" w:line="146" w:lineRule="exact"/>
              <w:rPr>
                <w:sz w:val="20"/>
                <w:szCs w:val="20"/>
                <w:color w:val="auto"/>
              </w:rPr>
            </w:pPr>
            <w:r>
              <w:rPr>
                <w:rFonts w:ascii="Arial" w:cs="Arial" w:eastAsia="Arial" w:hAnsi="Arial"/>
                <w:sz w:val="14"/>
                <w:szCs w:val="14"/>
                <w:color w:val="auto"/>
                <w:w w:val="85"/>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January 1, 2011—September 30, 2011</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1" w:lineRule="exact"/>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1"/>
                <w:szCs w:val="11"/>
                <w:color w:val="auto"/>
              </w:rPr>
            </w:pPr>
          </w:p>
        </w:tc>
        <w:tc>
          <w:tcPr>
            <w:tcW w:w="1100" w:type="dxa"/>
            <w:vAlign w:val="bottom"/>
            <w:gridSpan w:val="3"/>
          </w:tcPr>
          <w:p>
            <w:pPr>
              <w:jc w:val="center"/>
              <w:ind w:right="260"/>
              <w:spacing w:after="0" w:line="131" w:lineRule="exact"/>
              <w:rPr>
                <w:sz w:val="20"/>
                <w:szCs w:val="20"/>
                <w:color w:val="auto"/>
              </w:rPr>
            </w:pPr>
            <w:r>
              <w:rPr>
                <w:rFonts w:ascii="Arial" w:cs="Arial" w:eastAsia="Arial" w:hAnsi="Arial"/>
                <w:sz w:val="14"/>
                <w:szCs w:val="14"/>
                <w:color w:val="auto"/>
                <w:w w:val="85"/>
              </w:rPr>
              <w:t>Comprehensive</w:t>
            </w:r>
          </w:p>
        </w:tc>
        <w:tc>
          <w:tcPr>
            <w:tcW w:w="140" w:type="dxa"/>
            <w:vAlign w:val="bottom"/>
          </w:tcPr>
          <w:p>
            <w:pPr>
              <w:spacing w:after="0"/>
              <w:rPr>
                <w:sz w:val="11"/>
                <w:szCs w:val="11"/>
                <w:color w:val="auto"/>
              </w:rPr>
            </w:pPr>
          </w:p>
        </w:tc>
        <w:tc>
          <w:tcPr>
            <w:tcW w:w="1240" w:type="dxa"/>
            <w:vAlign w:val="bottom"/>
            <w:gridSpan w:val="4"/>
          </w:tcPr>
          <w:p>
            <w:pPr>
              <w:spacing w:after="0" w:line="131" w:lineRule="exact"/>
              <w:rPr>
                <w:sz w:val="20"/>
                <w:szCs w:val="20"/>
                <w:color w:val="auto"/>
              </w:rPr>
            </w:pPr>
            <w:r>
              <w:rPr>
                <w:rFonts w:ascii="Arial" w:cs="Arial" w:eastAsia="Arial" w:hAnsi="Arial"/>
                <w:sz w:val="14"/>
                <w:szCs w:val="14"/>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8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ind w:right="460"/>
              <w:spacing w:after="0" w:line="146" w:lineRule="exact"/>
              <w:rPr>
                <w:sz w:val="20"/>
                <w:szCs w:val="20"/>
                <w:color w:val="auto"/>
              </w:rPr>
            </w:pPr>
            <w:r>
              <w:rPr>
                <w:rFonts w:ascii="Arial" w:cs="Arial" w:eastAsia="Arial" w:hAnsi="Arial"/>
                <w:sz w:val="14"/>
                <w:szCs w:val="14"/>
                <w:color w:val="auto"/>
              </w:rPr>
              <w:t>Issued</w:t>
            </w:r>
          </w:p>
        </w:tc>
        <w:tc>
          <w:tcPr>
            <w:tcW w:w="60" w:type="dxa"/>
            <w:vAlign w:val="bottom"/>
          </w:tcPr>
          <w:p>
            <w:pPr>
              <w:spacing w:after="0"/>
              <w:rPr>
                <w:sz w:val="14"/>
                <w:szCs w:val="14"/>
                <w:color w:val="auto"/>
              </w:rPr>
            </w:pPr>
          </w:p>
        </w:tc>
        <w:tc>
          <w:tcPr>
            <w:tcW w:w="1000" w:type="dxa"/>
            <w:vAlign w:val="bottom"/>
            <w:gridSpan w:val="4"/>
          </w:tcPr>
          <w:p>
            <w:pPr>
              <w:spacing w:after="0" w:line="146" w:lineRule="exact"/>
              <w:rPr>
                <w:sz w:val="20"/>
                <w:szCs w:val="20"/>
                <w:color w:val="auto"/>
              </w:rPr>
            </w:pPr>
            <w:r>
              <w:rPr>
                <w:rFonts w:ascii="Arial" w:cs="Arial" w:eastAsia="Arial" w:hAnsi="Arial"/>
                <w:sz w:val="14"/>
                <w:szCs w:val="14"/>
                <w:color w:val="auto"/>
              </w:rPr>
              <w:t>In Treasury</w:t>
            </w:r>
          </w:p>
        </w:tc>
        <w:tc>
          <w:tcPr>
            <w:tcW w:w="780" w:type="dxa"/>
            <w:vAlign w:val="bottom"/>
            <w:gridSpan w:val="3"/>
          </w:tcPr>
          <w:p>
            <w:pPr>
              <w:ind w:left="60"/>
              <w:spacing w:after="0" w:line="146" w:lineRule="exact"/>
              <w:rPr>
                <w:sz w:val="20"/>
                <w:szCs w:val="20"/>
                <w:color w:val="auto"/>
              </w:rPr>
            </w:pPr>
            <w:r>
              <w:rPr>
                <w:rFonts w:ascii="Arial" w:cs="Arial" w:eastAsia="Arial" w:hAnsi="Arial"/>
                <w:sz w:val="14"/>
                <w:szCs w:val="14"/>
                <w:color w:val="auto"/>
              </w:rPr>
              <w:t>Earnings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center"/>
              <w:ind w:right="500"/>
              <w:spacing w:after="0" w:line="146" w:lineRule="exact"/>
              <w:rPr>
                <w:sz w:val="20"/>
                <w:szCs w:val="20"/>
                <w:color w:val="auto"/>
              </w:rPr>
            </w:pPr>
            <w:r>
              <w:rPr>
                <w:rFonts w:ascii="Arial" w:cs="Arial" w:eastAsia="Arial" w:hAnsi="Arial"/>
                <w:sz w:val="14"/>
                <w:szCs w:val="14"/>
                <w:color w:val="auto"/>
                <w:w w:val="87"/>
              </w:rPr>
              <w:t>Loss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ind w:left="60"/>
              <w:spacing w:after="0" w:line="146" w:lineRule="exact"/>
              <w:rPr>
                <w:sz w:val="20"/>
                <w:szCs w:val="20"/>
                <w:color w:val="auto"/>
              </w:rPr>
            </w:pPr>
            <w:r>
              <w:rPr>
                <w:rFonts w:ascii="Arial" w:cs="Arial" w:eastAsia="Arial" w:hAnsi="Arial"/>
                <w:sz w:val="14"/>
                <w:szCs w:val="14"/>
                <w:color w:val="auto"/>
              </w:rPr>
              <w:t>Interests</w:t>
            </w:r>
          </w:p>
        </w:tc>
        <w:tc>
          <w:tcPr>
            <w:tcW w:w="68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2011</w:t>
            </w:r>
          </w:p>
        </w:tc>
        <w:tc>
          <w:tcPr>
            <w:tcW w:w="252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CCEEFF"/>
            </w:tcBorders>
            <w:gridSpan w:val="2"/>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$11,920</w:t>
            </w: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(3,136)</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$25,210</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(2,768)</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218</w:t>
            </w: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$31,444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Changes in fair value of derivatives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employee benefits liabilities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Shares sold to optionees, less shares exchanged</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(22)</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8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Shares issued under employee stock purchase plan</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(2,362)</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Acquisition of noncontrolling interest</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(547)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Dividends declared ($0.63 per share)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3"/>
          </w:tcPr>
          <w:p>
            <w:pPr>
              <w:ind w:left="140"/>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860" w:type="dxa"/>
            <w:vAlign w:val="bottom"/>
            <w:gridSpan w:val="5"/>
            <w:vMerge w:val="restart"/>
          </w:tcPr>
          <w:p>
            <w:pPr>
              <w:spacing w:after="0"/>
              <w:rPr>
                <w:sz w:val="20"/>
                <w:szCs w:val="20"/>
                <w:color w:val="auto"/>
              </w:rPr>
            </w:pPr>
            <w:r>
              <w:rPr>
                <w:rFonts w:ascii="Arial" w:cs="Arial" w:eastAsia="Arial" w:hAnsi="Arial"/>
                <w:sz w:val="18"/>
                <w:szCs w:val="18"/>
                <w:color w:val="auto"/>
              </w:rPr>
              <w:t>Balance, September 30, 2011</w:t>
            </w: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5"/>
            <w:vMerge w:val="continue"/>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11,606</w:t>
            </w:r>
          </w:p>
        </w:tc>
        <w:tc>
          <w:tcPr>
            <w:tcW w:w="340" w:type="dxa"/>
            <w:vAlign w:val="bottom"/>
          </w:tcPr>
          <w:p>
            <w:pPr>
              <w:spacing w:after="0"/>
              <w:rPr>
                <w:sz w:val="19"/>
                <w:szCs w:val="19"/>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 (5,088)</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27,780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(2,798)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940" w:type="dxa"/>
            <w:vAlign w:val="bottom"/>
            <w:gridSpan w:val="11"/>
          </w:tcPr>
          <w:p>
            <w:pPr>
              <w:ind w:left="2100"/>
              <w:spacing w:after="0"/>
              <w:rPr>
                <w:sz w:val="20"/>
                <w:szCs w:val="20"/>
                <w:color w:val="auto"/>
              </w:rPr>
            </w:pPr>
            <w:r>
              <w:rPr>
                <w:rFonts w:ascii="Arial" w:cs="Arial" w:eastAsia="Arial" w:hAnsi="Arial"/>
                <w:sz w:val="18"/>
                <w:szCs w:val="18"/>
                <w:b w:val="1"/>
                <w:bCs w:val="1"/>
                <w:color w:val="auto"/>
              </w:rPr>
              <w:t>SHARES OF COMMON STOCK</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(Unaudited)</w:t>
            </w: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Arial" w:cs="Arial" w:eastAsia="Arial" w:hAnsi="Arial"/>
                <w:sz w:val="14"/>
                <w:szCs w:val="14"/>
                <w:i w:val="1"/>
                <w:iCs w:val="1"/>
                <w:color w:val="auto"/>
              </w:rPr>
              <w:t>(Stated in millions)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Issued</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84"/>
              </w:rPr>
              <w:t>In Treasury</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4"/>
          </w:tcPr>
          <w:p>
            <w:pPr>
              <w:ind w:left="40"/>
              <w:spacing w:after="0" w:line="159" w:lineRule="exact"/>
              <w:rPr>
                <w:sz w:val="20"/>
                <w:szCs w:val="20"/>
                <w:color w:val="auto"/>
              </w:rPr>
            </w:pPr>
            <w:r>
              <w:rPr>
                <w:rFonts w:ascii="Arial" w:cs="Arial" w:eastAsia="Arial" w:hAnsi="Arial"/>
                <w:sz w:val="14"/>
                <w:szCs w:val="14"/>
                <w:color w:val="auto"/>
              </w:rPr>
              <w:t>Outstanding</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1,434</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9"/>
              </w:rPr>
              <w:t>Shares sold to optionees, less shares exchanged</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Shares issued under employee stock purchase plan</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Stock repurchase program</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458"/>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September 30, 2012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1,434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58"/>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2012 are not necessarily indicative of the results that may be expected for the full year ending December 31, 2012. The December 31, 2011 balance sheet information has been derived from the Schlumberger 2011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2011, filed with the Securities and Exchange Commission on February 1, 2012.</w:t>
      </w:r>
    </w:p>
    <w:p>
      <w:pPr>
        <w:spacing w:after="0" w:line="195"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nine months of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w:t>
      </w:r>
    </w:p>
    <w:p>
      <w:pPr>
        <w:spacing w:after="0" w:line="9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 xml:space="preserve">Schlumberger recorded the following merger and integration-related charges relating to its 2010 acquisitions of Smith International, Inc. (“Smith”) and Geoservices. These amounts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6"/>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159"/>
        </w:trPr>
        <w:tc>
          <w:tcPr>
            <w:tcW w:w="6900" w:type="dxa"/>
            <w:vAlign w:val="bottom"/>
          </w:tcPr>
          <w:p>
            <w:pPr>
              <w:spacing w:after="0"/>
              <w:rPr>
                <w:sz w:val="13"/>
                <w:szCs w:val="13"/>
                <w:color w:val="auto"/>
              </w:rPr>
            </w:pPr>
          </w:p>
        </w:tc>
        <w:tc>
          <w:tcPr>
            <w:tcW w:w="3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w w:val="83"/>
              </w:rPr>
              <w:t>Pretax</w:t>
            </w:r>
          </w:p>
        </w:tc>
        <w:tc>
          <w:tcPr>
            <w:tcW w:w="660" w:type="dxa"/>
            <w:vAlign w:val="bottom"/>
          </w:tcPr>
          <w:p>
            <w:pPr>
              <w:spacing w:after="0"/>
              <w:rPr>
                <w:sz w:val="13"/>
                <w:szCs w:val="13"/>
                <w:color w:val="auto"/>
              </w:rPr>
            </w:pPr>
          </w:p>
        </w:tc>
        <w:tc>
          <w:tcPr>
            <w:tcW w:w="7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Tax</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Net</w:t>
            </w:r>
          </w:p>
        </w:tc>
      </w:tr>
      <w:tr>
        <w:trPr>
          <w:trHeight w:val="210"/>
        </w:trPr>
        <w:tc>
          <w:tcPr>
            <w:tcW w:w="6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4</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Schlumberger recorded the following merger and integration-related charges relating to its 2010 acquisitions of Smith and Geoservices. These amounts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159"/>
        </w:trPr>
        <w:tc>
          <w:tcPr>
            <w:tcW w:w="7060" w:type="dxa"/>
            <w:vAlign w:val="bottom"/>
          </w:tcPr>
          <w:p>
            <w:pPr>
              <w:spacing w:after="0"/>
              <w:rPr>
                <w:sz w:val="13"/>
                <w:szCs w:val="13"/>
                <w:color w:val="auto"/>
              </w:rPr>
            </w:pPr>
          </w:p>
        </w:tc>
        <w:tc>
          <w:tcPr>
            <w:tcW w:w="3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8"/>
              </w:rPr>
              <w:t>Pretax</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w w:val="85"/>
              </w:rPr>
              <w:t>Tax</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Net</w:t>
            </w:r>
          </w:p>
        </w:tc>
      </w:tr>
      <w:tr>
        <w:trPr>
          <w:trHeight w:val="210"/>
        </w:trPr>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22"/>
        </w:trPr>
        <w:tc>
          <w:tcPr>
            <w:tcW w:w="70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91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During the second quarter of 2011, Schlumberger made a $50 million grant to the Schlumberger Foundation to support the Foundation’s Faculty for the Future program. This program supports talented women scientists from the developing world by helping them pursue advanced graduate studies in scientific disciplines at leading universities worldwide. This $50 million charge ($40 million after-tax) is classified in </w:t>
      </w:r>
      <w:r>
        <w:rPr>
          <w:rFonts w:ascii="Arial" w:cs="Arial" w:eastAsia="Arial" w:hAnsi="Arial"/>
          <w:sz w:val="18"/>
          <w:szCs w:val="18"/>
          <w:i w:val="1"/>
          <w:iCs w:val="1"/>
          <w:color w:val="auto"/>
        </w:rPr>
        <w:t>General &amp; administrative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2011 charges: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159"/>
        </w:trPr>
        <w:tc>
          <w:tcPr>
            <w:tcW w:w="50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Pretax</w:t>
            </w:r>
          </w:p>
        </w:tc>
        <w:tc>
          <w:tcPr>
            <w:tcW w:w="3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Tax</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Net</w:t>
            </w: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Merger-related integration costs</w:t>
            </w:r>
          </w:p>
        </w:tc>
        <w:tc>
          <w:tcPr>
            <w:tcW w:w="2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17</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79"/>
              </w:rPr>
              <w:t>10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7"/>
        </w:trPr>
        <w:tc>
          <w:tcPr>
            <w:tcW w:w="5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210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79"/>
              </w:rPr>
              <w:t>141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27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vMerge w:val="restart"/>
          </w:tcPr>
          <w:p>
            <w:pPr>
              <w:jc w:val="right"/>
              <w:ind w:right="184"/>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6"/>
          </w:tcPr>
          <w:p>
            <w:pPr>
              <w:jc w:val="center"/>
              <w:ind w:left="94"/>
              <w:spacing w:after="0"/>
              <w:rPr>
                <w:sz w:val="20"/>
                <w:szCs w:val="20"/>
                <w:color w:val="auto"/>
              </w:rPr>
            </w:pPr>
            <w:r>
              <w:rPr>
                <w:rFonts w:ascii="Arial" w:cs="Arial" w:eastAsia="Arial" w:hAnsi="Arial"/>
                <w:sz w:val="14"/>
                <w:szCs w:val="14"/>
                <w:i w:val="1"/>
                <w:iCs w:val="1"/>
                <w:color w:val="auto"/>
                <w:w w:val="87"/>
              </w:rPr>
              <w:t>(Stated in millions, except per share amounts)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0"/>
              <w:spacing w:after="0" w:line="159" w:lineRule="exact"/>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Schlumberger</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Earnings per</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3"/>
          </w:tcPr>
          <w:p>
            <w:pPr>
              <w:spacing w:after="0" w:line="129" w:lineRule="exact"/>
              <w:rPr>
                <w:sz w:val="20"/>
                <w:szCs w:val="20"/>
                <w:color w:val="auto"/>
              </w:rPr>
            </w:pPr>
            <w:r>
              <w:rPr>
                <w:rFonts w:ascii="Arial" w:cs="Arial" w:eastAsia="Arial" w:hAnsi="Arial"/>
                <w:sz w:val="14"/>
                <w:szCs w:val="14"/>
                <w:color w:val="auto"/>
              </w:rPr>
              <w:t>Schlumberger</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color w:val="auto"/>
                <w:w w:val="83"/>
              </w:rPr>
              <w:t>Earnings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Income from</w:t>
            </w:r>
          </w:p>
        </w:tc>
        <w:tc>
          <w:tcPr>
            <w:tcW w:w="6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 from</w:t>
            </w:r>
          </w:p>
        </w:tc>
        <w:tc>
          <w:tcPr>
            <w:tcW w:w="30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Income from</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Continuing</w:t>
            </w:r>
          </w:p>
        </w:tc>
        <w:tc>
          <w:tcPr>
            <w:tcW w:w="6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300" w:type="dxa"/>
            <w:vAlign w:val="bottom"/>
          </w:tcPr>
          <w:p>
            <w:pPr>
              <w:spacing w:after="0"/>
              <w:rPr>
                <w:sz w:val="12"/>
                <w:szCs w:val="12"/>
                <w:color w:val="auto"/>
              </w:rPr>
            </w:pPr>
          </w:p>
        </w:tc>
        <w:tc>
          <w:tcPr>
            <w:tcW w:w="13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Continuing</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3"/>
              </w:rPr>
              <w:t>Average Shares</w:t>
            </w: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3"/>
              </w:rPr>
              <w:t>Operations</w:t>
            </w:r>
          </w:p>
        </w:tc>
        <w:tc>
          <w:tcPr>
            <w:tcW w:w="6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4"/>
                <w:szCs w:val="1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Operations</w:t>
            </w:r>
          </w:p>
        </w:tc>
        <w:tc>
          <w:tcPr>
            <w:tcW w:w="30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Operations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Outstanding</w:t>
            </w:r>
          </w:p>
        </w:tc>
        <w:tc>
          <w:tcPr>
            <w:tcW w:w="30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Third Quarter</w:t>
            </w: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Basic</w:t>
            </w:r>
          </w:p>
        </w:tc>
        <w:tc>
          <w:tcPr>
            <w:tcW w:w="19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ind w:left="6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1,412</w:t>
            </w:r>
          </w:p>
        </w:tc>
        <w:tc>
          <w:tcPr>
            <w:tcW w:w="1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1,328</w:t>
            </w:r>
          </w:p>
        </w:tc>
        <w:tc>
          <w:tcPr>
            <w:tcW w:w="880" w:type="dxa"/>
            <w:vAlign w:val="bottom"/>
            <w:tcBorders>
              <w:top w:val="single" w:sz="8" w:color="CCEEFF"/>
            </w:tcBorders>
            <w:gridSpan w:val="2"/>
          </w:tcPr>
          <w:p>
            <w:pPr>
              <w:ind w:left="6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b w:val="1"/>
                <w:bCs w:val="1"/>
                <w:color w:val="auto"/>
              </w:rPr>
              <w:t>1.06</w:t>
            </w:r>
          </w:p>
        </w:tc>
        <w:tc>
          <w:tcPr>
            <w:tcW w:w="52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center"/>
              <w:ind w:right="460"/>
              <w:spacing w:after="0"/>
              <w:rPr>
                <w:sz w:val="20"/>
                <w:szCs w:val="20"/>
                <w:color w:val="auto"/>
              </w:rPr>
            </w:pPr>
            <w:r>
              <w:rPr>
                <w:rFonts w:ascii="Arial" w:cs="Arial" w:eastAsia="Arial" w:hAnsi="Arial"/>
                <w:sz w:val="18"/>
                <w:szCs w:val="18"/>
                <w:color w:val="auto"/>
                <w:w w:val="88"/>
              </w:rPr>
              <w:t>1,285</w:t>
            </w:r>
          </w:p>
        </w:tc>
        <w:tc>
          <w:tcPr>
            <w:tcW w:w="116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1,345</w:t>
            </w:r>
          </w:p>
        </w:tc>
        <w:tc>
          <w:tcPr>
            <w:tcW w:w="58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center"/>
              <w:ind w:left="74"/>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1,412</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1,336</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1.06</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1,285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1,357</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Earnings per</w:t>
            </w:r>
          </w:p>
        </w:tc>
        <w:tc>
          <w:tcPr>
            <w:tcW w:w="3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Schlumberger</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Income from</w:t>
            </w:r>
          </w:p>
        </w:tc>
        <w:tc>
          <w:tcPr>
            <w:tcW w:w="6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 from</w:t>
            </w:r>
          </w:p>
        </w:tc>
        <w:tc>
          <w:tcPr>
            <w:tcW w:w="30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Income from</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Continuing</w:t>
            </w:r>
          </w:p>
        </w:tc>
        <w:tc>
          <w:tcPr>
            <w:tcW w:w="6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300" w:type="dxa"/>
            <w:vAlign w:val="bottom"/>
          </w:tcPr>
          <w:p>
            <w:pPr>
              <w:spacing w:after="0"/>
              <w:rPr>
                <w:sz w:val="12"/>
                <w:szCs w:val="12"/>
                <w:color w:val="auto"/>
              </w:rPr>
            </w:pPr>
          </w:p>
        </w:tc>
        <w:tc>
          <w:tcPr>
            <w:tcW w:w="13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Continuing</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3"/>
              </w:rPr>
              <w:t>Average Shares</w:t>
            </w: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3"/>
              </w:rPr>
              <w:t>Operations</w:t>
            </w:r>
          </w:p>
        </w:tc>
        <w:tc>
          <w:tcPr>
            <w:tcW w:w="6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4"/>
                <w:szCs w:val="1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Operations</w:t>
            </w:r>
          </w:p>
        </w:tc>
        <w:tc>
          <w:tcPr>
            <w:tcW w:w="30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Operations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Outstanding</w:t>
            </w:r>
          </w:p>
        </w:tc>
        <w:tc>
          <w:tcPr>
            <w:tcW w:w="30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Nine Months</w:t>
            </w:r>
          </w:p>
        </w:tc>
        <w:tc>
          <w:tcPr>
            <w:tcW w:w="20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Basic</w:t>
            </w:r>
          </w:p>
        </w:tc>
        <w:tc>
          <w:tcPr>
            <w:tcW w:w="720" w:type="dxa"/>
            <w:vAlign w:val="bottom"/>
            <w:gridSpan w:val="2"/>
          </w:tcPr>
          <w:p>
            <w:pPr>
              <w:ind w:left="6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4,076</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1,331</w:t>
            </w:r>
          </w:p>
        </w:tc>
        <w:tc>
          <w:tcPr>
            <w:tcW w:w="8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3.06</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3,323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1,352</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center"/>
              <w:ind w:left="74"/>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4,076</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1,340</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3.04</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3,323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1,365</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was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80" w:type="dxa"/>
            <w:vAlign w:val="bottom"/>
            <w:gridSpan w:val="4"/>
          </w:tcPr>
          <w:p>
            <w:pPr>
              <w:ind w:left="260"/>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2620" w:type="dxa"/>
            <w:vAlign w:val="bottom"/>
          </w:tcPr>
          <w:p>
            <w:pPr>
              <w:spacing w:after="0"/>
              <w:rPr>
                <w:sz w:val="14"/>
                <w:szCs w:val="14"/>
                <w:color w:val="auto"/>
              </w:rPr>
            </w:pPr>
          </w:p>
        </w:tc>
        <w:tc>
          <w:tcPr>
            <w:tcW w:w="478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r>
      <w:tr>
        <w:trPr>
          <w:trHeight w:val="210"/>
        </w:trPr>
        <w:tc>
          <w:tcPr>
            <w:tcW w:w="2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4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7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8"/>
                <w:szCs w:val="18"/>
                <w:color w:val="auto"/>
              </w:rPr>
              <w:t>Nine Months</w:t>
            </w:r>
          </w:p>
        </w:tc>
        <w:tc>
          <w:tcPr>
            <w:tcW w:w="4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350"/>
        </w:trPr>
        <w:tc>
          <w:tcPr>
            <w:tcW w:w="2620" w:type="dxa"/>
            <w:vAlign w:val="bottom"/>
          </w:tcPr>
          <w:p>
            <w:pPr>
              <w:spacing w:after="0"/>
              <w:rPr>
                <w:sz w:val="24"/>
                <w:szCs w:val="24"/>
                <w:color w:val="auto"/>
              </w:rPr>
            </w:pPr>
          </w:p>
        </w:tc>
        <w:tc>
          <w:tcPr>
            <w:tcW w:w="4380" w:type="dxa"/>
            <w:vAlign w:val="bottom"/>
          </w:tcPr>
          <w:p>
            <w:pPr>
              <w:jc w:val="right"/>
              <w:ind w:right="2539"/>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3"/>
              </w:rPr>
              <w:t>Sept. 30,</w:t>
            </w:r>
          </w:p>
        </w:tc>
        <w:tc>
          <w:tcPr>
            <w:tcW w:w="2100" w:type="dxa"/>
            <w:vAlign w:val="bottom"/>
            <w:gridSpan w:val="4"/>
          </w:tcPr>
          <w:p>
            <w:pPr>
              <w:ind w:left="9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7"/>
        </w:trPr>
        <w:tc>
          <w:tcPr>
            <w:tcW w:w="60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6080" w:type="dxa"/>
            <w:vAlign w:val="bottom"/>
          </w:tcPr>
          <w:p>
            <w:pPr>
              <w:spacing w:after="0"/>
              <w:rPr>
                <w:sz w:val="14"/>
                <w:szCs w:val="14"/>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 &amp; field materials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$2,597</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Work in process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363</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4,921</w:t>
            </w:r>
          </w:p>
        </w:tc>
        <w:tc>
          <w:tcPr>
            <w:tcW w:w="11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6"/>
              </w:rPr>
              <w:t>Sept. 30,</w:t>
            </w:r>
          </w:p>
        </w:tc>
        <w:tc>
          <w:tcPr>
            <w:tcW w:w="2020" w:type="dxa"/>
            <w:vAlign w:val="bottom"/>
            <w:gridSpan w:val="4"/>
          </w:tcPr>
          <w:p>
            <w:pPr>
              <w:ind w:left="88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7"/>
        </w:trPr>
        <w:tc>
          <w:tcPr>
            <w:tcW w:w="13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&amp; equipment</w:t>
            </w:r>
          </w:p>
        </w:tc>
        <w:tc>
          <w:tcPr>
            <w:tcW w:w="15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$32,069</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580" w:type="dxa"/>
            <w:vAlign w:val="bottom"/>
          </w:tcPr>
          <w:p>
            <w:pPr>
              <w:spacing w:after="0"/>
              <w:rPr>
                <w:sz w:val="19"/>
                <w:szCs w:val="19"/>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17,965</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14,104</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1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86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83"/>
              </w:rPr>
              <w:t>2012</w:t>
            </w:r>
          </w:p>
        </w:tc>
        <w:tc>
          <w:tcPr>
            <w:tcW w:w="80" w:type="dxa"/>
            <w:vAlign w:val="bottom"/>
          </w:tcPr>
          <w:p>
            <w:pPr>
              <w:spacing w:after="0"/>
              <w:rPr>
                <w:sz w:val="24"/>
                <w:szCs w:val="24"/>
                <w:color w:val="auto"/>
              </w:rPr>
            </w:pPr>
          </w:p>
        </w:tc>
        <w:tc>
          <w:tcPr>
            <w:tcW w:w="2020" w:type="dxa"/>
            <w:vAlign w:val="bottom"/>
            <w:gridSpan w:val="4"/>
          </w:tcPr>
          <w:p>
            <w:pPr>
              <w:ind w:left="88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448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16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Nine Months</w:t>
            </w: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2,144</w:t>
            </w:r>
          </w:p>
        </w:tc>
        <w:tc>
          <w:tcPr>
            <w:tcW w:w="80" w:type="dxa"/>
            <w:vAlign w:val="bottom"/>
          </w:tcPr>
          <w:p>
            <w:pPr>
              <w:spacing w:after="0"/>
              <w:rPr>
                <w:sz w:val="19"/>
                <w:szCs w:val="19"/>
                <w:color w:val="auto"/>
              </w:rPr>
            </w:pP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nine months ended September 30, 2012 was as follows:</w:t>
      </w:r>
    </w:p>
    <w:p>
      <w:pPr>
        <w:sectPr>
          <w:pgSz w:w="11900" w:h="16838" w:orient="portrait"/>
          <w:cols w:equalWidth="0" w:num="1">
            <w:col w:w="11420"/>
          </w:cols>
          <w:pgMar w:left="240" w:top="459" w:right="239" w:bottom="1440" w:gutter="0" w:footer="0" w:header="0"/>
        </w:sectPr>
      </w:pPr>
    </w:p>
    <w:p>
      <w:pPr>
        <w:spacing w:after="0" w:line="360"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-103505</wp:posOffset>
            </wp:positionV>
            <wp:extent cx="49225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Capitalized in period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Balance at September 30, 2012</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(Stated in millions)</w:t>
      </w:r>
    </w:p>
    <w:p>
      <w:pPr>
        <w:spacing w:after="0" w:line="27" w:lineRule="exact"/>
        <w:rPr>
          <w:sz w:val="20"/>
          <w:szCs w:val="20"/>
          <w:color w:val="auto"/>
        </w:rPr>
      </w:pPr>
    </w:p>
    <w:p>
      <w:pPr>
        <w:ind w:left="780" w:hanging="778"/>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425</w:t>
      </w:r>
    </w:p>
    <w:p>
      <w:pPr>
        <w:spacing w:after="0" w:line="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260</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660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0" w:lineRule="exact"/>
        <w:rPr>
          <w:sz w:val="20"/>
          <w:szCs w:val="20"/>
          <w:color w:val="auto"/>
        </w:rPr>
      </w:pPr>
    </w:p>
    <w:p>
      <w:pPr>
        <w:ind w:left="780" w:hanging="778"/>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60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660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980"/>
          </w:cols>
          <w:pgMar w:left="240" w:top="459" w:right="239" w:bottom="1440" w:gutter="0" w:footer="0" w:header="0"/>
          <w:type w:val="continuous"/>
        </w:sectPr>
      </w:pPr>
    </w:p>
    <w:p>
      <w:pPr>
        <w:spacing w:after="0" w:line="10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for the nine months ended September 30, 2012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color w:val="auto"/>
              </w:rPr>
              <w:t>Reservoir</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125"/>
        </w:trPr>
        <w:tc>
          <w:tcPr>
            <w:tcW w:w="4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780" w:type="dxa"/>
            <w:vAlign w:val="bottom"/>
          </w:tcPr>
          <w:p>
            <w:pPr>
              <w:spacing w:after="0"/>
              <w:rPr>
                <w:sz w:val="13"/>
                <w:szCs w:val="13"/>
                <w:color w:val="auto"/>
              </w:rPr>
            </w:pPr>
          </w:p>
        </w:tc>
        <w:tc>
          <w:tcPr>
            <w:tcW w:w="1600" w:type="dxa"/>
            <w:vAlign w:val="bottom"/>
            <w:gridSpan w:val="3"/>
          </w:tcPr>
          <w:p>
            <w:pPr>
              <w:spacing w:after="0" w:line="159" w:lineRule="exact"/>
              <w:rPr>
                <w:sz w:val="20"/>
                <w:szCs w:val="20"/>
                <w:color w:val="auto"/>
              </w:rPr>
            </w:pPr>
            <w:r>
              <w:rPr>
                <w:rFonts w:ascii="Arial" w:cs="Arial" w:eastAsia="Arial" w:hAnsi="Arial"/>
                <w:sz w:val="14"/>
                <w:szCs w:val="14"/>
                <w:color w:val="auto"/>
              </w:rPr>
              <w:t>Characterization</w:t>
            </w:r>
          </w:p>
        </w:tc>
        <w:tc>
          <w:tcPr>
            <w:tcW w:w="122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rPr>
              <w:t>Drilling</w:t>
            </w:r>
          </w:p>
        </w:tc>
        <w:tc>
          <w:tcPr>
            <w:tcW w:w="600" w:type="dxa"/>
            <w:vAlign w:val="bottom"/>
            <w:gridSpan w:val="2"/>
          </w:tcPr>
          <w:p>
            <w:pPr>
              <w:spacing w:after="0" w:line="159" w:lineRule="exact"/>
              <w:rPr>
                <w:sz w:val="20"/>
                <w:szCs w:val="20"/>
                <w:color w:val="auto"/>
              </w:rPr>
            </w:pPr>
            <w:r>
              <w:rPr>
                <w:rFonts w:ascii="Arial" w:cs="Arial" w:eastAsia="Arial" w:hAnsi="Arial"/>
                <w:sz w:val="14"/>
                <w:szCs w:val="14"/>
                <w:color w:val="auto"/>
                <w:w w:val="86"/>
              </w:rPr>
              <w:t>Production</w:t>
            </w:r>
          </w:p>
        </w:tc>
        <w:tc>
          <w:tcPr>
            <w:tcW w:w="700" w:type="dxa"/>
            <w:vAlign w:val="bottom"/>
          </w:tcPr>
          <w:p>
            <w:pPr>
              <w:spacing w:after="0"/>
              <w:rPr>
                <w:sz w:val="13"/>
                <w:szCs w:val="13"/>
                <w:color w:val="auto"/>
              </w:rPr>
            </w:pPr>
          </w:p>
        </w:tc>
        <w:tc>
          <w:tcPr>
            <w:tcW w:w="1040" w:type="dxa"/>
            <w:vAlign w:val="bottom"/>
            <w:gridSpan w:val="3"/>
          </w:tcPr>
          <w:p>
            <w:pPr>
              <w:spacing w:after="0" w:line="159" w:lineRule="exact"/>
              <w:rPr>
                <w:sz w:val="20"/>
                <w:szCs w:val="20"/>
                <w:color w:val="auto"/>
              </w:rPr>
            </w:pPr>
            <w:r>
              <w:rPr>
                <w:rFonts w:ascii="Arial" w:cs="Arial" w:eastAsia="Arial" w:hAnsi="Arial"/>
                <w:sz w:val="14"/>
                <w:szCs w:val="14"/>
                <w:color w:val="auto"/>
              </w:rPr>
              <w:t>Distribution</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2011</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$8,362</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2,356</w:t>
            </w:r>
          </w:p>
        </w:tc>
        <w:tc>
          <w:tcPr>
            <w:tcW w:w="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Reallocation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Divestiture</w:t>
            </w:r>
          </w:p>
        </w:tc>
        <w:tc>
          <w:tcPr>
            <w:tcW w:w="140" w:type="dxa"/>
            <w:vAlign w:val="bottom"/>
          </w:tcPr>
          <w:p>
            <w:pPr>
              <w:spacing w:after="0"/>
              <w:rPr>
                <w:sz w:val="18"/>
                <w:szCs w:val="18"/>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changes in exchange rates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Balance at September 30, 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3,712</w:t>
            </w: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8,329</w:t>
            </w:r>
          </w:p>
        </w:tc>
        <w:tc>
          <w:tcPr>
            <w:tcW w:w="7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2,483</w:t>
            </w:r>
          </w:p>
        </w:tc>
        <w:tc>
          <w:tcPr>
            <w:tcW w:w="9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14,524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 30, 2012</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color w:val="auto"/>
              </w:rPr>
              <w:t>Dec. 31, 2011</w:t>
            </w:r>
          </w:p>
        </w:tc>
        <w:tc>
          <w:tcPr>
            <w:tcW w:w="1140" w:type="dxa"/>
            <w:vAlign w:val="bottom"/>
            <w:gridSpan w:val="3"/>
          </w:tcPr>
          <w:p>
            <w:pPr>
              <w:ind w:left="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36"/>
        </w:trPr>
        <w:tc>
          <w:tcPr>
            <w:tcW w:w="4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8"/>
              </w:rPr>
              <w:t>Gross</w:t>
            </w:r>
          </w:p>
        </w:tc>
        <w:tc>
          <w:tcPr>
            <w:tcW w:w="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Accumulated</w:t>
            </w:r>
          </w:p>
        </w:tc>
        <w:tc>
          <w:tcPr>
            <w:tcW w:w="5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76"/>
              <w:spacing w:after="0" w:line="129" w:lineRule="exact"/>
              <w:rPr>
                <w:sz w:val="20"/>
                <w:szCs w:val="20"/>
                <w:color w:val="auto"/>
              </w:rPr>
            </w:pPr>
            <w:r>
              <w:rPr>
                <w:rFonts w:ascii="Arial" w:cs="Arial" w:eastAsia="Arial" w:hAnsi="Arial"/>
                <w:sz w:val="14"/>
                <w:szCs w:val="14"/>
                <w:color w:val="auto"/>
                <w:w w:val="85"/>
              </w:rPr>
              <w:t>Gross</w:t>
            </w:r>
          </w:p>
        </w:tc>
        <w:tc>
          <w:tcPr>
            <w:tcW w:w="520" w:type="dxa"/>
            <w:vAlign w:val="bottom"/>
          </w:tcPr>
          <w:p>
            <w:pPr>
              <w:spacing w:after="0"/>
              <w:rPr>
                <w:sz w:val="11"/>
                <w:szCs w:val="11"/>
                <w:color w:val="auto"/>
              </w:rPr>
            </w:pPr>
          </w:p>
        </w:tc>
        <w:tc>
          <w:tcPr>
            <w:tcW w:w="1260" w:type="dxa"/>
            <w:vAlign w:val="bottom"/>
            <w:gridSpan w:val="3"/>
          </w:tcPr>
          <w:p>
            <w:pPr>
              <w:jc w:val="right"/>
              <w:ind w:right="520"/>
              <w:spacing w:after="0" w:line="129" w:lineRule="exact"/>
              <w:rPr>
                <w:sz w:val="20"/>
                <w:szCs w:val="20"/>
                <w:color w:val="auto"/>
              </w:rPr>
            </w:pPr>
            <w:r>
              <w:rPr>
                <w:rFonts w:ascii="Arial" w:cs="Arial" w:eastAsia="Arial" w:hAnsi="Arial"/>
                <w:sz w:val="14"/>
                <w:szCs w:val="14"/>
                <w:color w:val="auto"/>
                <w:w w:val="88"/>
              </w:rPr>
              <w:t>Accumulated</w:t>
            </w:r>
          </w:p>
        </w:tc>
        <w:tc>
          <w:tcPr>
            <w:tcW w:w="180" w:type="dxa"/>
            <w:vAlign w:val="bottom"/>
          </w:tcPr>
          <w:p>
            <w:pPr>
              <w:spacing w:after="0"/>
              <w:rPr>
                <w:sz w:val="11"/>
                <w:szCs w:val="11"/>
                <w:color w:val="auto"/>
              </w:rPr>
            </w:pPr>
          </w:p>
        </w:tc>
        <w:tc>
          <w:tcPr>
            <w:tcW w:w="860" w:type="dxa"/>
            <w:vAlign w:val="bottom"/>
          </w:tcPr>
          <w:p>
            <w:pPr>
              <w:jc w:val="center"/>
              <w:ind w:right="98"/>
              <w:spacing w:after="0" w:line="129" w:lineRule="exact"/>
              <w:rPr>
                <w:sz w:val="20"/>
                <w:szCs w:val="20"/>
                <w:color w:val="auto"/>
              </w:rPr>
            </w:pPr>
            <w:r>
              <w:rPr>
                <w:rFonts w:ascii="Arial" w:cs="Arial" w:eastAsia="Arial" w:hAnsi="Arial"/>
                <w:sz w:val="14"/>
                <w:szCs w:val="14"/>
                <w:color w:val="auto"/>
                <w:w w:val="90"/>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5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Amortization</w:t>
            </w:r>
          </w:p>
        </w:tc>
        <w:tc>
          <w:tcPr>
            <w:tcW w:w="5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w w:val="86"/>
              </w:rPr>
              <w:t>Book Value</w:t>
            </w:r>
          </w:p>
        </w:tc>
        <w:tc>
          <w:tcPr>
            <w:tcW w:w="520" w:type="dxa"/>
            <w:vAlign w:val="bottom"/>
          </w:tcPr>
          <w:p>
            <w:pPr>
              <w:spacing w:after="0"/>
              <w:rPr>
                <w:sz w:val="14"/>
                <w:szCs w:val="14"/>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4"/>
                <w:szCs w:val="14"/>
                <w:color w:val="auto"/>
                <w:w w:val="92"/>
              </w:rPr>
              <w:t>Amortization</w:t>
            </w:r>
          </w:p>
        </w:tc>
        <w:tc>
          <w:tcPr>
            <w:tcW w:w="1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Technology/Technical Know-How</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1,945</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$ 1,507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1,647</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1,476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2,109</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1,826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313</w:t>
            </w:r>
          </w:p>
        </w:tc>
        <w:tc>
          <w:tcPr>
            <w:tcW w:w="5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6,063</w:t>
            </w:r>
          </w:p>
        </w:tc>
        <w:tc>
          <w:tcPr>
            <w:tcW w:w="76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$ 4,858</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9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2200" w:type="dxa"/>
            <w:vAlign w:val="bottom"/>
            <w:gridSpan w:val="4"/>
          </w:tcPr>
          <w:p>
            <w:pPr>
              <w:ind w:left="10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294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19"/>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2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40" w:type="dxa"/>
            <w:vAlign w:val="bottom"/>
          </w:tcPr>
          <w:p>
            <w:pPr>
              <w:spacing w:after="0"/>
              <w:rPr>
                <w:sz w:val="20"/>
                <w:szCs w:val="20"/>
                <w:color w:val="auto"/>
              </w:rPr>
            </w:pPr>
            <w:r>
              <w:rPr>
                <w:rFonts w:ascii="Arial" w:cs="Arial" w:eastAsia="Arial" w:hAnsi="Arial"/>
                <w:sz w:val="18"/>
                <w:szCs w:val="18"/>
                <w:color w:val="auto"/>
              </w:rPr>
              <w:t>Nine Months</w:t>
            </w:r>
          </w:p>
        </w:tc>
        <w:tc>
          <w:tcPr>
            <w:tcW w:w="2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245</w:t>
            </w:r>
          </w:p>
        </w:tc>
        <w:tc>
          <w:tcPr>
            <w:tcW w:w="13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20 years.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Based on the net book value of intangible assets at September 30, 2012, amortization charged to income for the subsequent five years is estimated to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2012—$88 million; 2013—$324 million; 2014—$318 million; 2015—$309 million; 2016—$289 million; and 2017—$277 million.</w:t>
      </w:r>
    </w:p>
    <w:p>
      <w:pPr>
        <w:spacing w:after="0" w:line="24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Sept. 30,</w:t>
            </w:r>
          </w:p>
        </w:tc>
        <w:tc>
          <w:tcPr>
            <w:tcW w:w="2100" w:type="dxa"/>
            <w:vAlign w:val="bottom"/>
            <w:gridSpan w:val="4"/>
          </w:tcPr>
          <w:p>
            <w:pPr>
              <w:ind w:left="9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4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3.30%</w:t>
            </w:r>
          </w:p>
        </w:tc>
        <w:tc>
          <w:tcPr>
            <w:tcW w:w="386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Senior Notes due 2021</w:t>
            </w:r>
          </w:p>
        </w:tc>
        <w:tc>
          <w:tcPr>
            <w:tcW w:w="1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$1,595</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4.50%</w:t>
            </w:r>
          </w:p>
        </w:tc>
        <w:tc>
          <w:tcPr>
            <w:tcW w:w="3860" w:type="dxa"/>
            <w:vAlign w:val="bottom"/>
          </w:tcPr>
          <w:p>
            <w:pPr>
              <w:ind w:left="20"/>
              <w:spacing w:after="0"/>
              <w:rPr>
                <w:sz w:val="20"/>
                <w:szCs w:val="20"/>
                <w:color w:val="auto"/>
              </w:rPr>
            </w:pPr>
            <w:r>
              <w:rPr>
                <w:rFonts w:ascii="Arial" w:cs="Arial" w:eastAsia="Arial" w:hAnsi="Arial"/>
                <w:sz w:val="18"/>
                <w:szCs w:val="18"/>
                <w:color w:val="auto"/>
              </w:rPr>
              <w:t>Guaranteed Notes due 2014</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1,289</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2.75%</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Guranteed Notes due 2015</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1,284</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1.95%</w:t>
            </w:r>
          </w:p>
        </w:tc>
        <w:tc>
          <w:tcPr>
            <w:tcW w:w="386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1,099</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4.20%</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2021</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1,098</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1.25%</w:t>
            </w:r>
          </w:p>
        </w:tc>
        <w:tc>
          <w:tcPr>
            <w:tcW w:w="386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2.40%</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998</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2.65%</w:t>
            </w:r>
          </w:p>
        </w:tc>
        <w:tc>
          <w:tcPr>
            <w:tcW w:w="386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500</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5.25%</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Guaranteed Notes due 2013</w:t>
            </w: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3.00%</w:t>
            </w:r>
          </w:p>
        </w:tc>
        <w:tc>
          <w:tcPr>
            <w:tcW w:w="3860" w:type="dxa"/>
            <w:vAlign w:val="bottom"/>
          </w:tcPr>
          <w:p>
            <w:pPr>
              <w:ind w:left="20"/>
              <w:spacing w:after="0"/>
              <w:rPr>
                <w:sz w:val="20"/>
                <w:szCs w:val="20"/>
                <w:color w:val="auto"/>
              </w:rPr>
            </w:pPr>
            <w:r>
              <w:rPr>
                <w:rFonts w:ascii="Arial" w:cs="Arial" w:eastAsia="Arial" w:hAnsi="Arial"/>
                <w:sz w:val="18"/>
                <w:szCs w:val="18"/>
                <w:color w:val="auto"/>
              </w:rPr>
              <w:t>Guaranteed Notes due 2013</w:t>
            </w:r>
          </w:p>
        </w:tc>
        <w:tc>
          <w:tcPr>
            <w:tcW w:w="174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Floating Rate Senior Notes due 2014</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Other variable rate debt</w:t>
            </w:r>
          </w:p>
        </w:tc>
        <w:tc>
          <w:tcPr>
            <w:tcW w:w="17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9,397</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 xml:space="preserve">Fair value adjustment—hedging </w:t>
            </w:r>
            <w:r>
              <w:rPr>
                <w:rFonts w:ascii="Arial" w:cs="Arial" w:eastAsia="Arial" w:hAnsi="Arial"/>
                <w:sz w:val="11"/>
                <w:szCs w:val="11"/>
                <w:color w:val="auto"/>
              </w:rPr>
              <w:t>(1)</w:t>
            </w:r>
          </w:p>
        </w:tc>
        <w:tc>
          <w:tcPr>
            <w:tcW w:w="1740" w:type="dxa"/>
            <w:vAlign w:val="bottom"/>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9,397</w:t>
            </w:r>
          </w:p>
        </w:tc>
        <w:tc>
          <w:tcPr>
            <w:tcW w:w="11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1320" w:hanging="5612"/>
        <w:spacing w:after="0" w:line="387" w:lineRule="auto"/>
        <w:tabs>
          <w:tab w:leader="none" w:pos="444"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Represents changes in the fair value of the portion of Schlumberger’s fixed rate debt that is hedged through the use of interest rate swaps. 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2012, Schlumberger issued $1 billion of 1.25% Senior Notes due 2017 and $1 billion of 2.40% Senior Notes due 2022.</w:t>
      </w:r>
    </w:p>
    <w:p>
      <w:pPr>
        <w:spacing w:after="0" w:line="194"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During the third quarter of 2011, Schlumberger issued $1.1 billion of 1.95% Senior Notes due 2016, $1.6 billion of 3.30% Senior Notes due 2021 and $300 million of Floating Rate Senior Notes due 2014 that bear interest at a rate equal to three-month LIBOR plus 55 basis points per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2011, Schlumberger issued $1.1 billion of 4.200% Senior Notes due 2021.</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2011, Schlumberger issued $500 million of 2.650% Senior Notes due 2016. Schlumberger entered into agreements to swap these dollar notes for euros on the date of issue until maturity, effectively making this a euro denominated debt on which Schlumberger will pay interest in euros at a rate of 2.39%.</w:t>
      </w:r>
    </w:p>
    <w:p>
      <w:pPr>
        <w:spacing w:after="0" w:line="14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During the first quarter of 2011, Schlumberger repurchased all of the outstanding 9.75% Senior Notes due 2019, the 8.625% Senior Notes due 2014 and the 6.00% Senior Notes due 2016 for approximately $1.26 billion. These transactions did not result in any significant gains or losses.</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September 30, 2012 and December 31, 2011, based on quoted market prices, was $9.9 billion and $8.9 billion, respectively.</w:t>
      </w:r>
    </w:p>
    <w:p>
      <w:pPr>
        <w:spacing w:after="0" w:line="207"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Schlumberger is exposed to market risks related to fluctuations in foreign currency exchange rates, commodity prices and interest rates. To mitigate these risks, Schlumberger utilizes derivative instruments. Schlumberger does not enter into derivative transactions for speculative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a multinational company, Schlumberger conducts business in approximately 85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6"/>
          <w:szCs w:val="16"/>
          <w:i w:val="1"/>
          <w:iCs w:val="1"/>
          <w:color w:val="auto"/>
        </w:rPr>
        <w:t xml:space="preserve">Consolidated Balance Sheet </w:t>
      </w:r>
      <w:r>
        <w:rPr>
          <w:rFonts w:ascii="Arial" w:cs="Arial" w:eastAsia="Arial" w:hAnsi="Arial"/>
          <w:sz w:val="16"/>
          <w:szCs w:val="16"/>
          <w:color w:val="auto"/>
        </w:rPr>
        <w:t>and in</w:t>
      </w:r>
      <w:r>
        <w:rPr>
          <w:rFonts w:ascii="Arial" w:cs="Arial" w:eastAsia="Arial" w:hAnsi="Arial"/>
          <w:sz w:val="16"/>
          <w:szCs w:val="16"/>
          <w:i w:val="1"/>
          <w:iCs w:val="1"/>
          <w:color w:val="auto"/>
        </w:rPr>
        <w:t xml:space="preserve"> Accumulated Other Comprehensive Loss. </w:t>
      </w:r>
      <w:r>
        <w:rPr>
          <w:rFonts w:ascii="Arial" w:cs="Arial" w:eastAsia="Arial" w:hAnsi="Arial"/>
          <w:sz w:val="16"/>
          <w:szCs w:val="16"/>
          <w:color w:val="auto"/>
        </w:rPr>
        <w:t>Amounts recorded in</w:t>
      </w:r>
      <w:r>
        <w:rPr>
          <w:rFonts w:ascii="Arial" w:cs="Arial" w:eastAsia="Arial" w:hAnsi="Arial"/>
          <w:sz w:val="16"/>
          <w:szCs w:val="16"/>
          <w:i w:val="1"/>
          <w:iCs w:val="1"/>
          <w:color w:val="auto"/>
        </w:rPr>
        <w:t xml:space="preserve"> Accumulated Other Comprehensive Loss </w:t>
      </w:r>
      <w:r>
        <w:rPr>
          <w:rFonts w:ascii="Arial" w:cs="Arial" w:eastAsia="Arial" w:hAnsi="Arial"/>
          <w:sz w:val="16"/>
          <w:szCs w:val="16"/>
          <w:color w:val="auto"/>
        </w:rPr>
        <w:t>are reclassified into</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in the same period or periods that the hedged item is recognized in earnings. The ineffective portion of changes in the fair value of hedging instruments, if any, is recorded directly to earnings.</w:t>
      </w:r>
    </w:p>
    <w:p>
      <w:pPr>
        <w:spacing w:after="0" w:line="12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 xml:space="preserve">At September 30, 2012, Schlumberger recognized a cumulative net $2 million loss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8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September 30, 2012, contracts were outstanding for the US dollar equivalent of $7.1 billion in various foreign currencies, of which $3.9 billion relate to hedges of debt denominated in currencies other than the functional currency.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Schlumberger is exposed to the impact of market fluctuations in the price of certain commodities, such as metals and fuel. Schlumberger utilizes forward contracts to manage a small percentage of the price risk associated with forecasted metal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 of outstanding forward commodity contracts was $11 million at September 30,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4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Schlumberger has an outstanding interest rate swap for a notional amount of $450 million in order to hedge changes in the fair value of its $450 million 3.00% Notes due 2013. Under the terms of this swap, Schlumberger receives interest at a fixed rate of 3.0% annually and will pay interest quarterly at a floating rate of three-month LIBOR plus a spread of 0.765%. This interest rate swap is designated as a fair value hedge of the underlying debt. This derivative instrument is marked to market with gains and losses recognized currently in income to offset the respective losses and gains recognized on changes in the fair value of the hedged debt. This results in no net gain or loss being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At September 30, 2012, Schlumberger had fixed rate debt aggregating $9.5 billion and variable rate debt aggregating $1.7 billion, after taking into account the effects of the interest rate swaps.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$3.2 billion at September 30, 2012, and were comprised primarily of money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funds, eurodollar time deposits, certificates of deposit, commercial paper, euro notes and Eurobonds, and were substantially all denominated in US dollars. The carrying value of these investments approximated fair value, which was estimated using quoted market prices for those or similar investments.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c>
          <w:tcPr>
            <w:tcW w:w="38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61"/>
        </w:trPr>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7"/>
              </w:rPr>
              <w:t>Fair Value of Derivatives</w:t>
            </w:r>
          </w:p>
        </w:tc>
        <w:tc>
          <w:tcPr>
            <w:tcW w:w="2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i w:val="1"/>
                <w:iCs w:val="1"/>
                <w:color w:val="auto"/>
                <w:w w:val="93"/>
              </w:rPr>
              <w:t xml:space="preserve">Consolidated Balance Sheet </w:t>
            </w:r>
            <w:r>
              <w:rPr>
                <w:rFonts w:ascii="Arial" w:cs="Arial" w:eastAsia="Arial" w:hAnsi="Arial"/>
                <w:sz w:val="14"/>
                <w:szCs w:val="14"/>
                <w:b w:val="1"/>
                <w:bCs w:val="1"/>
                <w:color w:val="auto"/>
                <w:w w:val="93"/>
              </w:rPr>
              <w:t>Classification</w:t>
            </w:r>
          </w:p>
        </w:tc>
      </w:tr>
      <w:tr>
        <w:trPr>
          <w:trHeight w:val="129"/>
        </w:trPr>
        <w:tc>
          <w:tcPr>
            <w:tcW w:w="5360" w:type="dxa"/>
            <w:vAlign w:val="bottom"/>
          </w:tcPr>
          <w:p>
            <w:pPr>
              <w:spacing w:after="0"/>
              <w:rPr>
                <w:sz w:val="11"/>
                <w:szCs w:val="11"/>
                <w:color w:val="auto"/>
              </w:rPr>
            </w:pPr>
          </w:p>
        </w:tc>
        <w:tc>
          <w:tcPr>
            <w:tcW w:w="5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 30,</w:t>
            </w:r>
          </w:p>
        </w:tc>
        <w:tc>
          <w:tcPr>
            <w:tcW w:w="760" w:type="dxa"/>
            <w:vAlign w:val="bottom"/>
          </w:tcPr>
          <w:p>
            <w:pPr>
              <w:spacing w:after="0"/>
              <w:rPr>
                <w:sz w:val="11"/>
                <w:szCs w:val="11"/>
                <w:color w:val="auto"/>
              </w:rPr>
            </w:pPr>
          </w:p>
        </w:tc>
        <w:tc>
          <w:tcPr>
            <w:tcW w:w="780" w:type="dxa"/>
            <w:vAlign w:val="bottom"/>
          </w:tcPr>
          <w:p>
            <w:pPr>
              <w:jc w:val="center"/>
              <w:ind w:left="202"/>
              <w:spacing w:after="0" w:line="129" w:lineRule="exact"/>
              <w:rPr>
                <w:sz w:val="20"/>
                <w:szCs w:val="20"/>
                <w:color w:val="auto"/>
              </w:rPr>
            </w:pPr>
            <w:r>
              <w:rPr>
                <w:rFonts w:ascii="Arial" w:cs="Arial" w:eastAsia="Arial" w:hAnsi="Arial"/>
                <w:sz w:val="14"/>
                <w:szCs w:val="14"/>
                <w:color w:val="auto"/>
                <w:w w:val="88"/>
              </w:rPr>
              <w:t>Dec. 31,</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980" w:type="dxa"/>
            <w:vAlign w:val="bottom"/>
          </w:tcPr>
          <w:p>
            <w:pPr>
              <w:spacing w:after="0"/>
              <w:rPr>
                <w:sz w:val="11"/>
                <w:szCs w:val="11"/>
                <w:color w:val="auto"/>
              </w:rPr>
            </w:pPr>
          </w:p>
        </w:tc>
      </w:t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1540" w:type="dxa"/>
            <w:vAlign w:val="bottom"/>
            <w:gridSpan w:val="2"/>
          </w:tcPr>
          <w:p>
            <w:pPr>
              <w:jc w:val="right"/>
              <w:ind w:right="42"/>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rPr>
              <w:t>Other current assets</w:t>
            </w: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3360" w:type="dxa"/>
            <w:vAlign w:val="bottom"/>
            <w:gridSpan w:val="2"/>
          </w:tcPr>
          <w:p>
            <w:pPr>
              <w:ind w:left="380"/>
              <w:spacing w:after="0"/>
              <w:rPr>
                <w:sz w:val="20"/>
                <w:szCs w:val="20"/>
                <w:color w:val="auto"/>
              </w:rPr>
            </w:pPr>
            <w:r>
              <w:rPr>
                <w:rFonts w:ascii="Arial" w:cs="Arial" w:eastAsia="Arial" w:hAnsi="Arial"/>
                <w:sz w:val="18"/>
                <w:szCs w:val="18"/>
                <w:i w:val="1"/>
                <w:iCs w:val="1"/>
                <w:color w:val="auto"/>
              </w:rPr>
              <w:t>Other Assets</w:t>
            </w: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36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rPr>
              <w:t>Other current assets</w:t>
            </w:r>
          </w:p>
        </w:tc>
      </w:tr>
      <w:tr>
        <w:trPr>
          <w:trHeight w:val="223"/>
        </w:trPr>
        <w:tc>
          <w:tcPr>
            <w:tcW w:w="536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3360" w:type="dxa"/>
            <w:vAlign w:val="bottom"/>
            <w:gridSpan w:val="2"/>
          </w:tcPr>
          <w:p>
            <w:pPr>
              <w:ind w:left="380"/>
              <w:spacing w:after="0"/>
              <w:rPr>
                <w:sz w:val="20"/>
                <w:szCs w:val="20"/>
                <w:color w:val="auto"/>
              </w:rPr>
            </w:pPr>
            <w:r>
              <w:rPr>
                <w:rFonts w:ascii="Arial" w:cs="Arial" w:eastAsia="Arial" w:hAnsi="Arial"/>
                <w:sz w:val="18"/>
                <w:szCs w:val="18"/>
                <w:i w:val="1"/>
                <w:iCs w:val="1"/>
                <w:color w:val="auto"/>
              </w:rPr>
              <w:t>Other Assets</w:t>
            </w:r>
          </w:p>
        </w:tc>
      </w:tr>
      <w:tr>
        <w:trPr>
          <w:trHeight w:val="216"/>
        </w:trPr>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Derivatives not designated as hedges: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217"/>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rPr>
              <w:t>Other current assets</w:t>
            </w:r>
          </w:p>
        </w:tc>
      </w:tr>
      <w:tr>
        <w:trPr>
          <w:trHeight w:val="223"/>
        </w:trPr>
        <w:tc>
          <w:tcPr>
            <w:tcW w:w="5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7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3360" w:type="dxa"/>
            <w:vAlign w:val="bottom"/>
            <w:gridSpan w:val="2"/>
          </w:tcPr>
          <w:p>
            <w:pPr>
              <w:ind w:left="380"/>
              <w:spacing w:after="0"/>
              <w:rPr>
                <w:sz w:val="20"/>
                <w:szCs w:val="20"/>
                <w:color w:val="auto"/>
              </w:rPr>
            </w:pPr>
            <w:r>
              <w:rPr>
                <w:rFonts w:ascii="Arial" w:cs="Arial" w:eastAsia="Arial" w:hAnsi="Arial"/>
                <w:sz w:val="18"/>
                <w:szCs w:val="18"/>
                <w:i w:val="1"/>
                <w:iCs w:val="1"/>
                <w:color w:val="auto"/>
              </w:rPr>
              <w:t>Other Assets</w:t>
            </w:r>
          </w:p>
        </w:tc>
      </w:tr>
      <w:tr>
        <w:trPr>
          <w:trHeight w:val="216"/>
        </w:trPr>
        <w:tc>
          <w:tcPr>
            <w:tcW w:w="5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7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23"/>
        </w:trPr>
        <w:tc>
          <w:tcPr>
            <w:tcW w:w="53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15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11"/>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w w:val="92"/>
              </w:rPr>
              <w:t>Accounts payable and accrued liabilities</w:t>
            </w:r>
          </w:p>
        </w:tc>
      </w:tr>
      <w:tr>
        <w:trPr>
          <w:trHeight w:val="223"/>
        </w:trPr>
        <w:tc>
          <w:tcPr>
            <w:tcW w:w="5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7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130</w:t>
            </w:r>
          </w:p>
        </w:tc>
        <w:tc>
          <w:tcPr>
            <w:tcW w:w="380" w:type="dxa"/>
            <w:vAlign w:val="bottom"/>
          </w:tcPr>
          <w:p>
            <w:pPr>
              <w:spacing w:after="0"/>
              <w:rPr>
                <w:sz w:val="19"/>
                <w:szCs w:val="19"/>
                <w:color w:val="auto"/>
              </w:rPr>
            </w:pPr>
          </w:p>
        </w:tc>
        <w:tc>
          <w:tcPr>
            <w:tcW w:w="3360" w:type="dxa"/>
            <w:vAlign w:val="bottom"/>
            <w:gridSpan w:val="2"/>
          </w:tcPr>
          <w:p>
            <w:pPr>
              <w:ind w:left="380"/>
              <w:spacing w:after="0"/>
              <w:rPr>
                <w:sz w:val="20"/>
                <w:szCs w:val="20"/>
                <w:color w:val="auto"/>
              </w:rPr>
            </w:pPr>
            <w:r>
              <w:rPr>
                <w:rFonts w:ascii="Arial" w:cs="Arial" w:eastAsia="Arial" w:hAnsi="Arial"/>
                <w:sz w:val="18"/>
                <w:szCs w:val="18"/>
                <w:i w:val="1"/>
                <w:iCs w:val="1"/>
                <w:color w:val="auto"/>
              </w:rPr>
              <w:t>Other Liabilities</w:t>
            </w:r>
          </w:p>
        </w:tc>
      </w:tr>
      <w:tr>
        <w:trPr>
          <w:trHeight w:val="216"/>
        </w:trPr>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Derivatives not designated as hedges: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217"/>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w w:val="92"/>
              </w:rPr>
              <w:t>Accounts payable and accrued liabilities</w:t>
            </w:r>
          </w:p>
        </w:tc>
      </w:tr>
      <w:tr>
        <w:trPr>
          <w:trHeight w:val="223"/>
        </w:trPr>
        <w:tc>
          <w:tcPr>
            <w:tcW w:w="5360" w:type="dxa"/>
            <w:vAlign w:val="bottom"/>
          </w:tcPr>
          <w:p>
            <w:pPr>
              <w:ind w:left="440"/>
              <w:spacing w:after="0"/>
              <w:rPr>
                <w:sz w:val="20"/>
                <w:szCs w:val="20"/>
                <w:color w:val="auto"/>
              </w:rPr>
            </w:pPr>
            <w:r>
              <w:rPr>
                <w:rFonts w:ascii="Arial" w:cs="Arial" w:eastAsia="Arial" w:hAnsi="Arial"/>
                <w:sz w:val="18"/>
                <w:szCs w:val="18"/>
                <w:color w:val="auto"/>
              </w:rPr>
              <w:t>Commodity contacts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3360" w:type="dxa"/>
            <w:vAlign w:val="bottom"/>
            <w:gridSpan w:val="2"/>
          </w:tcPr>
          <w:p>
            <w:pPr>
              <w:ind w:left="380"/>
              <w:spacing w:after="0"/>
              <w:rPr>
                <w:sz w:val="20"/>
                <w:szCs w:val="20"/>
                <w:color w:val="auto"/>
              </w:rPr>
            </w:pPr>
            <w:r>
              <w:rPr>
                <w:rFonts w:ascii="Arial" w:cs="Arial" w:eastAsia="Arial" w:hAnsi="Arial"/>
                <w:sz w:val="18"/>
                <w:szCs w:val="18"/>
                <w:i w:val="1"/>
                <w:iCs w:val="1"/>
                <w:color w:val="auto"/>
                <w:w w:val="92"/>
              </w:rPr>
              <w:t>Accounts payable and accrued liabilities</w:t>
            </w:r>
          </w:p>
        </w:tc>
      </w:tr>
      <w:tr>
        <w:trPr>
          <w:trHeight w:val="216"/>
        </w:trPr>
        <w:tc>
          <w:tcPr>
            <w:tcW w:w="5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7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15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189</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can be derived from or corroborated by observable data.</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effect on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of derivative instruments designated as fair value hedges and those not designated as hedges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i w:val="1"/>
                <w:iCs w:val="1"/>
                <w:color w:val="auto"/>
              </w:rPr>
              <w:t>(Stated in millions)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right"/>
              <w:ind w:right="98"/>
              <w:spacing w:after="0"/>
              <w:rPr>
                <w:sz w:val="20"/>
                <w:szCs w:val="20"/>
                <w:color w:val="auto"/>
              </w:rPr>
            </w:pPr>
            <w:r>
              <w:rPr>
                <w:rFonts w:ascii="Arial" w:cs="Arial" w:eastAsia="Arial" w:hAnsi="Arial"/>
                <w:sz w:val="14"/>
                <w:szCs w:val="14"/>
                <w:b w:val="1"/>
                <w:bCs w:val="1"/>
                <w:color w:val="auto"/>
                <w:w w:val="89"/>
              </w:rPr>
              <w:t>Gain (Loss) Recognized in Income</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00" w:type="dxa"/>
            <w:vAlign w:val="bottom"/>
            <w:gridSpan w:val="6"/>
          </w:tcPr>
          <w:p>
            <w:pPr>
              <w:jc w:val="right"/>
              <w:ind w:right="460"/>
              <w:spacing w:after="0" w:line="142" w:lineRule="exact"/>
              <w:rPr>
                <w:sz w:val="20"/>
                <w:szCs w:val="20"/>
                <w:color w:val="auto"/>
              </w:rPr>
            </w:pPr>
            <w:r>
              <w:rPr>
                <w:rFonts w:ascii="Arial" w:cs="Arial" w:eastAsia="Arial" w:hAnsi="Arial"/>
                <w:sz w:val="14"/>
                <w:szCs w:val="14"/>
                <w:b w:val="1"/>
                <w:bCs w:val="1"/>
                <w:color w:val="auto"/>
              </w:rPr>
              <w:t>Third Quarter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6"/>
              <w:spacing w:after="0" w:line="142" w:lineRule="exact"/>
              <w:rPr>
                <w:sz w:val="20"/>
                <w:szCs w:val="20"/>
                <w:color w:val="auto"/>
              </w:rPr>
            </w:pPr>
            <w:r>
              <w:rPr>
                <w:rFonts w:ascii="Arial" w:cs="Arial" w:eastAsia="Arial" w:hAnsi="Arial"/>
                <w:sz w:val="14"/>
                <w:szCs w:val="14"/>
                <w:b w:val="1"/>
                <w:bCs w:val="1"/>
                <w:color w:val="auto"/>
              </w:rPr>
              <w:t>Nine Months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ind w:left="20"/>
              <w:spacing w:after="0" w:line="142" w:lineRule="exact"/>
              <w:rPr>
                <w:sz w:val="20"/>
                <w:szCs w:val="20"/>
                <w:color w:val="auto"/>
              </w:rPr>
            </w:pPr>
            <w:r>
              <w:rPr>
                <w:rFonts w:ascii="Arial" w:cs="Arial" w:eastAsia="Arial" w:hAnsi="Arial"/>
                <w:sz w:val="14"/>
                <w:szCs w:val="14"/>
                <w:i w:val="1"/>
                <w:iCs w:val="1"/>
                <w:color w:val="auto"/>
                <w:w w:val="85"/>
              </w:rPr>
              <w:t>Consolidated Statement</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2012</w:t>
            </w: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2011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line="142" w:lineRule="exact"/>
              <w:rPr>
                <w:sz w:val="20"/>
                <w:szCs w:val="20"/>
                <w:color w:val="auto"/>
              </w:rPr>
            </w:pPr>
            <w:r>
              <w:rPr>
                <w:rFonts w:ascii="Arial" w:cs="Arial" w:eastAsia="Arial" w:hAnsi="Arial"/>
                <w:sz w:val="14"/>
                <w:szCs w:val="14"/>
                <w:i w:val="1"/>
                <w:iCs w:val="1"/>
                <w:color w:val="auto"/>
                <w:w w:val="87"/>
              </w:rPr>
              <w:t>of Income Classification</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fair value hedges:</w:t>
            </w:r>
          </w:p>
        </w:tc>
        <w:tc>
          <w:tcPr>
            <w:tcW w:w="2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2600" w:type="dxa"/>
            <w:vAlign w:val="bottom"/>
            <w:gridSpan w:val="3"/>
          </w:tcPr>
          <w:p>
            <w:pPr>
              <w:jc w:val="right"/>
              <w:spacing w:after="0"/>
              <w:rPr>
                <w:sz w:val="20"/>
                <w:szCs w:val="20"/>
                <w:color w:val="auto"/>
              </w:rPr>
            </w:pPr>
            <w:r>
              <w:rPr>
                <w:rFonts w:ascii="Arial" w:cs="Arial" w:eastAsia="Arial" w:hAnsi="Arial"/>
                <w:sz w:val="18"/>
                <w:szCs w:val="18"/>
                <w:b w:val="1"/>
                <w:bCs w:val="1"/>
                <w:color w:val="auto"/>
              </w:rPr>
              <w:t>$ (58)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98"/>
              <w:spacing w:after="0"/>
              <w:rPr>
                <w:sz w:val="20"/>
                <w:szCs w:val="20"/>
                <w:color w:val="auto"/>
              </w:rPr>
            </w:pPr>
            <w:r>
              <w:rPr>
                <w:rFonts w:ascii="Arial" w:cs="Arial" w:eastAsia="Arial" w:hAnsi="Arial"/>
                <w:sz w:val="18"/>
                <w:szCs w:val="18"/>
                <w:b w:val="1"/>
                <w:bCs w:val="1"/>
                <w:color w:val="auto"/>
              </w:rPr>
              <w:t>(58)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2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w w:val="97"/>
              </w:rPr>
              <w:t>Interest expense</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 (57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540" w:type="dxa"/>
            <w:vAlign w:val="bottom"/>
          </w:tcPr>
          <w:p>
            <w:pPr>
              <w:jc w:val="right"/>
              <w:ind w:right="398"/>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2600" w:type="dxa"/>
            <w:vAlign w:val="bottom"/>
            <w:gridSpan w:val="3"/>
          </w:tcPr>
          <w:p>
            <w:pPr>
              <w:jc w:val="right"/>
              <w:spacing w:after="0"/>
              <w:rPr>
                <w:sz w:val="20"/>
                <w:szCs w:val="20"/>
                <w:color w:val="auto"/>
              </w:rPr>
            </w:pPr>
            <w:r>
              <w:rPr>
                <w:rFonts w:ascii="Arial" w:cs="Arial" w:eastAsia="Arial" w:hAnsi="Arial"/>
                <w:sz w:val="18"/>
                <w:szCs w:val="18"/>
                <w:b w:val="1"/>
                <w:bCs w:val="1"/>
                <w:color w:val="auto"/>
              </w:rPr>
              <w:t>$ (22)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38"/>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56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87"/>
              </w:rPr>
              <w:t>$ (22</w:t>
            </w:r>
          </w:p>
        </w:tc>
        <w:tc>
          <w:tcPr>
            <w:tcW w:w="1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(17)</w:t>
            </w:r>
          </w:p>
        </w:tc>
        <w:tc>
          <w:tcPr>
            <w:tcW w:w="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100" w:type="dxa"/>
            <w:vAlign w:val="bottom"/>
            <w:vMerge w:val="restart"/>
          </w:tcPr>
          <w:p>
            <w:pPr>
              <w:jc w:val="right"/>
              <w:ind w:right="572"/>
              <w:spacing w:after="0"/>
              <w:rPr>
                <w:sz w:val="20"/>
                <w:szCs w:val="20"/>
                <w:color w:val="auto"/>
              </w:rPr>
            </w:pPr>
            <w:r>
              <w:rPr>
                <w:rFonts w:ascii="Arial" w:cs="Arial" w:eastAsia="Arial" w:hAnsi="Arial"/>
                <w:sz w:val="18"/>
                <w:szCs w:val="18"/>
                <w:color w:val="auto"/>
              </w:rPr>
              <w:t>14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instruments in cash flow hedging relationships on income and other comprehensive income (OCI)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4"/>
          </w:tcPr>
          <w:p>
            <w:pPr>
              <w:jc w:val="right"/>
              <w:ind w:right="700"/>
              <w:spacing w:after="0"/>
              <w:rPr>
                <w:sz w:val="20"/>
                <w:szCs w:val="20"/>
                <w:color w:val="auto"/>
              </w:rPr>
            </w:pPr>
            <w:r>
              <w:rPr>
                <w:rFonts w:ascii="Arial" w:cs="Arial" w:eastAsia="Arial" w:hAnsi="Arial"/>
                <w:sz w:val="14"/>
                <w:szCs w:val="14"/>
                <w:i w:val="1"/>
                <w:iCs w:val="1"/>
                <w:color w:val="auto"/>
              </w:rPr>
              <w:t>(Stated in millions)</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10"/>
          </w:tcPr>
          <w:p>
            <w:pPr>
              <w:jc w:val="right"/>
              <w:ind w:right="183"/>
              <w:spacing w:after="0"/>
              <w:rPr>
                <w:sz w:val="20"/>
                <w:szCs w:val="20"/>
                <w:color w:val="auto"/>
              </w:rPr>
            </w:pPr>
            <w:r>
              <w:rPr>
                <w:rFonts w:ascii="Arial" w:cs="Arial" w:eastAsia="Arial" w:hAnsi="Arial"/>
                <w:sz w:val="14"/>
                <w:szCs w:val="14"/>
                <w:b w:val="1"/>
                <w:bCs w:val="1"/>
                <w:color w:val="auto"/>
                <w:w w:val="87"/>
              </w:rPr>
              <w:t>Gain (Loss) Reclassified from Accumulated OCL into Income</w:t>
            </w:r>
          </w:p>
        </w:tc>
        <w:tc>
          <w:tcPr>
            <w:tcW w:w="6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12"/>
              <w:spacing w:after="0" w:line="142" w:lineRule="exact"/>
              <w:rPr>
                <w:sz w:val="20"/>
                <w:szCs w:val="20"/>
                <w:color w:val="auto"/>
              </w:rPr>
            </w:pPr>
            <w:r>
              <w:rPr>
                <w:rFonts w:ascii="Arial" w:cs="Arial" w:eastAsia="Arial" w:hAnsi="Arial"/>
                <w:sz w:val="14"/>
                <w:szCs w:val="14"/>
                <w:b w:val="1"/>
                <w:bCs w:val="1"/>
                <w:color w:val="auto"/>
              </w:rPr>
              <w:t>Third Quarter</w:t>
            </w:r>
          </w:p>
        </w:tc>
        <w:tc>
          <w:tcPr>
            <w:tcW w:w="6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Nine Months</w:t>
            </w:r>
          </w:p>
        </w:tc>
        <w:tc>
          <w:tcPr>
            <w:tcW w:w="62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82"/>
              </w:rPr>
              <w:t>Consolidated Statement</w:t>
            </w:r>
          </w:p>
        </w:tc>
        <w:tc>
          <w:tcPr>
            <w:tcW w:w="0" w:type="dxa"/>
            <w:vAlign w:val="bottom"/>
          </w:tcPr>
          <w:p>
            <w:pPr>
              <w:spacing w:after="0"/>
              <w:rPr>
                <w:sz w:val="1"/>
                <w:szCs w:val="1"/>
                <w:color w:val="auto"/>
              </w:rPr>
            </w:pPr>
          </w:p>
        </w:tc>
      </w:tr>
      <w:tr>
        <w:trPr>
          <w:trHeight w:val="142"/>
        </w:trPr>
        <w:tc>
          <w:tcPr>
            <w:tcW w:w="28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color w:val="auto"/>
              </w:rPr>
              <w:t>2011</w:t>
            </w: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2011</w:t>
            </w:r>
          </w:p>
        </w:tc>
        <w:tc>
          <w:tcPr>
            <w:tcW w:w="70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84"/>
              </w:rPr>
              <w:t>of Income Classification</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b w:val="1"/>
                <w:bCs w:val="1"/>
                <w:color w:val="auto"/>
                <w:w w:val="71"/>
              </w:rPr>
              <w:t>$</w:t>
            </w:r>
          </w:p>
        </w:tc>
        <w:tc>
          <w:tcPr>
            <w:tcW w:w="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70"/>
              </w:rPr>
              <w:t>(48)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b w:val="1"/>
                <w:bCs w:val="1"/>
                <w:color w:val="auto"/>
              </w:rPr>
              <w:t>(10)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14</w:t>
            </w:r>
          </w:p>
        </w:tc>
        <w:tc>
          <w:tcPr>
            <w:tcW w:w="1720" w:type="dxa"/>
            <w:vAlign w:val="bottom"/>
          </w:tcPr>
          <w:p>
            <w:pPr>
              <w:jc w:val="center"/>
              <w:spacing w:after="0"/>
              <w:rPr>
                <w:sz w:val="20"/>
                <w:szCs w:val="20"/>
                <w:color w:val="auto"/>
              </w:rPr>
            </w:pPr>
            <w:r>
              <w:rPr>
                <w:rFonts w:ascii="Arial" w:cs="Arial" w:eastAsia="Arial" w:hAnsi="Arial"/>
                <w:sz w:val="18"/>
                <w:szCs w:val="18"/>
                <w:i w:val="1"/>
                <w:iCs w:val="1"/>
                <w:color w:val="auto"/>
                <w:w w:val="89"/>
              </w:rPr>
              <w:t>Research &amp; engineering</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w:t>
            </w:r>
          </w:p>
        </w:tc>
        <w:tc>
          <w:tcPr>
            <w:tcW w:w="9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(58)</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157</w:t>
            </w: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9"/>
              </w:rPr>
              <w:t>Gain (Loss) Recognized in OCL</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4"/>
          </w:tcPr>
          <w:p>
            <w:pPr>
              <w:jc w:val="right"/>
              <w:ind w:right="700"/>
              <w:spacing w:after="0"/>
              <w:rPr>
                <w:sz w:val="20"/>
                <w:szCs w:val="20"/>
                <w:color w:val="auto"/>
              </w:rPr>
            </w:pPr>
            <w:r>
              <w:rPr>
                <w:rFonts w:ascii="Arial" w:cs="Arial" w:eastAsia="Arial" w:hAnsi="Arial"/>
                <w:sz w:val="14"/>
                <w:szCs w:val="14"/>
                <w:i w:val="1"/>
                <w:iCs w:val="1"/>
                <w:color w:val="auto"/>
              </w:rPr>
              <w:t>(Stated in millions)</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12"/>
              <w:spacing w:after="0" w:line="142" w:lineRule="exact"/>
              <w:rPr>
                <w:sz w:val="20"/>
                <w:szCs w:val="20"/>
                <w:color w:val="auto"/>
              </w:rPr>
            </w:pPr>
            <w:r>
              <w:rPr>
                <w:rFonts w:ascii="Arial" w:cs="Arial" w:eastAsia="Arial" w:hAnsi="Arial"/>
                <w:sz w:val="14"/>
                <w:szCs w:val="14"/>
                <w:b w:val="1"/>
                <w:bCs w:val="1"/>
                <w:color w:val="auto"/>
              </w:rPr>
              <w:t>Third Quarter</w:t>
            </w:r>
          </w:p>
        </w:tc>
        <w:tc>
          <w:tcPr>
            <w:tcW w:w="6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Nine Months</w:t>
            </w:r>
          </w:p>
        </w:tc>
        <w:tc>
          <w:tcPr>
            <w:tcW w:w="62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color w:val="auto"/>
              </w:rPr>
              <w:t>2011</w:t>
            </w: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2011</w:t>
            </w:r>
          </w:p>
        </w:tc>
        <w:tc>
          <w:tcPr>
            <w:tcW w:w="7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70"/>
              </w:rPr>
              <w:t>(35)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before taxes </w:t>
      </w:r>
      <w:r>
        <w:rPr>
          <w:rFonts w:ascii="Arial" w:cs="Arial" w:eastAsia="Arial" w:hAnsi="Arial"/>
          <w:sz w:val="18"/>
          <w:szCs w:val="18"/>
          <w:color w:val="auto"/>
        </w:rPr>
        <w:t>which was subject to US and non-US income taxes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tcPr>
          <w:p>
            <w:pPr>
              <w:ind w:left="480"/>
              <w:spacing w:after="0"/>
              <w:rPr>
                <w:sz w:val="20"/>
                <w:szCs w:val="20"/>
                <w:color w:val="auto"/>
              </w:rPr>
            </w:pPr>
            <w:r>
              <w:rPr>
                <w:rFonts w:ascii="Arial" w:cs="Arial" w:eastAsia="Arial" w:hAnsi="Arial"/>
                <w:sz w:val="14"/>
                <w:szCs w:val="14"/>
                <w:i w:val="1"/>
                <w:iCs w:val="1"/>
                <w:color w:val="auto"/>
                <w:w w:val="95"/>
              </w:rPr>
              <w:t>(Stated in millions)</w:t>
            </w:r>
          </w:p>
        </w:tc>
      </w:tr>
      <w:tr>
        <w:trPr>
          <w:trHeight w:val="159"/>
        </w:trPr>
        <w:tc>
          <w:tcPr>
            <w:tcW w:w="42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tcPr>
          <w:p>
            <w:pPr>
              <w:ind w:left="280"/>
              <w:spacing w:after="0" w:line="159" w:lineRule="exact"/>
              <w:rPr>
                <w:sz w:val="20"/>
                <w:szCs w:val="20"/>
                <w:color w:val="auto"/>
              </w:rPr>
            </w:pPr>
            <w:r>
              <w:rPr>
                <w:rFonts w:ascii="Arial" w:cs="Arial" w:eastAsia="Arial" w:hAnsi="Arial"/>
                <w:sz w:val="14"/>
                <w:szCs w:val="14"/>
                <w:color w:val="auto"/>
              </w:rPr>
              <w:t>Third Quarter</w:t>
            </w:r>
          </w:p>
        </w:tc>
        <w:tc>
          <w:tcPr>
            <w:tcW w:w="260" w:type="dxa"/>
            <w:vAlign w:val="bottom"/>
          </w:tcPr>
          <w:p>
            <w:pPr>
              <w:spacing w:after="0"/>
              <w:rPr>
                <w:sz w:val="13"/>
                <w:szCs w:val="13"/>
                <w:color w:val="auto"/>
              </w:rPr>
            </w:pPr>
          </w:p>
        </w:tc>
        <w:tc>
          <w:tcPr>
            <w:tcW w:w="1600" w:type="dxa"/>
            <w:vAlign w:val="bottom"/>
            <w:gridSpan w:val="4"/>
          </w:tcPr>
          <w:p>
            <w:pPr>
              <w:ind w:left="400"/>
              <w:spacing w:after="0" w:line="159" w:lineRule="exact"/>
              <w:rPr>
                <w:sz w:val="20"/>
                <w:szCs w:val="20"/>
                <w:color w:val="auto"/>
              </w:rPr>
            </w:pPr>
            <w:r>
              <w:rPr>
                <w:rFonts w:ascii="Arial" w:cs="Arial" w:eastAsia="Arial" w:hAnsi="Arial"/>
                <w:sz w:val="14"/>
                <w:szCs w:val="14"/>
                <w:color w:val="auto"/>
              </w:rPr>
              <w:t>Nine Months</w:t>
            </w:r>
          </w:p>
        </w:tc>
      </w:tr>
      <w:tr>
        <w:trPr>
          <w:trHeight w:val="142"/>
        </w:trPr>
        <w:tc>
          <w:tcPr>
            <w:tcW w:w="42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2012</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3"/>
              </w:rPr>
              <w:t>2011</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$1,578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$1,514</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Outside United States</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1,402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3,805</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19"/>
                <w:szCs w:val="19"/>
                <w:color w:val="auto"/>
              </w:rPr>
            </w:pPr>
          </w:p>
        </w:tc>
      </w:tr>
      <w:tr>
        <w:trPr>
          <w:trHeight w:val="216"/>
        </w:trPr>
        <w:tc>
          <w:tcPr>
            <w:tcW w:w="42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1,857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1,687</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5,383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4,379</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Schlumberger recorded pretax charges of $32 million ($20 million in the US and $12 million outside of the US) during the third quarter of 2012 and pretax charges of $26 million during the third quarter of 2011 ($22 million in the US and $4 million outside of the US).</w:t>
      </w:r>
    </w:p>
    <w:p>
      <w:pPr>
        <w:spacing w:after="0" w:line="13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Schlumberger recorded pretax charges of $68 million during the nine months ended September 30, 2012 ($41 million in the US and $27 million outside of the US) and pretax charges of $141 million during the nine months ended September 30, 2011 ($90 million in the US and $51 million outside of the US).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These charges are included in the table above and are more fully described in Note 2—</w:t>
      </w:r>
      <w:r>
        <w:rPr>
          <w:rFonts w:ascii="Arial" w:cs="Arial" w:eastAsia="Arial" w:hAnsi="Arial"/>
          <w:sz w:val="18"/>
          <w:szCs w:val="18"/>
          <w:i w:val="1"/>
          <w:iCs w:val="1"/>
          <w:color w:val="auto"/>
        </w:rPr>
        <w:t>Charges and credits.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83"/>
              </w:rPr>
              <w:t>Sept. 30,</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7"/>
        </w:trPr>
        <w:tc>
          <w:tcPr>
            <w:tcW w:w="4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3"/>
          </w:tcPr>
          <w:p>
            <w:pPr>
              <w:jc w:val="right"/>
              <w:ind w:right="160"/>
              <w:spacing w:after="0" w:line="147"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1"/>
        </w:trPr>
        <w:tc>
          <w:tcPr>
            <w:tcW w:w="46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6"/>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benefits, net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Intangible assets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7"/>
              </w:rPr>
              <w:t>(1,490)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(1,498)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non-US subsidiaries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Other, net</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(1,297)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(1,275)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above deferred tax balances at September 30, 2012 and December 31, 2011 were net of valuation allowances relating to net operating losses in certain countries of $256 million and $239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59"/>
        </w:trPr>
        <w:tc>
          <w:tcPr>
            <w:tcW w:w="6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spacing w:after="0" w:line="159" w:lineRule="exact"/>
              <w:rPr>
                <w:sz w:val="20"/>
                <w:szCs w:val="20"/>
                <w:color w:val="auto"/>
              </w:rPr>
            </w:pPr>
            <w:r>
              <w:rPr>
                <w:rFonts w:ascii="Arial" w:cs="Arial" w:eastAsia="Arial" w:hAnsi="Arial"/>
                <w:sz w:val="14"/>
                <w:szCs w:val="14"/>
                <w:color w:val="auto"/>
              </w:rPr>
              <w:t>Third Quarter</w:t>
            </w:r>
          </w:p>
        </w:tc>
        <w:tc>
          <w:tcPr>
            <w:tcW w:w="38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ind w:right="60"/>
              <w:spacing w:after="0" w:line="159" w:lineRule="exact"/>
              <w:rPr>
                <w:sz w:val="20"/>
                <w:szCs w:val="20"/>
                <w:color w:val="auto"/>
              </w:rPr>
            </w:pPr>
            <w:r>
              <w:rPr>
                <w:rFonts w:ascii="Arial" w:cs="Arial" w:eastAsia="Arial" w:hAnsi="Arial"/>
                <w:sz w:val="14"/>
                <w:szCs w:val="14"/>
                <w:color w:val="auto"/>
              </w:rPr>
              <w:t>Nine Months</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3"/>
              </w:rPr>
              <w:t>2011</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United States—Federal</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4"/>
              </w:rPr>
              <w:t>1,374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1,006</w:t>
            </w:r>
          </w:p>
        </w:tc>
        <w:tc>
          <w:tcPr>
            <w:tcW w:w="0" w:type="dxa"/>
            <w:vAlign w:val="bottom"/>
          </w:tcPr>
          <w:p>
            <w:pPr>
              <w:spacing w:after="0"/>
              <w:rPr>
                <w:sz w:val="1"/>
                <w:szCs w:val="1"/>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States—Federal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United States—State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398</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1,287</w:t>
            </w:r>
          </w:p>
        </w:tc>
        <w:tc>
          <w:tcPr>
            <w:tcW w:w="100" w:type="dxa"/>
            <w:vAlign w:val="bottom"/>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1,051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900" w:type="dxa"/>
            <w:vAlign w:val="bottom"/>
            <w:gridSpan w:val="4"/>
          </w:tcPr>
          <w:p>
            <w:pPr>
              <w:jc w:val="right"/>
              <w:ind w:right="900"/>
              <w:spacing w:after="0"/>
              <w:rPr>
                <w:sz w:val="20"/>
                <w:szCs w:val="20"/>
                <w:color w:val="auto"/>
              </w:rPr>
            </w:pPr>
            <w:r>
              <w:rPr>
                <w:rFonts w:ascii="Arial" w:cs="Arial" w:eastAsia="Arial" w:hAnsi="Arial"/>
                <w:sz w:val="14"/>
                <w:szCs w:val="14"/>
                <w:color w:val="auto"/>
              </w:rPr>
              <w:t>Third Quarter</w:t>
            </w:r>
          </w:p>
        </w:tc>
        <w:tc>
          <w:tcPr>
            <w:tcW w:w="1480" w:type="dxa"/>
            <w:vAlign w:val="bottom"/>
            <w:gridSpan w:val="4"/>
          </w:tcPr>
          <w:p>
            <w:pPr>
              <w:jc w:val="right"/>
              <w:ind w:right="480"/>
              <w:spacing w:after="0"/>
              <w:rPr>
                <w:sz w:val="20"/>
                <w:szCs w:val="20"/>
                <w:color w:val="auto"/>
              </w:rPr>
            </w:pPr>
            <w:r>
              <w:rPr>
                <w:rFonts w:ascii="Arial" w:cs="Arial" w:eastAsia="Arial" w:hAnsi="Arial"/>
                <w:sz w:val="14"/>
                <w:szCs w:val="14"/>
                <w:color w:val="auto"/>
              </w:rPr>
              <w:t>Nine Months</w:t>
            </w:r>
          </w:p>
        </w:tc>
      </w:tr>
      <w:tr>
        <w:trPr>
          <w:trHeight w:val="142"/>
        </w:trPr>
        <w:tc>
          <w:tcPr>
            <w:tcW w:w="71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6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2011</w:t>
            </w:r>
          </w:p>
        </w:tc>
        <w:tc>
          <w:tcPr>
            <w:tcW w:w="6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6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rate</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35%</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US state income taxes</w:t>
            </w:r>
          </w:p>
        </w:tc>
        <w:tc>
          <w:tcPr>
            <w:tcW w:w="9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Non-US income taxed at different rates</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jc w:val="right"/>
              <w:ind w:right="18"/>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27"/>
        </w:trPr>
        <w:tc>
          <w:tcPr>
            <w:tcW w:w="7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24%</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0"/>
        </w:trPr>
        <w:tc>
          <w:tcPr>
            <w:tcW w:w="7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96"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In October 2012, Schlumberger was advised by the DOJ that it has closed its inquiry as it relates to Schlumberger.</w:t>
      </w:r>
    </w:p>
    <w:p>
      <w:pPr>
        <w:spacing w:after="0" w:line="88"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Also in 2009, prior to being acquired by Schlumberger, Smith received an administrative subpoena with respect to its historical business practices in certain countries that are subject to United States trade and economic sanctions. Schlumberger is cooperating with the governmental authorities.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On April 20, 2010, a fire and explosion occurred onboard the semisubmersible drilling rig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owned by Transocean Ltd. and under contract to a subsidiary of BP plc. Pursuant to a contract between M-I SWACO and BP, M-I SWACO provided certain services under the direction of BP. A number of legal actions, certain of which name an M-I SWACO entity as a defendant, have been filed in connection with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incident, and additional legal actions may be filed in the future. Based on information currently known, the amount of any potential loss attributable to M-I SWACO with respect to potential liabilities related to the incident would not be material to Schlumberger’s consolidated financial statements.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is remote. However, litigation is inherently uncertain and it is not possible to predict the ultimate disposition of these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Segment Information</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rPr>
              <w:t>Third Quarter 2012</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6"/>
            <w:vMerge w:val="continue"/>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6"/>
          </w:tcPr>
          <w:p>
            <w:pPr>
              <w:ind w:left="260"/>
              <w:spacing w:after="0" w:line="159" w:lineRule="exact"/>
              <w:rPr>
                <w:sz w:val="20"/>
                <w:szCs w:val="20"/>
                <w:color w:val="auto"/>
              </w:rPr>
            </w:pPr>
            <w:r>
              <w:rPr>
                <w:rFonts w:ascii="Arial" w:cs="Arial" w:eastAsia="Arial" w:hAnsi="Arial"/>
                <w:sz w:val="14"/>
                <w:szCs w:val="14"/>
                <w:color w:val="auto"/>
              </w:rPr>
              <w:t>Third Quarter 2011</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before</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before</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8"/>
              </w:rPr>
              <w:t>taxes</w:t>
            </w:r>
          </w:p>
        </w:tc>
        <w:tc>
          <w:tcPr>
            <w:tcW w:w="2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auto"/>
                <w:w w:val="89"/>
              </w:rPr>
              <w:t>Revenue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2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2,910</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838</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$2,488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Drilling </w:t>
            </w:r>
            <w:r>
              <w:rPr>
                <w:rFonts w:ascii="Arial" w:cs="Arial" w:eastAsia="Arial" w:hAnsi="Arial"/>
                <w:sz w:val="11"/>
                <w:szCs w:val="11"/>
                <w:color w:val="auto"/>
              </w:rPr>
              <w:t>(1)</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733</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3,576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 xml:space="preserve">Production </w:t>
            </w:r>
            <w:r>
              <w:rPr>
                <w:rFonts w:ascii="Arial" w:cs="Arial" w:eastAsia="Arial" w:hAnsi="Arial"/>
                <w:sz w:val="11"/>
                <w:szCs w:val="11"/>
                <w:color w:val="auto"/>
              </w:rPr>
              <w:t>(1)</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3,675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548</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3,473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10,608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(176)</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(3)</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color w:val="auto"/>
              </w:rPr>
              <w:t>(see Note 2)</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w:t>
            </w:r>
          </w:p>
        </w:tc>
        <w:tc>
          <w:tcPr>
            <w:tcW w:w="22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10,608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8"/>
              </w:rPr>
              <w:t>1,857</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9,546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1,687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20" w:hanging="452"/>
        <w:spacing w:after="0" w:line="228" w:lineRule="auto"/>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Effective January 1, 2012, a component of the Drilling Group has been reallocated to the Production Group. Historical segment information has been reclassified to conform to this new presentation.</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Excludes interest income included in the segment results ($- million in 2012; $1 million in 2011).</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Excludes interest expense included in the segment results ($3 million in 2012; $1 million in 2011).</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Nine Months 2012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ind w:left="240"/>
              <w:spacing w:after="0" w:line="159" w:lineRule="exact"/>
              <w:rPr>
                <w:sz w:val="20"/>
                <w:szCs w:val="20"/>
                <w:color w:val="auto"/>
              </w:rPr>
            </w:pPr>
            <w:r>
              <w:rPr>
                <w:rFonts w:ascii="Arial" w:cs="Arial" w:eastAsia="Arial" w:hAnsi="Arial"/>
                <w:sz w:val="14"/>
                <w:szCs w:val="14"/>
                <w:color w:val="auto"/>
              </w:rPr>
              <w:t>Nine Months 2011</w:t>
            </w: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before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before</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9"/>
              </w:rPr>
              <w:t>Revenue</w:t>
            </w: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taxes</w:t>
            </w:r>
          </w:p>
        </w:tc>
        <w:tc>
          <w:tcPr>
            <w:tcW w:w="600" w:type="dxa"/>
            <w:vAlign w:val="bottom"/>
            <w:gridSpan w:val="3"/>
          </w:tcPr>
          <w:p>
            <w:pPr>
              <w:ind w:left="40"/>
              <w:spacing w:after="0"/>
              <w:rPr>
                <w:sz w:val="20"/>
                <w:szCs w:val="20"/>
                <w:color w:val="auto"/>
              </w:rPr>
            </w:pPr>
            <w:r>
              <w:rPr>
                <w:rFonts w:ascii="Arial" w:cs="Arial" w:eastAsia="Arial" w:hAnsi="Arial"/>
                <w:sz w:val="14"/>
                <w:szCs w:val="14"/>
                <w:color w:val="auto"/>
                <w:w w:val="96"/>
              </w:rPr>
              <w:t>Revenue</w:t>
            </w:r>
          </w:p>
        </w:tc>
        <w:tc>
          <w:tcPr>
            <w:tcW w:w="56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2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8,274</w:t>
            </w:r>
          </w:p>
        </w:tc>
        <w:tc>
          <w:tcPr>
            <w:tcW w:w="5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87"/>
              </w:rPr>
              <w:t>$2,295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7,142</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Drilling </w:t>
            </w:r>
            <w:r>
              <w:rPr>
                <w:rFonts w:ascii="Arial" w:cs="Arial" w:eastAsia="Arial" w:hAnsi="Arial"/>
                <w:sz w:val="11"/>
                <w:szCs w:val="11"/>
                <w:color w:val="auto"/>
              </w:rPr>
              <w:t>(1)</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11,834</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2,128</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10,055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 xml:space="preserve">Production </w:t>
            </w:r>
            <w:r>
              <w:rPr>
                <w:rFonts w:ascii="Arial" w:cs="Arial" w:eastAsia="Arial" w:hAnsi="Arial"/>
                <w:sz w:val="11"/>
                <w:szCs w:val="11"/>
                <w:color w:val="auto"/>
              </w:rPr>
              <w:t>(1)</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10,951</w:t>
            </w:r>
          </w:p>
        </w:tc>
        <w:tc>
          <w:tcPr>
            <w:tcW w:w="5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1,781</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9,433</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(85)</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30,974</w:t>
            </w:r>
          </w:p>
        </w:tc>
        <w:tc>
          <w:tcPr>
            <w:tcW w:w="5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6,184</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26,658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(516)</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(3)</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(241)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color w:val="auto"/>
              </w:rPr>
              <w:t>(see Note 2)</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(68)</w:t>
            </w:r>
          </w:p>
        </w:tc>
        <w:tc>
          <w:tcPr>
            <w:tcW w:w="8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30,974</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5,383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26,658</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20" w:hanging="452"/>
        <w:spacing w:after="0" w:line="228"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Effective January 1, 2012, a component of the Drilling Group has been reallocated to the Production Group. Historical segment information has been reclassified to conform to this new presentation.</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Excludes interest income included in the segment results ($- million in 2012; $1 million in 2011).</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Excludes interest expense included in the segment results ($5 million in 2012; $4 million in 2011).</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24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r>
      <w:tr>
        <w:trPr>
          <w:trHeight w:val="159"/>
        </w:trPr>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400"/>
              <w:spacing w:after="0" w:line="159" w:lineRule="exact"/>
              <w:rPr>
                <w:sz w:val="20"/>
                <w:szCs w:val="20"/>
                <w:color w:val="auto"/>
              </w:rPr>
            </w:pPr>
            <w:r>
              <w:rPr>
                <w:rFonts w:ascii="Arial" w:cs="Arial" w:eastAsia="Arial" w:hAnsi="Arial"/>
                <w:sz w:val="14"/>
                <w:szCs w:val="14"/>
                <w:color w:val="auto"/>
              </w:rPr>
              <w:t>Third Quarter</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jc w:val="right"/>
              <w:ind w:right="520"/>
              <w:spacing w:after="0" w:line="159" w:lineRule="exact"/>
              <w:rPr>
                <w:sz w:val="20"/>
                <w:szCs w:val="20"/>
                <w:color w:val="auto"/>
              </w:rPr>
            </w:pPr>
            <w:r>
              <w:rPr>
                <w:rFonts w:ascii="Arial" w:cs="Arial" w:eastAsia="Arial" w:hAnsi="Arial"/>
                <w:sz w:val="14"/>
                <w:szCs w:val="14"/>
                <w:color w:val="auto"/>
              </w:rPr>
              <w:t>Nine Months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2011</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300" w:type="dxa"/>
            <w:vAlign w:val="bottom"/>
          </w:tcPr>
          <w:p>
            <w:pPr>
              <w:spacing w:after="0"/>
              <w:rPr>
                <w:sz w:val="12"/>
                <w:szCs w:val="12"/>
                <w:color w:val="auto"/>
              </w:rPr>
            </w:pPr>
          </w:p>
        </w:tc>
        <w:tc>
          <w:tcPr>
            <w:tcW w:w="62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US</w:t>
            </w:r>
          </w:p>
        </w:tc>
        <w:tc>
          <w:tcPr>
            <w:tcW w:w="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Int’l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2"/>
              </w:rPr>
              <w:t>US</w:t>
            </w: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w w:val="92"/>
              </w:rPr>
              <w:t>US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15"/>
              <w:spacing w:after="0" w:line="142" w:lineRule="exact"/>
              <w:rPr>
                <w:sz w:val="20"/>
                <w:szCs w:val="20"/>
                <w:color w:val="auto"/>
              </w:rPr>
            </w:pPr>
            <w:r>
              <w:rPr>
                <w:rFonts w:ascii="Arial" w:cs="Arial" w:eastAsia="Arial" w:hAnsi="Arial"/>
                <w:sz w:val="14"/>
                <w:szCs w:val="14"/>
                <w:color w:val="auto"/>
              </w:rPr>
              <w:t>Int’l</w:t>
            </w:r>
          </w:p>
        </w:tc>
        <w:tc>
          <w:tcPr>
            <w:tcW w:w="100" w:type="dxa"/>
            <w:vAlign w:val="bottom"/>
          </w:tcPr>
          <w:p>
            <w:pPr>
              <w:spacing w:after="0"/>
              <w:rPr>
                <w:sz w:val="12"/>
                <w:szCs w:val="12"/>
                <w:color w:val="auto"/>
              </w:rPr>
            </w:pP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cost—benefits earned during period</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$ 17</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$ 21</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3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(82)</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5"/>
              </w:rPr>
              <w:t>(139)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(242)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$ 38</w:t>
            </w:r>
          </w:p>
        </w:tc>
        <w:tc>
          <w:tcPr>
            <w:tcW w:w="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1"/>
              </w:rPr>
              <w:t>$ 53</w:t>
            </w:r>
          </w:p>
        </w:tc>
        <w:tc>
          <w:tcPr>
            <w:tcW w:w="30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$ 35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$ 39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107</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c>
          <w:tcPr>
            <w:tcW w:w="3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7"/>
              </w:rPr>
              <w:t>(Stated in millions)</w:t>
            </w:r>
          </w:p>
        </w:tc>
      </w:tr>
      <w:tr>
        <w:trPr>
          <w:trHeight w:val="149"/>
        </w:trPr>
        <w:tc>
          <w:tcPr>
            <w:tcW w:w="7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gridSpan w:val="6"/>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Third Quarter</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6"/>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Nine Months</w:t>
            </w:r>
          </w:p>
        </w:tc>
      </w:tr>
      <w:tr>
        <w:trPr>
          <w:trHeight w:val="142"/>
        </w:trPr>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2011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2"/>
                <w:szCs w:val="12"/>
                <w:color w:val="auto"/>
              </w:rPr>
            </w:pPr>
          </w:p>
        </w:tc>
      </w:tr>
      <w:tr>
        <w:trPr>
          <w:trHeight w:val="210"/>
        </w:trPr>
        <w:tc>
          <w:tcPr>
            <w:tcW w:w="7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cost—benefits earned during period</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23"/>
        </w:trPr>
        <w:tc>
          <w:tcPr>
            <w:tcW w:w="7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the second quarter of 2012, Schlumberger sold its Wilson distribution business to National Oilwell Varco Inc. (“NOV”) for $906 million in cash. A pretax gain of $137 million ($16 million after-tax) was recognized in connection with this transaction.</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July 2012, Schlumberger completed the sale of its 56% interest in CE Franklin Ltd. to NOV for $122 million in cash. A pretax gain of $30 million ($12 million after-tax) was recognized in connection with this transaction.</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As Wilson and CE Franklin comprised Schlumberger’s Distribution segment, the results of this entire segment have been classified as discontinued operations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During the second quarter of 2011, Schlumberger completed the divestiture of its Global Connectivity Services business for approximately $385 million in cash. An after-tax gain of $220 million was recognized in connection with this transaction, and is classified in </w:t>
      </w:r>
      <w:r>
        <w:rPr>
          <w:rFonts w:ascii="Arial" w:cs="Arial" w:eastAsia="Arial" w:hAnsi="Arial"/>
          <w:sz w:val="18"/>
          <w:szCs w:val="18"/>
          <w:i w:val="1"/>
          <w:iCs w:val="1"/>
          <w:color w:val="auto"/>
        </w:rPr>
        <w:t>Income from 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 The historical results of this business were not significant to Schlumberger’s consolidated financial statements and, as such, have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reclassified to discontinued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these discontinued operations (in millions):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Third Quarter</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right"/>
              <w:ind w:right="44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5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2011</w:t>
            </w:r>
          </w:p>
        </w:tc>
        <w:tc>
          <w:tcPr>
            <w:tcW w:w="5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683</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Income before taxes</w:t>
            </w:r>
          </w:p>
        </w:tc>
        <w:tc>
          <w:tcPr>
            <w:tcW w:w="2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vMerge w:val="continue"/>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center"/>
              <w:spacing w:after="0"/>
              <w:rPr>
                <w:sz w:val="20"/>
                <w:szCs w:val="20"/>
                <w:color w:val="auto"/>
              </w:rPr>
            </w:pPr>
            <w:r>
              <w:rPr>
                <w:rFonts w:ascii="Arial" w:cs="Arial" w:eastAsia="Arial" w:hAnsi="Arial"/>
                <w:sz w:val="18"/>
                <w:szCs w:val="18"/>
                <w:b w:val="1"/>
                <w:bCs w:val="1"/>
                <w:color w:val="auto"/>
                <w:w w:val="88"/>
              </w:rPr>
              <w:t>—</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88"/>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Gain on divestitures, net of tax</w:t>
            </w:r>
          </w:p>
        </w:tc>
        <w:tc>
          <w:tcPr>
            <w:tcW w:w="2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8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80" w:type="dxa"/>
            <w:vAlign w:val="bottom"/>
            <w:vMerge w:val="restart"/>
          </w:tcPr>
          <w:p>
            <w:pPr>
              <w:jc w:val="right"/>
              <w:ind w:right="1812"/>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Third Quarter 2012 Compared to Second Quarter 2012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9"/>
            <w:vMerge w:val="restart"/>
          </w:tcPr>
          <w:p>
            <w:pPr>
              <w:ind w:left="100"/>
              <w:spacing w:after="0"/>
              <w:rPr>
                <w:sz w:val="20"/>
                <w:szCs w:val="20"/>
                <w:color w:val="auto"/>
              </w:rPr>
            </w:pPr>
            <w:r>
              <w:rPr>
                <w:rFonts w:ascii="Arial" w:cs="Arial" w:eastAsia="Arial" w:hAnsi="Arial"/>
                <w:sz w:val="14"/>
                <w:szCs w:val="14"/>
                <w:b w:val="1"/>
                <w:bCs w:val="1"/>
                <w:color w:val="auto"/>
              </w:rPr>
              <w:t>Third Quarter 2012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9"/>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gridSpan w:val="6"/>
          </w:tcPr>
          <w:p>
            <w:pPr>
              <w:jc w:val="right"/>
              <w:ind w:right="660"/>
              <w:spacing w:after="0" w:line="159" w:lineRule="exact"/>
              <w:rPr>
                <w:sz w:val="20"/>
                <w:szCs w:val="20"/>
                <w:color w:val="auto"/>
              </w:rPr>
            </w:pPr>
            <w:r>
              <w:rPr>
                <w:rFonts w:ascii="Arial" w:cs="Arial" w:eastAsia="Arial" w:hAnsi="Arial"/>
                <w:sz w:val="14"/>
                <w:szCs w:val="14"/>
                <w:color w:val="auto"/>
                <w:w w:val="89"/>
              </w:rPr>
              <w:t>Second Quarter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7"/>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Before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4"/>
          </w:tcPr>
          <w:p>
            <w:pPr>
              <w:ind w:left="40"/>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0"/>
              </w:rPr>
              <w:t>Taxes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right"/>
              <w:ind w:right="400"/>
              <w:spacing w:after="0"/>
              <w:rPr>
                <w:sz w:val="20"/>
                <w:szCs w:val="20"/>
                <w:color w:val="auto"/>
              </w:rPr>
            </w:pPr>
            <w:r>
              <w:rPr>
                <w:rFonts w:ascii="Arial" w:cs="Arial" w:eastAsia="Arial" w:hAnsi="Arial"/>
                <w:sz w:val="14"/>
                <w:szCs w:val="14"/>
                <w:color w:val="auto"/>
                <w:w w:val="92"/>
              </w:rPr>
              <w:t>Revenue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78"/>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1740" w:type="dxa"/>
            <w:vAlign w:val="bottom"/>
            <w:gridSpan w:val="6"/>
          </w:tcPr>
          <w:p>
            <w:pPr>
              <w:jc w:val="right"/>
              <w:spacing w:after="0"/>
              <w:rPr>
                <w:sz w:val="20"/>
                <w:szCs w:val="20"/>
                <w:color w:val="auto"/>
              </w:rPr>
            </w:pPr>
            <w:r>
              <w:rPr>
                <w:rFonts w:ascii="Arial" w:cs="Arial" w:eastAsia="Arial" w:hAnsi="Arial"/>
                <w:sz w:val="18"/>
                <w:szCs w:val="18"/>
                <w:b w:val="1"/>
                <w:bCs w:val="1"/>
                <w:color w:val="auto"/>
              </w:rPr>
              <w:t>$ 2,910</w:t>
            </w:r>
          </w:p>
        </w:tc>
        <w:tc>
          <w:tcPr>
            <w:tcW w:w="3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838</w:t>
            </w:r>
          </w:p>
        </w:tc>
        <w:tc>
          <w:tcPr>
            <w:tcW w:w="3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2,778</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Drilling</w:t>
            </w:r>
          </w:p>
        </w:tc>
        <w:tc>
          <w:tcPr>
            <w:tcW w:w="174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4,048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4,001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Production</w:t>
            </w:r>
          </w:p>
        </w:tc>
        <w:tc>
          <w:tcPr>
            <w:tcW w:w="1740" w:type="dxa"/>
            <w:vAlign w:val="bottom"/>
            <w:gridSpan w:val="6"/>
          </w:tcPr>
          <w:p>
            <w:pPr>
              <w:jc w:val="right"/>
              <w:spacing w:after="0"/>
              <w:rPr>
                <w:sz w:val="20"/>
                <w:szCs w:val="20"/>
                <w:color w:val="auto"/>
              </w:rPr>
            </w:pPr>
            <w:r>
              <w:rPr>
                <w:rFonts w:ascii="Arial" w:cs="Arial" w:eastAsia="Arial" w:hAnsi="Arial"/>
                <w:sz w:val="18"/>
                <w:szCs w:val="18"/>
                <w:b w:val="1"/>
                <w:bCs w:val="1"/>
                <w:color w:val="auto"/>
              </w:rPr>
              <w:t>3,675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548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3,738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 &amp; other</w:t>
            </w:r>
          </w:p>
        </w:tc>
        <w:tc>
          <w:tcPr>
            <w:tcW w:w="1160" w:type="dxa"/>
            <w:vAlign w:val="bottom"/>
            <w:gridSpan w:val="3"/>
            <w:shd w:val="clear" w:color="auto" w:fill="CCEEFF"/>
          </w:tcPr>
          <w:p>
            <w:pPr>
              <w:spacing w:after="0"/>
              <w:rPr>
                <w:sz w:val="18"/>
                <w:szCs w:val="18"/>
                <w:color w:val="auto"/>
              </w:rPr>
            </w:pPr>
          </w:p>
        </w:tc>
        <w:tc>
          <w:tcPr>
            <w:tcW w:w="900" w:type="dxa"/>
            <w:vAlign w:val="bottom"/>
            <w:gridSpan w:val="4"/>
            <w:shd w:val="clear" w:color="auto" w:fill="CCEEFF"/>
          </w:tcPr>
          <w:p>
            <w:pPr>
              <w:ind w:left="360"/>
              <w:spacing w:after="0"/>
              <w:rPr>
                <w:sz w:val="20"/>
                <w:szCs w:val="20"/>
                <w:color w:val="auto"/>
              </w:rPr>
            </w:pPr>
            <w:r>
              <w:rPr>
                <w:rFonts w:ascii="Arial" w:cs="Arial" w:eastAsia="Arial" w:hAnsi="Arial"/>
                <w:sz w:val="18"/>
                <w:szCs w:val="18"/>
                <w:b w:val="1"/>
                <w:bCs w:val="1"/>
                <w:color w:val="auto"/>
              </w:rPr>
              <w:t>(25)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10,608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2,142</w:t>
            </w:r>
          </w:p>
        </w:tc>
        <w:tc>
          <w:tcPr>
            <w:tcW w:w="3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w w:val="83"/>
              </w:rPr>
              <w:t>10,448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10,608</w:t>
            </w:r>
          </w:p>
        </w:tc>
        <w:tc>
          <w:tcPr>
            <w:tcW w:w="3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1,857</w:t>
            </w:r>
          </w:p>
        </w:tc>
        <w:tc>
          <w:tcPr>
            <w:tcW w:w="30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10,448</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6"/>
              </w:rPr>
              <w:t>Geographic Areas</w:t>
            </w:r>
          </w:p>
        </w:tc>
        <w:tc>
          <w:tcPr>
            <w:tcW w:w="7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7"/>
            <w:vMerge w:val="restart"/>
          </w:tcPr>
          <w:p>
            <w:pPr>
              <w:ind w:left="180"/>
              <w:spacing w:after="0"/>
              <w:rPr>
                <w:sz w:val="20"/>
                <w:szCs w:val="20"/>
                <w:color w:val="auto"/>
              </w:rPr>
            </w:pPr>
            <w:r>
              <w:rPr>
                <w:rFonts w:ascii="Arial" w:cs="Arial" w:eastAsia="Arial" w:hAnsi="Arial"/>
                <w:sz w:val="14"/>
                <w:szCs w:val="14"/>
                <w:b w:val="1"/>
                <w:bCs w:val="1"/>
                <w:color w:val="auto"/>
                <w:w w:val="89"/>
              </w:rPr>
              <w:t>Third Quarter 2012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7"/>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gridSpan w:val="6"/>
          </w:tcPr>
          <w:p>
            <w:pPr>
              <w:jc w:val="right"/>
              <w:ind w:right="700"/>
              <w:spacing w:after="0" w:line="159" w:lineRule="exact"/>
              <w:rPr>
                <w:sz w:val="20"/>
                <w:szCs w:val="20"/>
                <w:color w:val="auto"/>
              </w:rPr>
            </w:pPr>
            <w:r>
              <w:rPr>
                <w:rFonts w:ascii="Arial" w:cs="Arial" w:eastAsia="Arial" w:hAnsi="Arial"/>
                <w:sz w:val="14"/>
                <w:szCs w:val="14"/>
                <w:color w:val="auto"/>
                <w:w w:val="86"/>
              </w:rPr>
              <w:t>Second Quarter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7"/>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Before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0"/>
              </w:rPr>
              <w:t>Taxes</w:t>
            </w:r>
          </w:p>
        </w:tc>
        <w:tc>
          <w:tcPr>
            <w:tcW w:w="260" w:type="dxa"/>
            <w:vAlign w:val="bottom"/>
          </w:tcPr>
          <w:p>
            <w:pPr>
              <w:spacing w:after="0"/>
              <w:rPr>
                <w:sz w:val="14"/>
                <w:szCs w:val="14"/>
                <w:color w:val="auto"/>
              </w:rPr>
            </w:pPr>
          </w:p>
        </w:tc>
        <w:tc>
          <w:tcPr>
            <w:tcW w:w="1020" w:type="dxa"/>
            <w:vAlign w:val="bottom"/>
            <w:gridSpan w:val="5"/>
          </w:tcPr>
          <w:p>
            <w:pPr>
              <w:jc w:val="right"/>
              <w:ind w:right="500"/>
              <w:spacing w:after="0"/>
              <w:rPr>
                <w:sz w:val="20"/>
                <w:szCs w:val="20"/>
                <w:color w:val="auto"/>
              </w:rPr>
            </w:pPr>
            <w:r>
              <w:rPr>
                <w:rFonts w:ascii="Arial" w:cs="Arial" w:eastAsia="Arial" w:hAnsi="Arial"/>
                <w:sz w:val="14"/>
                <w:szCs w:val="14"/>
                <w:color w:val="auto"/>
                <w:w w:val="89"/>
              </w:rPr>
              <w:t>Revenue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78"/>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1580" w:type="dxa"/>
            <w:vAlign w:val="bottom"/>
            <w:gridSpan w:val="5"/>
          </w:tcPr>
          <w:p>
            <w:pPr>
              <w:jc w:val="right"/>
              <w:spacing w:after="0"/>
              <w:rPr>
                <w:sz w:val="20"/>
                <w:szCs w:val="20"/>
                <w:color w:val="auto"/>
              </w:rPr>
            </w:pPr>
            <w:r>
              <w:rPr>
                <w:rFonts w:ascii="Arial" w:cs="Arial" w:eastAsia="Arial" w:hAnsi="Arial"/>
                <w:sz w:val="18"/>
                <w:szCs w:val="18"/>
                <w:b w:val="1"/>
                <w:bCs w:val="1"/>
                <w:color w:val="auto"/>
              </w:rPr>
              <w:t>$ 3,290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610</w:t>
            </w:r>
          </w:p>
        </w:tc>
        <w:tc>
          <w:tcPr>
            <w:tcW w:w="300" w:type="dxa"/>
            <w:vAlign w:val="bottom"/>
          </w:tcPr>
          <w:p>
            <w:pPr>
              <w:spacing w:after="0"/>
              <w:rPr>
                <w:sz w:val="18"/>
                <w:szCs w:val="18"/>
                <w:color w:val="auto"/>
              </w:rPr>
            </w:pPr>
          </w:p>
        </w:tc>
        <w:tc>
          <w:tcPr>
            <w:tcW w:w="4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3,367</w:t>
            </w:r>
          </w:p>
        </w:tc>
        <w:tc>
          <w:tcPr>
            <w:tcW w:w="36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5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1,860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4"/>
              </w:rPr>
              <w:t>1,857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1580" w:type="dxa"/>
            <w:vAlign w:val="bottom"/>
            <w:gridSpan w:val="5"/>
          </w:tcPr>
          <w:p>
            <w:pPr>
              <w:jc w:val="right"/>
              <w:spacing w:after="0"/>
              <w:rPr>
                <w:sz w:val="20"/>
                <w:szCs w:val="20"/>
                <w:color w:val="auto"/>
              </w:rPr>
            </w:pPr>
            <w:r>
              <w:rPr>
                <w:rFonts w:ascii="Arial" w:cs="Arial" w:eastAsia="Arial" w:hAnsi="Arial"/>
                <w:sz w:val="18"/>
                <w:szCs w:val="18"/>
                <w:b w:val="1"/>
                <w:bCs w:val="1"/>
                <w:color w:val="auto"/>
              </w:rPr>
              <w:t>2,985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646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2,923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5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2,352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4"/>
              </w:rPr>
              <w:t>2,200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Eliminations &amp; other</w:t>
            </w:r>
          </w:p>
        </w:tc>
        <w:tc>
          <w:tcPr>
            <w:tcW w:w="1020" w:type="dxa"/>
            <w:vAlign w:val="bottom"/>
            <w:gridSpan w:val="2"/>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10,608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10,448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32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4"/>
          </w:tcPr>
          <w:p>
            <w:pPr>
              <w:ind w:left="1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(176)</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4"/>
          </w:tcPr>
          <w:p>
            <w:pPr>
              <w:ind w:left="1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10,608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1,857</w:t>
            </w:r>
          </w:p>
        </w:tc>
        <w:tc>
          <w:tcPr>
            <w:tcW w:w="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4"/>
          </w:tcPr>
          <w:p>
            <w:pPr>
              <w:jc w:val="right"/>
              <w:ind w:right="1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10,448</w:t>
            </w:r>
          </w:p>
        </w:tc>
        <w:tc>
          <w:tcPr>
            <w:tcW w:w="36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Excludes interest included in the Product Group and Geographical Area results.</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and credits described in detail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interest on postretirement medical benefits, stock-based compensation costs and amortization expense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recorded as a result of the acquisition of Smith International, Inc. (“Smith”).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Third-quarter revenue of $10.61 billion increased $160 million sequentially due to robust international activity. Sequentially, Reservoir Characterization Group revenue grew 5% to reach $2.9 billion while Drilling Group revenue of $4.0 billion was 1% higher. Production Group revenue declined 2% sequentially to $3.7 billion. Geographically, international revenue of $7.2 billion increased $217 million, or 3%, while North America revenue of $3.3 billion declined by $76 million, or 2%, sequentially.</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Reservoir Characterization Group revenue increased sequentially due to higher WesternGeco marine vessel utilization in the North Sea and the Kara Sea and improved UniQ* land seismic productivity in the Middle East region. Testing Services revenue increased strongly in exploration and development projects in Europe, Africa and the Latin America Area. Drilling Group revenue increased on robust international and offshore demand for Drilling &amp; Measurements services, mainly in the Middle East &amp; Asia Area. Drilling Tools &amp; Remedial Services also contributed to growth particularly through the addition of recently acquired CASING DRILLING™ and Radius services. The decline in Production Group revenue resulted primarily from Well Services in North America land where the oversupply of hydraulic horsepower continued to exert downward pricing pressure on sequentially flat activity. The lower revenue was partially offset by increased Well Intervention Services activity in the North Sea and Russia, and higher Completions product sales across the Areas, including the subsea project start-up in Russia.</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Among the Areas, Middle East &amp; Asia revenue of $2.4 billion grew 7% sequentially led by strong offshore activity in the Australasia GeoMarket; solid workover, development and exploration operations in the Saudi Arabia &amp; Bahrain GeoMarket; robust seismic and drilling activity in the Brunei, Malaysia &amp; Philippines GeoMarket; and higher drilling and stimulation work in the China, Japan &amp; Korea GeoMarket. In Europe/CIS/Africa, revenue of $3.0 billion increased 2% from strong seismic acquisition services for WesternGeco in the North Sea and the Kara Sea, robust onshore activity in Western Siberia, and continued exploration growth in East Africa. These increases were partially offset by local delays and rig start-ups in North Africa. In Latin America, revenue of $1.9 billion was flat sequentially as the contribution of the Schlumberger Production Management project in Ecuador was offset by local operational delays, mobilization activities, and a shift in activity mix in other GeoMarkets. North America revenue of $3.3 billion decreased 2% due to the muted Canadian seasonal recovery, the drop in US land rig count, the continued pricing weakness in the US land hydraulic fracturing market, and the activity shut-down associated with Hurricane Isaac in the US Gulf of Mexico.</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Third-quarter pretax operating income of $2.1 billion increased 2% sequentially. International pretax operating income of $1.5 billion increased 7% over the prior quarter while North America pretax operating income of $610 million declined 12% sequentially.</w:t>
      </w:r>
    </w:p>
    <w:p>
      <w:pPr>
        <w:spacing w:after="0" w:line="1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Pretax operating margin of 20.2% increased 11 basis points (bps) sequentially. International pretax operating margin of 21.5% expanded 73 bps sequentially due to strong results in the Middle East &amp; Asia and Europe/CIS/Africa Areas. In North America, pretax operating margin of 18.6% decreased 209 bps sequentially from the lower US land rig count and from lower pricing due to excess pressure pumping capacity. In addition, cost inflation for raw materials also continued to impact margins. By segment, Reservoir Characterization Group pretax operating margin reached 28.8% while the pretax operating margins of the Drilling and Production Groups were 18.1% and 14.9%,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Third-quarter revenue of $2.91 billion increased $133 million or 5% sequentially. Pretax operating income of $838 million was 7% higher than the second quarter.</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Sequentially, revenue increased from higher WesternGeco marine vessel utilization in the North Sea and the Kara Sea following the seasonal transits and dry-dockings of the second quarter, as well as from improved UniQ</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productivity in the Middle East region. Testing Services revenue growth was also strong on exploration and development projects in Europe, Africa and the Latin America Area. Wireline revenue was lower due to project delays in North Africa, operational interruptions in Norway and Colombia, and limited growth in the US Gulf of Mexico due to the activity shut-down associated with Hurricane Isaac. Schlumberger Information Solutions (SIS) software sales were also lower following strong results in the previous quarter.</w:t>
      </w:r>
    </w:p>
    <w:p>
      <w:pPr>
        <w:spacing w:after="0" w:line="143"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Pretax operating margin of 28.8% increased 58 bps over the second quarter. Sequential margin expansion was primarily due to higher WesternGeco asset utilization, improved pricing and a favorable mix of multiclient data sales. Testing Services margins expanded through technology mix in exploration and development projects. These improvements were, however, subdued by lower Wireline margins as a result of local factors that delayed and interrupted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Third-quarter revenue of $4.0 billion increased $47 million or 1% sequentially. Pretax operating income of $733 million was 1% lower sequentially.</w:t>
      </w:r>
    </w:p>
    <w:p>
      <w:pPr>
        <w:spacing w:after="0" w:line="1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Sequentially, revenue grew on robust international and offshore demand for Drilling &amp; Measurements services, mainly in the Middle East &amp; Asia Area. Drilling Tools &amp; Remedial Services also contributed to growth through the addition of CASING DRILLING and Radius services. Revenue for Bits &amp; Advanced Technologies products and services grew due to the seasonal rebound of activity in Canada, while Integrated Project Management saw increased activity on unconventional gas projects in the Australasia GeoMarket. M-I SWACO revenue fell as growth in China and Malaysia was more than offset by delayed operations in the Caspian region and lower activity in Norway and Denmark.</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margin of 18.1% decreased 34 bps sequentially. Among the Group Technologies, sequential margins expanded for Bits &amp; Advanced Technologies through higher drillbit sales but this effect was not enough to offset decreased M-I SWACO margins from lower revenue, an adverse mix of activity, and project start-up delays.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Third-quarter revenue of $3.7 billion declined $62 million or 2% sequentially. Pretax operating income of $548 million was 11% lower sequentially.</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Sequentially, revenue decreased primarily due to Well Services in North America land where the oversupply of hydraulic horsepower continued to exert downward pricing pressure on flat activity as a seasonal recovery in Canada was offset by a decline on land in the US. This decline was partially offset by increases in Well Services revenue in the Middle East &amp; Asia and Europe/CIS/Africa Areas, Well Intervention Services activity in the North Sea and Russia, and higher Completions product sales across all the Areas including the subsea project start-up in Russia.</w:t>
      </w:r>
    </w:p>
    <w:p>
      <w:pPr>
        <w:spacing w:after="0" w:line="113"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Pretax operating margin decreased 148 bps sequentially to 14.9%. The sequential decline was largely attributable to the drop in US land rig count and consequent lower pricing due to excess pressure pumping capacity. In addition, cost inflation for raw materials continued to impact margins. This was partially offset, however, by increased Completions margins through improved asset utilization, as well as by better activity mix for Well Intervention Services technologies.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Third Quarter 2012 Compared to Third Quarter 2011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8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Third Quarter 2012</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08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4"/>
          </w:tcPr>
          <w:p>
            <w:pPr>
              <w:jc w:val="right"/>
              <w:ind w:right="720"/>
              <w:spacing w:after="0" w:line="159" w:lineRule="exact"/>
              <w:rPr>
                <w:sz w:val="20"/>
                <w:szCs w:val="20"/>
                <w:color w:val="auto"/>
              </w:rPr>
            </w:pPr>
            <w:r>
              <w:rPr>
                <w:rFonts w:ascii="Arial" w:cs="Arial" w:eastAsia="Arial" w:hAnsi="Arial"/>
                <w:sz w:val="14"/>
                <w:szCs w:val="14"/>
                <w:color w:val="auto"/>
                <w:w w:val="91"/>
              </w:rPr>
              <w:t>Third Quarter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7"/>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Before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w:t>
            </w: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0"/>
              </w:rPr>
              <w:t>Taxes</w:t>
            </w:r>
          </w:p>
        </w:tc>
        <w:tc>
          <w:tcPr>
            <w:tcW w:w="3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Revenue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78"/>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$ 2,910</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838</w:t>
            </w:r>
          </w:p>
        </w:tc>
        <w:tc>
          <w:tcPr>
            <w:tcW w:w="3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$2,488</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Drilling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4,048</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w:t>
            </w: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3,576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Production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3,675</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548</w:t>
            </w:r>
          </w:p>
        </w:tc>
        <w:tc>
          <w:tcPr>
            <w:tcW w:w="3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3,473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 &amp; other</w:t>
            </w:r>
          </w:p>
        </w:tc>
        <w:tc>
          <w:tcPr>
            <w:tcW w:w="12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10,608</w:t>
            </w: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2,142</w:t>
            </w:r>
          </w:p>
        </w:tc>
        <w:tc>
          <w:tcPr>
            <w:tcW w:w="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9,546</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(176)</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(85)</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(32)</w:t>
            </w:r>
          </w:p>
        </w:tc>
        <w:tc>
          <w:tcPr>
            <w:tcW w:w="3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10,608</w:t>
            </w:r>
          </w:p>
        </w:tc>
        <w:tc>
          <w:tcPr>
            <w:tcW w:w="11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1,857</w:t>
            </w:r>
          </w:p>
        </w:tc>
        <w:tc>
          <w:tcPr>
            <w:tcW w:w="3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9,546</w:t>
            </w:r>
          </w:p>
        </w:tc>
        <w:tc>
          <w:tcPr>
            <w:tcW w:w="880" w:type="dxa"/>
            <w:vAlign w:val="bottom"/>
            <w:gridSpan w:val="2"/>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86"/>
              </w:rPr>
              <w:t>Geographic Areas</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5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Third Quarter 2012</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5"/>
            <w:vMerge w:val="continue"/>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4"/>
          </w:tcPr>
          <w:p>
            <w:pPr>
              <w:jc w:val="right"/>
              <w:ind w:right="720"/>
              <w:spacing w:after="0" w:line="159" w:lineRule="exact"/>
              <w:rPr>
                <w:sz w:val="20"/>
                <w:szCs w:val="20"/>
                <w:color w:val="auto"/>
              </w:rPr>
            </w:pPr>
            <w:r>
              <w:rPr>
                <w:rFonts w:ascii="Arial" w:cs="Arial" w:eastAsia="Arial" w:hAnsi="Arial"/>
                <w:sz w:val="14"/>
                <w:szCs w:val="14"/>
                <w:color w:val="auto"/>
                <w:w w:val="91"/>
              </w:rPr>
              <w:t>Third Quarter 2011</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6"/>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Before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9"/>
              </w:rPr>
              <w:t>Revenue</w:t>
            </w:r>
          </w:p>
        </w:tc>
        <w:tc>
          <w:tcPr>
            <w:tcW w:w="66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0"/>
              </w:rPr>
              <w:t>Taxes</w:t>
            </w:r>
          </w:p>
        </w:tc>
        <w:tc>
          <w:tcPr>
            <w:tcW w:w="3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Revenue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78"/>
              </w:rPr>
              <w:t>Taxes</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North America</w:t>
            </w:r>
          </w:p>
        </w:tc>
        <w:tc>
          <w:tcPr>
            <w:tcW w:w="1660" w:type="dxa"/>
            <w:vAlign w:val="bottom"/>
            <w:gridSpan w:val="4"/>
          </w:tcPr>
          <w:p>
            <w:pPr>
              <w:jc w:val="right"/>
              <w:spacing w:after="0"/>
              <w:rPr>
                <w:sz w:val="20"/>
                <w:szCs w:val="20"/>
                <w:color w:val="auto"/>
              </w:rPr>
            </w:pPr>
            <w:r>
              <w:rPr>
                <w:rFonts w:ascii="Arial" w:cs="Arial" w:eastAsia="Arial" w:hAnsi="Arial"/>
                <w:sz w:val="18"/>
                <w:szCs w:val="18"/>
                <w:b w:val="1"/>
                <w:bCs w:val="1"/>
                <w:color w:val="auto"/>
              </w:rPr>
              <w:t>$ 3,290</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  610</w:t>
            </w:r>
          </w:p>
        </w:tc>
        <w:tc>
          <w:tcPr>
            <w:tcW w:w="3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$3,316</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1,860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Europe/CIS/Africa</w:t>
            </w:r>
          </w:p>
        </w:tc>
        <w:tc>
          <w:tcPr>
            <w:tcW w:w="1660" w:type="dxa"/>
            <w:vAlign w:val="bottom"/>
            <w:gridSpan w:val="4"/>
          </w:tcPr>
          <w:p>
            <w:pPr>
              <w:jc w:val="right"/>
              <w:spacing w:after="0"/>
              <w:rPr>
                <w:sz w:val="20"/>
                <w:szCs w:val="20"/>
                <w:color w:val="auto"/>
              </w:rPr>
            </w:pPr>
            <w:r>
              <w:rPr>
                <w:rFonts w:ascii="Arial" w:cs="Arial" w:eastAsia="Arial" w:hAnsi="Arial"/>
                <w:sz w:val="18"/>
                <w:szCs w:val="18"/>
                <w:b w:val="1"/>
                <w:bCs w:val="1"/>
                <w:color w:val="auto"/>
              </w:rPr>
              <w:t>2,985</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646</w:t>
            </w:r>
          </w:p>
        </w:tc>
        <w:tc>
          <w:tcPr>
            <w:tcW w:w="3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2,471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2,352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Eliminations &amp; other</w:t>
            </w:r>
          </w:p>
        </w:tc>
        <w:tc>
          <w:tcPr>
            <w:tcW w:w="10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10,608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322"/>
        </w:trPr>
        <w:tc>
          <w:tcPr>
            <w:tcW w:w="4580" w:type="dxa"/>
            <w:vAlign w:val="bottom"/>
          </w:tcPr>
          <w:p>
            <w:pPr>
              <w:spacing w:after="0"/>
              <w:rPr>
                <w:sz w:val="20"/>
                <w:szCs w:val="20"/>
                <w:color w:val="auto"/>
              </w:rPr>
            </w:pPr>
            <w:r>
              <w:rPr>
                <w:rFonts w:ascii="Arial" w:cs="Arial" w:eastAsia="Arial" w:hAnsi="Arial"/>
                <w:sz w:val="18"/>
                <w:szCs w:val="18"/>
                <w:b w:val="1"/>
                <w:bCs w:val="1"/>
                <w:color w:val="auto"/>
              </w:rPr>
              <w:t>Corporate &amp; other</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(176)</w:t>
            </w:r>
          </w:p>
        </w:tc>
        <w:tc>
          <w:tcPr>
            <w:tcW w:w="300" w:type="dxa"/>
            <w:vAlign w:val="bottom"/>
          </w:tcPr>
          <w:p>
            <w:pPr>
              <w:spacing w:after="0"/>
              <w:rPr>
                <w:sz w:val="24"/>
                <w:szCs w:val="2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(85)</w:t>
            </w:r>
          </w:p>
        </w:tc>
        <w:tc>
          <w:tcPr>
            <w:tcW w:w="3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10,608</w:t>
            </w: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1,857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9,546</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Excludes interest included in the Product Group and Geographical Area results.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Third-quarter 2012 revenue of $10.61 billion increased $1.1 billion or 11% from the same period last year largely due to robust international activity in Drilling &amp; Measurements, WesternGeco, M-I SWACO and Wireline. Geographically, the increase was led by the Europe/CIS/Africa Area (up 21%), mainly in Russia and central Asia, and in the Nigeria &amp; Gulf of Guinea, East Africa, North Sea and Angola GeoMarkets</w:t>
      </w:r>
      <w:r>
        <w:rPr>
          <w:rFonts w:ascii="Arial" w:cs="Arial" w:eastAsia="Arial" w:hAnsi="Arial"/>
          <w:sz w:val="16"/>
          <w:szCs w:val="16"/>
          <w:b w:val="1"/>
          <w:bCs w:val="1"/>
          <w:color w:val="auto"/>
        </w:rPr>
        <w:t>.</w:t>
      </w:r>
      <w:r>
        <w:rPr>
          <w:rFonts w:ascii="Arial" w:cs="Arial" w:eastAsia="Arial" w:hAnsi="Arial"/>
          <w:sz w:val="16"/>
          <w:szCs w:val="16"/>
          <w:color w:val="auto"/>
        </w:rPr>
        <w:t xml:space="preserve"> Middle East &amp; Asia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revenue increased 17% on strong land and offshore activity in the Saudi Arabia &amp; Bahrain; Australasia; China; and Brunei, Malaysia &amp; Philippines GeoMarkets. Latin America revenue was 12% higher, mainly in the Mexico &amp; Central America and Ecuador GeoMarkets driven by new Schlumberger Production Management and Integrated Project Management (IPM) projects. North America revenue was down 1% as the continued weakness in the hydraulic fracturing market was offset by the increase in offshore activity, particularly in the US Gulf of Mexico.</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Third-quarter 2012 pretax operating income of $2.1 billion increased 11% year-on-year as international pretax operating income of $1.5 billion increased 39% while North America pretax operating income of $610 million declined 27% year-on-year.</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Pretax operating margin remained essentially flat at 20.2% as international pretax operating margin increased 330 bps to reach 21.5% while North America pretax operating margin declined 669 bps to 18.6%. Europe/CIS/Africa posted a 534 bps improvement to reach 21.6% and similarly Middle East &amp; Asia reported a 207 bps increase to reach 24.2%. The North America margin decrease was due to Well Services technologies, as a result of pricing pressure and cost inflation.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Third-quarter 2012 revenue of $2.91 billion was 17% higher than the same period last year across all Technologies, led by strong growth in WesternGeco marine services and multiclient data sales, namely in the North Sea and Russia &amp; Central Asia; and robust activity in Wireline and Testing Services largely in the Middle East &amp; Asia and Europe/CIS/Africa Areas.</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Year-on-year, pretax operating margin increased 431 bps to 28.8% largely due to the higher-margin WesternGeco activity and exploration and development projects in Europe, Africa and the Latin America Area that benefited Testing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Third-quarter 2012 revenue of $4.05 billion was 13% higher than the previous year primarily due to the significantly improved exploration and development activities of Drilling &amp; Measurements, M-I SWACO, and the other Smith-related products and services in North America offshore and in the international markets.</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Year-on-year, pretax operating margin increased 121 bps to 18.1% primarily due to the increase in higher-margin activities of Drilling &amp; Measurements, M-I SWACO, Bits &amp; Advanced Technologies and Drilling Tools &amp; Remedial technologies—all of which benefited from higher-margin exploration activities in North America offshore and in the international markets mainly in the Europe/CIS/Africa and the Middle East &amp; Asia Areas.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Third-quarter 2012 revenue of $3.67 billion increased 6% year-on-year, particularly in the international markets. Completions, Well Intervention Services and Artificial Lift Technologies posted strong growth while Well Services declined due to continued weakness in the North America hydraulic fracturing market.</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Year-on-year, pretax operating margin decreased 572 bps to 14.9% mainly due to decline in margins for Well Services technologies, primarily in North America, as a result of pricing pressure and cost inflation.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u w:val="single" w:color="auto"/>
          <w:color w:val="auto"/>
        </w:rPr>
        <w:t>Nine Months 2012 Compared to Nine Months 2011</w:t>
      </w:r>
    </w:p>
    <w:p>
      <w:pPr>
        <w:spacing w:after="0" w:line="17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w w:val="92"/>
              </w:rPr>
              <w:t>Nine Months 2012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6"/>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gridSpan w:val="4"/>
          </w:tcPr>
          <w:p>
            <w:pPr>
              <w:jc w:val="right"/>
              <w:ind w:right="780"/>
              <w:spacing w:after="0" w:line="159" w:lineRule="exact"/>
              <w:rPr>
                <w:sz w:val="20"/>
                <w:szCs w:val="20"/>
                <w:color w:val="auto"/>
              </w:rPr>
            </w:pPr>
            <w:r>
              <w:rPr>
                <w:rFonts w:ascii="Arial" w:cs="Arial" w:eastAsia="Arial" w:hAnsi="Arial"/>
                <w:sz w:val="14"/>
                <w:szCs w:val="14"/>
                <w:color w:val="auto"/>
                <w:w w:val="91"/>
              </w:rPr>
              <w:t>Nine Months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7"/>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Before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0"/>
              </w:rPr>
              <w:t>Taxes</w:t>
            </w:r>
          </w:p>
        </w:tc>
        <w:tc>
          <w:tcPr>
            <w:tcW w:w="30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w w:val="89"/>
              </w:rPr>
              <w:t>Revenue</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78"/>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1660" w:type="dxa"/>
            <w:vAlign w:val="bottom"/>
            <w:gridSpan w:val="6"/>
          </w:tcPr>
          <w:p>
            <w:pPr>
              <w:jc w:val="right"/>
              <w:spacing w:after="0"/>
              <w:rPr>
                <w:sz w:val="20"/>
                <w:szCs w:val="20"/>
                <w:color w:val="auto"/>
              </w:rPr>
            </w:pPr>
            <w:r>
              <w:rPr>
                <w:rFonts w:ascii="Arial" w:cs="Arial" w:eastAsia="Arial" w:hAnsi="Arial"/>
                <w:sz w:val="18"/>
                <w:szCs w:val="18"/>
                <w:b w:val="1"/>
                <w:bCs w:val="1"/>
                <w:color w:val="auto"/>
              </w:rPr>
              <w:t>$ 8,274</w:t>
            </w:r>
          </w:p>
        </w:tc>
        <w:tc>
          <w:tcPr>
            <w:tcW w:w="3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$2,295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7,142</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Drilling</w:t>
            </w:r>
          </w:p>
        </w:tc>
        <w:tc>
          <w:tcPr>
            <w:tcW w:w="166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11,834</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2,128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3"/>
              </w:rPr>
              <w:t>10,055</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Production</w:t>
            </w:r>
          </w:p>
        </w:tc>
        <w:tc>
          <w:tcPr>
            <w:tcW w:w="1660" w:type="dxa"/>
            <w:vAlign w:val="bottom"/>
            <w:gridSpan w:val="6"/>
          </w:tcPr>
          <w:p>
            <w:pPr>
              <w:jc w:val="right"/>
              <w:spacing w:after="0"/>
              <w:rPr>
                <w:sz w:val="20"/>
                <w:szCs w:val="20"/>
                <w:color w:val="auto"/>
              </w:rPr>
            </w:pPr>
            <w:r>
              <w:rPr>
                <w:rFonts w:ascii="Arial" w:cs="Arial" w:eastAsia="Arial" w:hAnsi="Arial"/>
                <w:sz w:val="18"/>
                <w:szCs w:val="18"/>
                <w:b w:val="1"/>
                <w:bCs w:val="1"/>
                <w:color w:val="auto"/>
              </w:rPr>
              <w:t>10,951</w:t>
            </w:r>
          </w:p>
        </w:tc>
        <w:tc>
          <w:tcPr>
            <w:tcW w:w="3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1,781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9,433</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 &amp; other</w:t>
            </w:r>
          </w:p>
        </w:tc>
        <w:tc>
          <w:tcPr>
            <w:tcW w:w="1080" w:type="dxa"/>
            <w:vAlign w:val="bottom"/>
            <w:gridSpan w:val="3"/>
            <w:shd w:val="clear" w:color="auto" w:fill="CCEEFF"/>
          </w:tcPr>
          <w:p>
            <w:pPr>
              <w:spacing w:after="0"/>
              <w:rPr>
                <w:sz w:val="18"/>
                <w:szCs w:val="18"/>
                <w:color w:val="auto"/>
              </w:rPr>
            </w:pPr>
          </w:p>
        </w:tc>
        <w:tc>
          <w:tcPr>
            <w:tcW w:w="9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(85)</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30,974</w:t>
            </w:r>
          </w:p>
        </w:tc>
        <w:tc>
          <w:tcPr>
            <w:tcW w:w="3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6,184</w:t>
            </w:r>
          </w:p>
        </w:tc>
        <w:tc>
          <w:tcPr>
            <w:tcW w:w="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26,658</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30,974</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5,383</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26,658</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2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w w:val="86"/>
              </w:rPr>
              <w:t>Geographic Areas</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0" w:type="dxa"/>
            <w:vAlign w:val="bottom"/>
            <w:gridSpan w:val="6"/>
            <w:vMerge w:val="restart"/>
          </w:tcPr>
          <w:p>
            <w:pPr>
              <w:jc w:val="right"/>
              <w:ind w:right="720"/>
              <w:spacing w:after="0"/>
              <w:rPr>
                <w:sz w:val="20"/>
                <w:szCs w:val="20"/>
                <w:color w:val="auto"/>
              </w:rPr>
            </w:pPr>
            <w:r>
              <w:rPr>
                <w:rFonts w:ascii="Arial" w:cs="Arial" w:eastAsia="Arial" w:hAnsi="Arial"/>
                <w:sz w:val="14"/>
                <w:szCs w:val="14"/>
                <w:b w:val="1"/>
                <w:bCs w:val="1"/>
                <w:color w:val="auto"/>
                <w:w w:val="89"/>
              </w:rPr>
              <w:t>Nine Months 2012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6"/>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gridSpan w:val="4"/>
          </w:tcPr>
          <w:p>
            <w:pPr>
              <w:jc w:val="right"/>
              <w:ind w:right="780"/>
              <w:spacing w:after="0" w:line="159" w:lineRule="exact"/>
              <w:rPr>
                <w:sz w:val="20"/>
                <w:szCs w:val="20"/>
                <w:color w:val="auto"/>
              </w:rPr>
            </w:pPr>
            <w:r>
              <w:rPr>
                <w:rFonts w:ascii="Arial" w:cs="Arial" w:eastAsia="Arial" w:hAnsi="Arial"/>
                <w:sz w:val="14"/>
                <w:szCs w:val="14"/>
                <w:color w:val="auto"/>
                <w:w w:val="91"/>
              </w:rPr>
              <w:t>Nine Months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7"/>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Before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85"/>
              </w:rPr>
              <w:t>Revenue</w:t>
            </w:r>
          </w:p>
        </w:tc>
        <w:tc>
          <w:tcPr>
            <w:tcW w:w="30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0"/>
              </w:rPr>
              <w:t>Taxes</w:t>
            </w:r>
          </w:p>
        </w:tc>
        <w:tc>
          <w:tcPr>
            <w:tcW w:w="30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w w:val="89"/>
              </w:rPr>
              <w:t>Revenue</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78"/>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1580" w:type="dxa"/>
            <w:vAlign w:val="bottom"/>
            <w:gridSpan w:val="5"/>
          </w:tcPr>
          <w:p>
            <w:pPr>
              <w:jc w:val="right"/>
              <w:spacing w:after="0"/>
              <w:rPr>
                <w:sz w:val="20"/>
                <w:szCs w:val="20"/>
                <w:color w:val="auto"/>
              </w:rPr>
            </w:pPr>
            <w:r>
              <w:rPr>
                <w:rFonts w:ascii="Arial" w:cs="Arial" w:eastAsia="Arial" w:hAnsi="Arial"/>
                <w:sz w:val="18"/>
                <w:szCs w:val="18"/>
                <w:b w:val="1"/>
                <w:bCs w:val="1"/>
                <w:color w:val="auto"/>
              </w:rPr>
              <w:t>$10,076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$2,082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8,789</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5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5,483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4,628</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1580" w:type="dxa"/>
            <w:vAlign w:val="bottom"/>
            <w:gridSpan w:val="5"/>
          </w:tcPr>
          <w:p>
            <w:pPr>
              <w:jc w:val="right"/>
              <w:spacing w:after="0"/>
              <w:rPr>
                <w:sz w:val="20"/>
                <w:szCs w:val="20"/>
                <w:color w:val="auto"/>
              </w:rPr>
            </w:pPr>
            <w:r>
              <w:rPr>
                <w:rFonts w:ascii="Arial" w:cs="Arial" w:eastAsia="Arial" w:hAnsi="Arial"/>
                <w:sz w:val="18"/>
                <w:szCs w:val="18"/>
                <w:b w:val="1"/>
                <w:bCs w:val="1"/>
                <w:color w:val="auto"/>
              </w:rPr>
              <w:t>8,485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1,666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7,003</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5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6,616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5,949</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Eliminations &amp; other</w:t>
            </w:r>
          </w:p>
        </w:tc>
        <w:tc>
          <w:tcPr>
            <w:tcW w:w="1020" w:type="dxa"/>
            <w:vAlign w:val="bottom"/>
            <w:gridSpan w:val="2"/>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314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30,974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3"/>
              </w:rPr>
              <w:t>26,658</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32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(516)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30,974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5,383</w:t>
            </w:r>
          </w:p>
        </w:tc>
        <w:tc>
          <w:tcPr>
            <w:tcW w:w="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26,658</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4920" w:hanging="5612"/>
        <w:spacing w:after="0" w:line="322" w:lineRule="auto"/>
        <w:tabs>
          <w:tab w:leader="none" w:pos="448"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Excludes interest included in the Product Group and Geographical Area results. 25</w:t>
      </w:r>
    </w:p>
    <w:p>
      <w:pPr>
        <w:sectPr>
          <w:pgSz w:w="11900" w:h="16838" w:orient="portrait"/>
          <w:cols w:equalWidth="0" w:num="1">
            <w:col w:w="10960"/>
          </w:cols>
          <w:pgMar w:left="240" w:top="459" w:right="6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Nine-month 2012 revenue of $30.97 billion increased 16% versus the same period last year with North America Area 15% higher and international activity 17% higher. The increase in North America was due to strong growth in North America offshore, driven by robust deepwater and exploration activity that benefited the Reservoir Characterization and Drilling Groups Technologies. There was also an improvement in activity in North America land for the Production Group Technologies although the increase slowed towards the end of the period due to the weakness in the hydraulic fracturing market. Internationally, higher exploration and development activities in a number of GeoMarkets both offshore and in key land markets contributed to the increase. The increase was led by the Europe/CIS/Africa Area which increased 21%, mainly in Russia and in the Nigeria &amp; Gulf of Guinea, Angola, the North Sea and East Africa GeoMarkets. Latin America was higher by 18%, mainly in the Mexico &amp; Central America; Venezuela, Trinidad &amp; Tobago; and Ecuador GeoMarkets driven by strong IPM activity on land and robust offshore activity for Wireline and Drilling Group services and products. Middle East &amp; Asia increased 11% on strong results in the Saudi Arabia &amp; Bahrain; Australasia; Brunei, Malaysia, &amp; Philippines; and China GeoMarkets.</w:t>
      </w:r>
    </w:p>
    <w:p>
      <w:pPr>
        <w:spacing w:after="0" w:line="12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Nine-month 2012 pretax operating income of $6.2 billion increased 20% year-on-year as international pretax operating income of $4.2 billion increased 34% while North America pretax operating income of $2.1 billion declined by 1% year-on year.</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Year-to-date pretax operating margin increased 70 bps to reach 20.0% as international pretax operating margin expanded 265 bps to 20.5% while North America pretax operating margin declined 327 bps to 20.7%. Europe/CIS/Africa posted a 527 bps improvement to reach 19.6% and similarly Latin America increased 175 bps to 18.4% and Middle East &amp; Asia reported a 46 bps increase to 23.4%. North America margin decline was due to Well Services technologies, as a result of pricing pressure and cost inflation.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Nine-month 2012 revenue of $8.27 billion was 16% higher than the same period last year led by Wireline, Testing Services, WesternGeco and SIS Technologies driven by improved offshore exploration activities across all Areas, namely in North America offshore, Latin America, and in Europe/CIS/Africa.</w:t>
      </w:r>
    </w:p>
    <w:p>
      <w:pPr>
        <w:spacing w:after="0" w:line="85"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Year-on-year, pretax operating margin increased 433 bps to 27.7% largely due to the higher-margin exploration activities that benefited Wireline and Testing Services, higher SIS software sales, and higher WesternGeco marine vessel utilization and improved UniQ land seismic productivity.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jc w:val="both"/>
        <w:ind w:right="340"/>
        <w:spacing w:after="0" w:line="332" w:lineRule="auto"/>
        <w:rPr>
          <w:sz w:val="20"/>
          <w:szCs w:val="20"/>
          <w:color w:val="auto"/>
        </w:rPr>
      </w:pPr>
      <w:r>
        <w:rPr>
          <w:rFonts w:ascii="Arial" w:cs="Arial" w:eastAsia="Arial" w:hAnsi="Arial"/>
          <w:sz w:val="16"/>
          <w:szCs w:val="16"/>
          <w:color w:val="auto"/>
        </w:rPr>
        <w:t>Nine-months 2012 revenue of $11.83 billion was 18% higher than the previous year primarily due to the significantly improved exploration and development activities of M-I SWACO, Drilling &amp; Measurements, and the other Drilling Group Technologies in North America offshore and in the international markets.</w:t>
      </w:r>
    </w:p>
    <w:p>
      <w:pPr>
        <w:spacing w:after="0" w:line="8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Year-on-year, pretax operating margin increased 203 bps to 18.0% primarily due to the increase in higher-margin activities of Drilling &amp; Measurements, M-I SWACO and Drilling Tools &amp; Remedial technologies—all of which benefited from higher-margin exploration activities in North America offshore and in the international markets—mainly in the Europe/CIS/Africa Area.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Nine-month 2012 revenue of $10.95 billion increased 16% year-on-year, both in North America and the international markets. Well Services grew both in North America and internationally, with international growth led by Latin America and by Europe/CIS/Africa. Well Intervention, Artificial Lift and Completions Technologies posted strong growth across all Areas.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Year-on-year, pretax operating margin decreased 347 bps to 16.3% mainly due to a decline in margins for Well Services technologies, primarily in North America, as a result of pricing pressure and cost inflation. This was mitigated by margin expansion for the other Production Group Technologies led by Well Intervention Services and Completions Technologies.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 for the third quarter and nine months ended September 30, 2012 and 2011:</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5"/>
          </w:tcPr>
          <w:p>
            <w:pPr>
              <w:ind w:left="60"/>
              <w:spacing w:after="0"/>
              <w:rPr>
                <w:sz w:val="20"/>
                <w:szCs w:val="20"/>
                <w:color w:val="auto"/>
              </w:rPr>
            </w:pPr>
            <w:r>
              <w:rPr>
                <w:rFonts w:ascii="Arial" w:cs="Arial" w:eastAsia="Arial" w:hAnsi="Arial"/>
                <w:sz w:val="14"/>
                <w:szCs w:val="14"/>
                <w:i w:val="1"/>
                <w:iCs w:val="1"/>
                <w:color w:val="auto"/>
                <w:w w:val="95"/>
              </w:rPr>
              <w:t>(Stated in millions)</w:t>
            </w:r>
          </w:p>
        </w:tc>
      </w:tr>
      <w:tr>
        <w:trPr>
          <w:trHeight w:val="159"/>
        </w:trPr>
        <w:tc>
          <w:tcPr>
            <w:tcW w:w="7740" w:type="dxa"/>
            <w:vAlign w:val="bottom"/>
          </w:tcPr>
          <w:p>
            <w:pPr>
              <w:spacing w:after="0"/>
              <w:rPr>
                <w:sz w:val="13"/>
                <w:szCs w:val="13"/>
                <w:color w:val="auto"/>
              </w:rPr>
            </w:pPr>
          </w:p>
        </w:tc>
        <w:tc>
          <w:tcPr>
            <w:tcW w:w="1580" w:type="dxa"/>
            <w:vAlign w:val="bottom"/>
            <w:gridSpan w:val="4"/>
          </w:tcPr>
          <w:p>
            <w:pPr>
              <w:ind w:left="180"/>
              <w:spacing w:after="0" w:line="159" w:lineRule="exact"/>
              <w:rPr>
                <w:sz w:val="20"/>
                <w:szCs w:val="20"/>
                <w:color w:val="auto"/>
              </w:rPr>
            </w:pPr>
            <w:r>
              <w:rPr>
                <w:rFonts w:ascii="Arial" w:cs="Arial" w:eastAsia="Arial" w:hAnsi="Arial"/>
                <w:sz w:val="14"/>
                <w:szCs w:val="14"/>
                <w:color w:val="auto"/>
              </w:rPr>
              <w:t>Third Quarter</w:t>
            </w:r>
          </w:p>
        </w:tc>
        <w:tc>
          <w:tcPr>
            <w:tcW w:w="1180" w:type="dxa"/>
            <w:vAlign w:val="bottom"/>
            <w:gridSpan w:val="5"/>
          </w:tcPr>
          <w:p>
            <w:pPr>
              <w:ind w:left="180"/>
              <w:spacing w:after="0" w:line="159" w:lineRule="exact"/>
              <w:rPr>
                <w:sz w:val="20"/>
                <w:szCs w:val="20"/>
                <w:color w:val="auto"/>
              </w:rPr>
            </w:pPr>
            <w:r>
              <w:rPr>
                <w:rFonts w:ascii="Arial" w:cs="Arial" w:eastAsia="Arial" w:hAnsi="Arial"/>
                <w:sz w:val="14"/>
                <w:szCs w:val="14"/>
                <w:color w:val="auto"/>
              </w:rPr>
              <w:t>Nine Months</w:t>
            </w:r>
          </w:p>
        </w:tc>
      </w:tr>
      <w:tr>
        <w:trPr>
          <w:trHeight w:val="142"/>
        </w:trPr>
        <w:tc>
          <w:tcPr>
            <w:tcW w:w="7740" w:type="dxa"/>
            <w:vAlign w:val="bottom"/>
          </w:tcPr>
          <w:p>
            <w:pPr>
              <w:spacing w:after="0"/>
              <w:rPr>
                <w:sz w:val="12"/>
                <w:szCs w:val="12"/>
                <w:color w:val="auto"/>
              </w:rPr>
            </w:pPr>
          </w:p>
        </w:tc>
        <w:tc>
          <w:tcPr>
            <w:tcW w:w="2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76"/>
              </w:rPr>
              <w:t>2012</w:t>
            </w: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2011</w:t>
            </w:r>
          </w:p>
        </w:tc>
        <w:tc>
          <w:tcPr>
            <w:tcW w:w="50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r>
      <w:tr>
        <w:trPr>
          <w:trHeight w:val="210"/>
        </w:trPr>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net earnings of affiliated companies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4"/>
              </w:rPr>
              <w:t>$ 36</w:t>
            </w: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$ 24</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5"/>
              </w:rPr>
              <w:t>$ 112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Interest income</w:t>
            </w:r>
          </w:p>
        </w:tc>
        <w:tc>
          <w:tcPr>
            <w:tcW w:w="780" w:type="dxa"/>
            <w:vAlign w:val="bottom"/>
            <w:gridSpan w:val="2"/>
          </w:tcPr>
          <w:p>
            <w:pPr>
              <w:ind w:left="200"/>
              <w:spacing w:after="0"/>
              <w:rPr>
                <w:sz w:val="20"/>
                <w:szCs w:val="20"/>
                <w:color w:val="auto"/>
              </w:rPr>
            </w:pPr>
            <w:r>
              <w:rPr>
                <w:rFonts w:ascii="Arial" w:cs="Arial" w:eastAsia="Arial" w:hAnsi="Arial"/>
                <w:sz w:val="18"/>
                <w:szCs w:val="18"/>
                <w:b w:val="1"/>
                <w:bCs w:val="1"/>
                <w:color w:val="auto"/>
              </w:rPr>
              <w:t>8</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7"/>
        </w:trPr>
        <w:tc>
          <w:tcPr>
            <w:tcW w:w="7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44</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79"/>
              </w:rPr>
              <w:t>$ 34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137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w:t>
            </w:r>
          </w:p>
        </w:tc>
        <w:tc>
          <w:tcPr>
            <w:tcW w:w="100" w:type="dxa"/>
            <w:vAlign w:val="bottom"/>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third quarter and nine months ended September 30, 2012</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860" w:type="dxa"/>
            <w:vAlign w:val="bottom"/>
            <w:gridSpan w:val="4"/>
          </w:tcPr>
          <w:p>
            <w:pPr>
              <w:jc w:val="right"/>
              <w:ind w:right="860"/>
              <w:spacing w:after="0"/>
              <w:rPr>
                <w:sz w:val="20"/>
                <w:szCs w:val="20"/>
                <w:color w:val="auto"/>
              </w:rPr>
            </w:pPr>
            <w:r>
              <w:rPr>
                <w:rFonts w:ascii="Arial" w:cs="Arial" w:eastAsia="Arial" w:hAnsi="Arial"/>
                <w:sz w:val="14"/>
                <w:szCs w:val="14"/>
                <w:color w:val="auto"/>
              </w:rPr>
              <w:t>Third Quarter</w:t>
            </w:r>
          </w:p>
        </w:tc>
        <w:tc>
          <w:tcPr>
            <w:tcW w:w="1440" w:type="dxa"/>
            <w:vAlign w:val="bottom"/>
            <w:gridSpan w:val="4"/>
          </w:tcPr>
          <w:p>
            <w:pPr>
              <w:jc w:val="right"/>
              <w:ind w:right="460"/>
              <w:spacing w:after="0"/>
              <w:rPr>
                <w:sz w:val="20"/>
                <w:szCs w:val="20"/>
                <w:color w:val="auto"/>
              </w:rPr>
            </w:pPr>
            <w:r>
              <w:rPr>
                <w:rFonts w:ascii="Arial" w:cs="Arial" w:eastAsia="Arial" w:hAnsi="Arial"/>
                <w:sz w:val="14"/>
                <w:szCs w:val="14"/>
                <w:color w:val="auto"/>
              </w:rPr>
              <w:t>Nine Months</w:t>
            </w:r>
          </w:p>
        </w:tc>
      </w:tr>
      <w:tr>
        <w:trPr>
          <w:trHeight w:val="142"/>
        </w:trPr>
        <w:tc>
          <w:tcPr>
            <w:tcW w:w="72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6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2011</w:t>
            </w:r>
          </w:p>
        </w:tc>
        <w:tc>
          <w:tcPr>
            <w:tcW w:w="6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6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&amp; engineering</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2.7%</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2.8%</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w:t>
            </w:r>
          </w:p>
        </w:tc>
      </w:tr>
      <w:tr>
        <w:trPr>
          <w:trHeight w:val="228"/>
        </w:trPr>
        <w:tc>
          <w:tcPr>
            <w:tcW w:w="720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0.9%</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0.9%</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0.9%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w:t>
            </w:r>
          </w:p>
        </w:tc>
      </w:tr>
    </w:tbl>
    <w:p>
      <w:pPr>
        <w:spacing w:after="0" w:line="141"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 xml:space="preserve">General &amp; administrative </w:t>
      </w:r>
      <w:r>
        <w:rPr>
          <w:rFonts w:ascii="Arial" w:cs="Arial" w:eastAsia="Arial" w:hAnsi="Arial"/>
          <w:sz w:val="15"/>
          <w:szCs w:val="15"/>
          <w:color w:val="auto"/>
        </w:rPr>
        <w:t>decreased as a percentage of revenue for the nine months ended September 30, 2012 as compared to the same period in the prior year,</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as a result of the $50 million donation to the Schlumberger Foundation in the second quarter of 2011 (see discussion of Charges and Credits below).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during the third quarter and the first nine months of 2012 and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Schlumberger recorded the following merger and integration-related charges related to its 2010 acquisitions of Smith and Geoservices. These amounts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ind w:left="1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59"/>
        </w:trPr>
        <w:tc>
          <w:tcPr>
            <w:tcW w:w="28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70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w w:val="83"/>
              </w:rPr>
              <w:t>Pretax</w:t>
            </w:r>
          </w:p>
        </w:tc>
        <w:tc>
          <w:tcPr>
            <w:tcW w:w="340" w:type="dxa"/>
            <w:vAlign w:val="bottom"/>
          </w:tcPr>
          <w:p>
            <w:pPr>
              <w:spacing w:after="0"/>
              <w:rPr>
                <w:sz w:val="13"/>
                <w:szCs w:val="13"/>
                <w:color w:val="auto"/>
              </w:rPr>
            </w:pPr>
          </w:p>
        </w:tc>
        <w:tc>
          <w:tcPr>
            <w:tcW w:w="4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Tax</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4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Second quarter</w:t>
            </w: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80" w:type="dxa"/>
            <w:vAlign w:val="bottom"/>
          </w:tcPr>
          <w:p>
            <w:pPr>
              <w:spacing w:after="0"/>
              <w:rPr>
                <w:sz w:val="19"/>
                <w:szCs w:val="19"/>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68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020" w:type="dxa"/>
            <w:vAlign w:val="bottom"/>
            <w:vMerge w:val="restart"/>
          </w:tcPr>
          <w:p>
            <w:pPr>
              <w:jc w:val="right"/>
              <w:ind w:right="1932"/>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merger and integration-related charges relating to its 2010 acquisitions of Smith and Geoservices.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5"/>
          </w:tcPr>
          <w:p>
            <w:pPr>
              <w:ind w:left="60"/>
              <w:spacing w:after="0"/>
              <w:rPr>
                <w:sz w:val="20"/>
                <w:szCs w:val="20"/>
                <w:color w:val="auto"/>
              </w:rPr>
            </w:pPr>
            <w:r>
              <w:rPr>
                <w:rFonts w:ascii="Arial" w:cs="Arial" w:eastAsia="Arial" w:hAnsi="Arial"/>
                <w:sz w:val="14"/>
                <w:szCs w:val="14"/>
                <w:i w:val="1"/>
                <w:iCs w:val="1"/>
                <w:color w:val="auto"/>
                <w:w w:val="95"/>
              </w:rPr>
              <w:t>(Stated in millions)</w:t>
            </w:r>
          </w:p>
        </w:tc>
      </w:tr>
      <w:tr>
        <w:trPr>
          <w:trHeight w:val="159"/>
        </w:trPr>
        <w:tc>
          <w:tcPr>
            <w:tcW w:w="7520" w:type="dxa"/>
            <w:vAlign w:val="bottom"/>
          </w:tcPr>
          <w:p>
            <w:pPr>
              <w:spacing w:after="0"/>
              <w:rPr>
                <w:sz w:val="13"/>
                <w:szCs w:val="13"/>
                <w:color w:val="auto"/>
              </w:rPr>
            </w:pPr>
          </w:p>
        </w:tc>
        <w:tc>
          <w:tcPr>
            <w:tcW w:w="3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8"/>
              </w:rPr>
              <w:t>Pretax</w:t>
            </w:r>
          </w:p>
        </w:tc>
        <w:tc>
          <w:tcPr>
            <w:tcW w:w="540" w:type="dxa"/>
            <w:vAlign w:val="bottom"/>
          </w:tcPr>
          <w:p>
            <w:pPr>
              <w:spacing w:after="0"/>
              <w:rPr>
                <w:sz w:val="13"/>
                <w:szCs w:val="13"/>
                <w:color w:val="auto"/>
              </w:rPr>
            </w:pPr>
          </w:p>
        </w:tc>
        <w:tc>
          <w:tcPr>
            <w:tcW w:w="82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Tax</w:t>
            </w:r>
          </w:p>
        </w:tc>
        <w:tc>
          <w:tcPr>
            <w:tcW w:w="3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Net</w:t>
            </w:r>
          </w:p>
        </w:tc>
      </w:tr>
      <w:tr>
        <w:trPr>
          <w:trHeight w:val="210"/>
        </w:trPr>
        <w:tc>
          <w:tcPr>
            <w:tcW w:w="7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91</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17</w:t>
            </w:r>
          </w:p>
        </w:tc>
        <w:tc>
          <w:tcPr>
            <w:tcW w:w="2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74</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During the second quarter of 2011, Schlumberger made a $50 million grant to the Schlumberger Foundation to support the Foundation’s Faculty for the Future program. This program supports talented women scientists from the developing world by helping them pursue advanced graduate studies in scientific disciplines at leading universities worldwide. This $50 million charge ($40 million after-tax) is classified in </w:t>
      </w:r>
      <w:r>
        <w:rPr>
          <w:rFonts w:ascii="Arial" w:cs="Arial" w:eastAsia="Arial" w:hAnsi="Arial"/>
          <w:sz w:val="18"/>
          <w:szCs w:val="18"/>
          <w:i w:val="1"/>
          <w:iCs w:val="1"/>
          <w:color w:val="auto"/>
        </w:rPr>
        <w:t>General &amp; administrative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2011 charges: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6"/>
          </w:tcPr>
          <w:p>
            <w:pPr>
              <w:ind w:left="160"/>
              <w:spacing w:after="0"/>
              <w:rPr>
                <w:sz w:val="20"/>
                <w:szCs w:val="20"/>
                <w:color w:val="auto"/>
              </w:rPr>
            </w:pPr>
            <w:r>
              <w:rPr>
                <w:rFonts w:ascii="Arial" w:cs="Arial" w:eastAsia="Arial" w:hAnsi="Arial"/>
                <w:sz w:val="14"/>
                <w:szCs w:val="14"/>
                <w:i w:val="1"/>
                <w:iCs w:val="1"/>
                <w:color w:val="auto"/>
                <w:w w:val="95"/>
              </w:rPr>
              <w:t>(Stated in millions)</w:t>
            </w:r>
          </w:p>
        </w:tc>
      </w:tr>
      <w:tr>
        <w:trPr>
          <w:trHeight w:val="159"/>
        </w:trPr>
        <w:tc>
          <w:tcPr>
            <w:tcW w:w="7400" w:type="dxa"/>
            <w:vAlign w:val="bottom"/>
          </w:tcPr>
          <w:p>
            <w:pPr>
              <w:spacing w:after="0"/>
              <w:rPr>
                <w:sz w:val="13"/>
                <w:szCs w:val="13"/>
                <w:color w:val="auto"/>
              </w:rPr>
            </w:pPr>
          </w:p>
        </w:tc>
        <w:tc>
          <w:tcPr>
            <w:tcW w:w="620" w:type="dxa"/>
            <w:vAlign w:val="bottom"/>
            <w:gridSpan w:val="3"/>
          </w:tcPr>
          <w:p>
            <w:pPr>
              <w:spacing w:after="0" w:line="159" w:lineRule="exact"/>
              <w:rPr>
                <w:sz w:val="20"/>
                <w:szCs w:val="20"/>
                <w:color w:val="auto"/>
              </w:rPr>
            </w:pPr>
            <w:r>
              <w:rPr>
                <w:rFonts w:ascii="Arial" w:cs="Arial" w:eastAsia="Arial" w:hAnsi="Arial"/>
                <w:sz w:val="14"/>
                <w:szCs w:val="14"/>
                <w:color w:val="auto"/>
              </w:rPr>
              <w:t>Pretax</w:t>
            </w:r>
          </w:p>
        </w:tc>
        <w:tc>
          <w:tcPr>
            <w:tcW w:w="280" w:type="dxa"/>
            <w:vAlign w:val="bottom"/>
          </w:tcPr>
          <w:p>
            <w:pPr>
              <w:spacing w:after="0"/>
              <w:rPr>
                <w:sz w:val="13"/>
                <w:szCs w:val="13"/>
                <w:color w:val="auto"/>
              </w:rPr>
            </w:pPr>
          </w:p>
        </w:tc>
        <w:tc>
          <w:tcPr>
            <w:tcW w:w="54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85"/>
              </w:rPr>
              <w:t>Tax</w:t>
            </w:r>
          </w:p>
        </w:tc>
        <w:tc>
          <w:tcPr>
            <w:tcW w:w="280" w:type="dxa"/>
            <w:vAlign w:val="bottom"/>
          </w:tcPr>
          <w:p>
            <w:pPr>
              <w:spacing w:after="0"/>
              <w:rPr>
                <w:sz w:val="13"/>
                <w:szCs w:val="13"/>
                <w:color w:val="auto"/>
              </w:rPr>
            </w:pPr>
          </w:p>
        </w:tc>
        <w:tc>
          <w:tcPr>
            <w:tcW w:w="46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Net</w:t>
            </w:r>
          </w:p>
        </w:tc>
      </w:tr>
      <w:tr>
        <w:trPr>
          <w:trHeight w:val="210"/>
        </w:trPr>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Merger-related integration costs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$17</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7"/>
        </w:trPr>
        <w:tc>
          <w:tcPr>
            <w:tcW w:w="7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114</w:t>
            </w:r>
          </w:p>
        </w:tc>
        <w:tc>
          <w:tcPr>
            <w:tcW w:w="100" w:type="dxa"/>
            <w:vAlign w:val="bottom"/>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9"/>
        </w:trPr>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right"/>
              <w:ind w:right="252"/>
              <w:spacing w:after="0" w:line="149" w:lineRule="exact"/>
              <w:rPr>
                <w:sz w:val="20"/>
                <w:szCs w:val="20"/>
                <w:color w:val="auto"/>
              </w:rPr>
            </w:pPr>
            <w:r>
              <w:rPr>
                <w:rFonts w:ascii="Arial" w:cs="Arial" w:eastAsia="Arial" w:hAnsi="Arial"/>
                <w:sz w:val="14"/>
                <w:szCs w:val="14"/>
                <w:b w:val="1"/>
                <w:bCs w:val="1"/>
                <w:color w:val="auto"/>
                <w:w w:val="83"/>
              </w:rPr>
              <w:t>Sept. 30,</w:t>
            </w:r>
          </w:p>
        </w:tc>
        <w:tc>
          <w:tcPr>
            <w:tcW w:w="2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Sept. 30,</w:t>
            </w:r>
          </w:p>
        </w:tc>
        <w:tc>
          <w:tcPr>
            <w:tcW w:w="0" w:type="dxa"/>
            <w:vAlign w:val="bottom"/>
          </w:tcPr>
          <w:p>
            <w:pPr>
              <w:spacing w:after="0"/>
              <w:rPr>
                <w:sz w:val="1"/>
                <w:szCs w:val="1"/>
                <w:color w:val="auto"/>
              </w:rPr>
            </w:pPr>
          </w:p>
        </w:tc>
      </w:tr>
      <w:tr>
        <w:trPr>
          <w:trHeight w:val="161"/>
        </w:trPr>
        <w:tc>
          <w:tcPr>
            <w:tcW w:w="8760" w:type="dxa"/>
            <w:vAlign w:val="bottom"/>
          </w:tcPr>
          <w:p>
            <w:pPr>
              <w:spacing w:after="0"/>
              <w:rPr>
                <w:sz w:val="14"/>
                <w:szCs w:val="14"/>
                <w:color w:val="auto"/>
              </w:rPr>
            </w:pPr>
          </w:p>
        </w:tc>
        <w:tc>
          <w:tcPr>
            <w:tcW w:w="56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77"/>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Debt,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7"/>
              </w:rPr>
              <w:t>$(4,850)</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$(2,638)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rPr>
              <w:t>4,096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84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2,570</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84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rPr>
              <w:t>(87)</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84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251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84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rPr>
              <w:t>298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84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Increase in working capital</w:t>
            </w:r>
          </w:p>
        </w:tc>
        <w:tc>
          <w:tcPr>
            <w:tcW w:w="84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rPr>
              <w:t>(2,816)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(3,162)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Multiclient seismic data capitalized</w:t>
            </w:r>
          </w:p>
        </w:tc>
        <w:tc>
          <w:tcPr>
            <w:tcW w:w="84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rPr>
              <w:t>(260)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84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(1,067)</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Stock repurchase program</w:t>
            </w:r>
          </w:p>
        </w:tc>
        <w:tc>
          <w:tcPr>
            <w:tcW w:w="84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rPr>
              <w:t>(972)</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employee stock plans</w:t>
            </w:r>
          </w:p>
        </w:tc>
        <w:tc>
          <w:tcPr>
            <w:tcW w:w="84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386</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Business acquisitions</w:t>
            </w:r>
          </w:p>
        </w:tc>
        <w:tc>
          <w:tcPr>
            <w:tcW w:w="84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rPr>
              <w:t>(713)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divestiture of Wilson distribution business</w:t>
            </w:r>
          </w:p>
        </w:tc>
        <w:tc>
          <w:tcPr>
            <w:tcW w:w="84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906</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Proceeds from divestiture of CE Franklin business</w:t>
            </w:r>
          </w:p>
        </w:tc>
        <w:tc>
          <w:tcPr>
            <w:tcW w:w="84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rPr>
              <w:t>122</w:t>
            </w: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divestiture of Global Connectivity Services business</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Currency effect on net debt</w:t>
            </w:r>
          </w:p>
        </w:tc>
        <w:tc>
          <w:tcPr>
            <w:tcW w:w="84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rPr>
              <w:t>49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(472)</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color w:val="auto"/>
              </w:rPr>
              <w:t>Net Debt, end of period</w:t>
            </w: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jc w:val="right"/>
              <w:ind w:right="152"/>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(6,183</w:t>
            </w:r>
          </w:p>
        </w:tc>
        <w:tc>
          <w:tcPr>
            <w:tcW w:w="280" w:type="dxa"/>
            <w:vAlign w:val="bottom"/>
            <w:gridSpan w:val="2"/>
            <w:vMerge w:val="continue"/>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5500" w:type="dxa"/>
            <w:vAlign w:val="bottom"/>
            <w:vMerge w:val="restart"/>
          </w:tcPr>
          <w:p>
            <w:pPr>
              <w:jc w:val="right"/>
              <w:ind w:right="2512"/>
              <w:spacing w:after="0"/>
              <w:rPr>
                <w:sz w:val="20"/>
                <w:szCs w:val="20"/>
                <w:color w:val="auto"/>
              </w:rPr>
            </w:pPr>
            <w:r>
              <w:rPr>
                <w:rFonts w:ascii="Arial" w:cs="Arial" w:eastAsia="Arial" w:hAnsi="Arial"/>
                <w:sz w:val="18"/>
                <w:szCs w:val="18"/>
                <w:color w:val="auto"/>
                <w:w w:val="93"/>
              </w:rPr>
              <w:t>Includes multiclient seismic data costs.</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5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6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86"/>
              </w:rPr>
              <w:t>Sept. 30,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147"/>
        </w:trPr>
        <w:tc>
          <w:tcPr>
            <w:tcW w:w="1460" w:type="dxa"/>
            <w:vAlign w:val="bottom"/>
            <w:vMerge w:val="restart"/>
          </w:tcPr>
          <w:p>
            <w:pPr>
              <w:spacing w:after="0"/>
              <w:rPr>
                <w:sz w:val="20"/>
                <w:szCs w:val="20"/>
                <w:color w:val="auto"/>
              </w:rPr>
            </w:pPr>
            <w:r>
              <w:rPr>
                <w:rFonts w:ascii="Arial" w:cs="Arial" w:eastAsia="Arial" w:hAnsi="Arial"/>
                <w:sz w:val="14"/>
                <w:szCs w:val="14"/>
                <w:color w:val="auto"/>
                <w:w w:val="93"/>
              </w:rPr>
              <w:t>Components of Net Debt</w:t>
            </w:r>
          </w:p>
        </w:tc>
        <w:tc>
          <w:tcPr>
            <w:tcW w:w="6060" w:type="dxa"/>
            <w:vAlign w:val="bottom"/>
            <w:vMerge w:val="restart"/>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89"/>
              </w:rPr>
              <w:t>Sept. 30,</w:t>
            </w:r>
          </w:p>
        </w:tc>
        <w:tc>
          <w:tcPr>
            <w:tcW w:w="52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8"/>
        </w:trPr>
        <w:tc>
          <w:tcPr>
            <w:tcW w:w="1460" w:type="dxa"/>
            <w:vAlign w:val="bottom"/>
            <w:tcBorders>
              <w:bottom w:val="single" w:sz="8" w:color="auto"/>
            </w:tcBorders>
            <w:vMerge w:val="continue"/>
          </w:tcPr>
          <w:p>
            <w:pPr>
              <w:spacing w:after="0"/>
              <w:rPr>
                <w:sz w:val="14"/>
                <w:szCs w:val="14"/>
                <w:color w:val="auto"/>
              </w:rPr>
            </w:pPr>
          </w:p>
        </w:tc>
        <w:tc>
          <w:tcPr>
            <w:tcW w:w="6060" w:type="dxa"/>
            <w:vAlign w:val="bottom"/>
            <w:vMerge w:val="continue"/>
          </w:tcPr>
          <w:p>
            <w:pPr>
              <w:spacing w:after="0"/>
              <w:rPr>
                <w:sz w:val="14"/>
                <w:szCs w:val="14"/>
                <w:color w:val="auto"/>
              </w:rPr>
            </w:pPr>
          </w:p>
        </w:tc>
        <w:tc>
          <w:tcPr>
            <w:tcW w:w="54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jc w:val="right"/>
              <w:ind w:right="77"/>
              <w:spacing w:after="0" w:line="148" w:lineRule="exact"/>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1080" w:type="dxa"/>
            <w:vAlign w:val="bottom"/>
            <w:gridSpan w:val="2"/>
          </w:tcPr>
          <w:p>
            <w:pPr>
              <w:jc w:val="right"/>
              <w:ind w:right="82"/>
              <w:spacing w:after="0" w:line="148"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$ 1,852</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$ 1,732</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$ 1,705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2,908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4,332</w:t>
            </w:r>
          </w:p>
        </w:tc>
        <w:tc>
          <w:tcPr>
            <w:tcW w:w="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1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(1,792)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(2,743)</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(9,397)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gridSpan w:val="2"/>
            <w:vMerge w:val="restart"/>
          </w:tcPr>
          <w:p>
            <w:pPr>
              <w:jc w:val="right"/>
              <w:ind w:right="560"/>
              <w:spacing w:after="0"/>
              <w:rPr>
                <w:sz w:val="20"/>
                <w:szCs w:val="20"/>
                <w:color w:val="auto"/>
              </w:rPr>
            </w:pPr>
            <w:r>
              <w:rPr>
                <w:rFonts w:ascii="Arial" w:cs="Arial" w:eastAsia="Arial" w:hAnsi="Arial"/>
                <w:sz w:val="16"/>
                <w:szCs w:val="16"/>
                <w:b w:val="1"/>
                <w:bCs w:val="1"/>
                <w:color w:val="auto"/>
                <w:w w:val="74"/>
              </w:rPr>
              <w:t>)</w:t>
            </w: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(6,183</w:t>
            </w:r>
          </w:p>
        </w:tc>
        <w:tc>
          <w:tcPr>
            <w:tcW w:w="620" w:type="dxa"/>
            <w:vAlign w:val="bottom"/>
            <w:gridSpan w:val="2"/>
            <w:vMerge w:val="continue"/>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(5,164)</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nine months of 2012 and 2011 included:</w:t>
      </w:r>
    </w:p>
    <w:p>
      <w:pPr>
        <w:spacing w:after="0" w:line="90" w:lineRule="exact"/>
        <w:rPr>
          <w:sz w:val="20"/>
          <w:szCs w:val="20"/>
          <w:color w:val="auto"/>
        </w:rPr>
      </w:pPr>
    </w:p>
    <w:p>
      <w:pPr>
        <w:ind w:left="900" w:hanging="325"/>
        <w:spacing w:after="0" w:line="335"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On April 17, 2008, the Schlumberger Board of Directors approved an $8 billion share repurchase program for shares of Schlumberger common stock, to be acquired in the open market before December 31, 2011. On July 21, 2011, the Schlumberger Board of Directors approved an extension of this repurchase program to December 31, 2013. Schlumberger had repurchased $7.1 billion of shares under this program as of September 30, 2012.</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activity, during the nine months ended September 30, under this share repurchase program:</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00" w:type="dxa"/>
            <w:vAlign w:val="bottom"/>
            <w:gridSpan w:val="6"/>
          </w:tcPr>
          <w:p>
            <w:pPr>
              <w:ind w:left="760"/>
              <w:spacing w:after="0"/>
              <w:rPr>
                <w:sz w:val="20"/>
                <w:szCs w:val="20"/>
                <w:color w:val="auto"/>
              </w:rPr>
            </w:pPr>
            <w:r>
              <w:rPr>
                <w:rFonts w:ascii="Arial" w:cs="Arial" w:eastAsia="Arial" w:hAnsi="Arial"/>
                <w:sz w:val="14"/>
                <w:szCs w:val="14"/>
                <w:i w:val="1"/>
                <w:iCs w:val="1"/>
                <w:color w:val="auto"/>
                <w:w w:val="89"/>
              </w:rPr>
              <w:t>(Stated in millions except per share amounts)</w:t>
            </w:r>
          </w:p>
        </w:tc>
      </w:tr>
      <w:tr>
        <w:trPr>
          <w:trHeight w:val="149"/>
        </w:trPr>
        <w:tc>
          <w:tcPr>
            <w:tcW w:w="4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8"/>
              </w:rPr>
              <w:t>Total cost</w:t>
            </w:r>
          </w:p>
        </w:tc>
        <w:tc>
          <w:tcPr>
            <w:tcW w:w="820" w:type="dxa"/>
            <w:vAlign w:val="bottom"/>
          </w:tcPr>
          <w:p>
            <w:pPr>
              <w:spacing w:after="0"/>
              <w:rPr>
                <w:sz w:val="12"/>
                <w:szCs w:val="12"/>
                <w:color w:val="auto"/>
              </w:rPr>
            </w:pPr>
          </w:p>
        </w:tc>
        <w:tc>
          <w:tcPr>
            <w:tcW w:w="158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87"/>
              </w:rPr>
              <w:t>Total number</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Average price</w:t>
            </w:r>
          </w:p>
        </w:tc>
      </w:tr>
      <w:tr>
        <w:trPr>
          <w:trHeight w:val="149"/>
        </w:trPr>
        <w:tc>
          <w:tcPr>
            <w:tcW w:w="4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0"/>
              </w:rPr>
              <w:t>of shares</w:t>
            </w:r>
          </w:p>
        </w:tc>
        <w:tc>
          <w:tcPr>
            <w:tcW w:w="820" w:type="dxa"/>
            <w:vAlign w:val="bottom"/>
          </w:tcPr>
          <w:p>
            <w:pPr>
              <w:spacing w:after="0"/>
              <w:rPr>
                <w:sz w:val="12"/>
                <w:szCs w:val="12"/>
                <w:color w:val="auto"/>
              </w:rPr>
            </w:pPr>
          </w:p>
        </w:tc>
        <w:tc>
          <w:tcPr>
            <w:tcW w:w="158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83"/>
              </w:rPr>
              <w:t>of shares</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paid per</w:t>
            </w:r>
          </w:p>
        </w:tc>
      </w:tr>
      <w:tr>
        <w:trPr>
          <w:trHeight w:val="159"/>
        </w:trPr>
        <w:tc>
          <w:tcPr>
            <w:tcW w:w="4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80" w:type="dxa"/>
            <w:vAlign w:val="bottom"/>
            <w:gridSpan w:val="2"/>
          </w:tcPr>
          <w:p>
            <w:pPr>
              <w:ind w:left="20"/>
              <w:spacing w:after="0" w:line="159" w:lineRule="exact"/>
              <w:rPr>
                <w:sz w:val="20"/>
                <w:szCs w:val="20"/>
                <w:color w:val="auto"/>
              </w:rPr>
            </w:pPr>
            <w:r>
              <w:rPr>
                <w:rFonts w:ascii="Arial" w:cs="Arial" w:eastAsia="Arial" w:hAnsi="Arial"/>
                <w:sz w:val="14"/>
                <w:szCs w:val="14"/>
                <w:color w:val="auto"/>
                <w:w w:val="82"/>
              </w:rPr>
              <w:t>purchased</w:t>
            </w:r>
          </w:p>
        </w:tc>
        <w:tc>
          <w:tcPr>
            <w:tcW w:w="820" w:type="dxa"/>
            <w:vAlign w:val="bottom"/>
          </w:tcPr>
          <w:p>
            <w:pPr>
              <w:spacing w:after="0"/>
              <w:rPr>
                <w:sz w:val="13"/>
                <w:szCs w:val="13"/>
                <w:color w:val="auto"/>
              </w:rPr>
            </w:pPr>
          </w:p>
        </w:tc>
        <w:tc>
          <w:tcPr>
            <w:tcW w:w="1580" w:type="dxa"/>
            <w:vAlign w:val="bottom"/>
            <w:gridSpan w:val="2"/>
          </w:tcPr>
          <w:p>
            <w:pPr>
              <w:jc w:val="center"/>
              <w:ind w:right="840"/>
              <w:spacing w:after="0" w:line="159" w:lineRule="exact"/>
              <w:rPr>
                <w:sz w:val="20"/>
                <w:szCs w:val="20"/>
                <w:color w:val="auto"/>
              </w:rPr>
            </w:pPr>
            <w:r>
              <w:rPr>
                <w:rFonts w:ascii="Arial" w:cs="Arial" w:eastAsia="Arial" w:hAnsi="Arial"/>
                <w:sz w:val="14"/>
                <w:szCs w:val="14"/>
                <w:color w:val="auto"/>
                <w:w w:val="82"/>
              </w:rPr>
              <w:t>purchased</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79"/>
              </w:rPr>
              <w:t>share</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2012</w:t>
            </w:r>
          </w:p>
        </w:tc>
        <w:tc>
          <w:tcPr>
            <w:tcW w:w="1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w:t>
            </w:r>
          </w:p>
        </w:tc>
        <w:tc>
          <w:tcPr>
            <w:tcW w:w="8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Nine months ended September 30, 2011</w:t>
            </w:r>
          </w:p>
        </w:tc>
        <w:tc>
          <w:tcPr>
            <w:tcW w:w="15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2,362</w:t>
            </w:r>
          </w:p>
        </w:tc>
        <w:tc>
          <w:tcPr>
            <w:tcW w:w="2400" w:type="dxa"/>
            <w:vAlign w:val="bottom"/>
            <w:gridSpan w:val="3"/>
          </w:tcPr>
          <w:p>
            <w:pPr>
              <w:jc w:val="right"/>
              <w:ind w:right="820"/>
              <w:spacing w:after="0"/>
              <w:rPr>
                <w:sz w:val="20"/>
                <w:szCs w:val="20"/>
                <w:color w:val="auto"/>
              </w:rPr>
            </w:pPr>
            <w:r>
              <w:rPr>
                <w:rFonts w:ascii="Arial" w:cs="Arial" w:eastAsia="Arial" w:hAnsi="Arial"/>
                <w:sz w:val="18"/>
                <w:szCs w:val="18"/>
                <w:color w:val="auto"/>
              </w:rPr>
              <w:t>27.8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85.01</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900" w:right="10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Cash flow provided by operations was $3.6 billion in the first nine months of 2012 compared to $3.7 billion in the first nine months of 2011 with an increase in working capital requirements offset in part by an increase in earnings before depreciation and amortization expense.</w:t>
      </w:r>
    </w:p>
    <w:p>
      <w:pPr>
        <w:spacing w:after="0" w:line="4" w:lineRule="exact"/>
        <w:rPr>
          <w:rFonts w:ascii="Arial" w:cs="Arial" w:eastAsia="Arial" w:hAnsi="Arial"/>
          <w:sz w:val="16"/>
          <w:szCs w:val="16"/>
          <w:color w:val="auto"/>
        </w:rPr>
      </w:pPr>
    </w:p>
    <w:p>
      <w:pPr>
        <w:ind w:left="900" w:right="62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Capital expenditures were $3.2 billion in the first nine months of 2012 compared to $2.8 billion during the first nine months of 2011. Capital expenditures for the full year of 2012 are expected to be approximately $4.5 billion as compared to $4.0 billion in 2011.</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third quarter of 2012, Schlumberger issued $1 billion of 1.25% Senior Notes due 2017 and $1 billion of 2.40% Senior Notes due 2022.</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third quarter of 2012, Schlumberger completed the divestiture of its 56% interest in CE Franklin Ltd. for $122 million in cash.</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second quarter of 2012, Schlumberger completed the divestiture of its Wilson distribution business for $906 million in cash.</w:t>
      </w:r>
    </w:p>
    <w:p>
      <w:pPr>
        <w:spacing w:after="0" w:line="113"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third quarter of 2011, Schlumberger issued $1.1 billion of 1.95% Senior Notes due 2016, $1.6 billion of 3.30% Senior Notes due 2021 and $300 million of Floating Rate Senior Notes due 2014 that bear interest at a rate equal to three-month LIBOR plus 55 bps per year.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second quarter of 2011, Schlumberger completed the divestiture of its Global Connectivity Services business for $385 million in cash.</w:t>
      </w:r>
    </w:p>
    <w:p>
      <w:pPr>
        <w:spacing w:after="0" w:line="113"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first quarter of 2011, Schlumberger issued $1.1 billion of 4.20% Senior Notes due 2021 and $500 million of 2.65% Senior Notes due 2016.</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first quarter of 2011, Schlumberger repurchased all of its outstanding 9.75% Senior Notes due 2019, 8.625% Senior Notes due 2014 and 6.00% Senior Notes due 2016 for approximately $1.26 billion.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times, Schlumberger experiences delays in payments from certain of its customers. Schlumberger operates in approximately 85 countries. At September 30, 2012, only five of those countries individually accounted for greater than 5% of Schlumberger’s accounts receivable balance of which only one, the United States, represented greater than 10%. A delay in payment or the nonpayment of amounts that are owed to Schlumberger could have a material adverse effect on Schlumberger’s results of operations and cash flows.</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September 30, 2012 Schlumberger had $4.8 billion of cash and short-term investments on hand. Schlumberger had separate committed debt facility agreements aggregating $4.1 billion with commercial banks, of which $3.8 billion was available and unused as of September 30, 2012. This included $3.5 billion of committed facilities which support commercial paper programs in the United States and Europe. Schlumberger believes that these amounts are sufficient to meet future business requirements for at least the next twelve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Schlumberger had no commercial paper outstanding as of September 30,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Schlumberger’s effective tax rate;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third-quarter 2012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2011. Schlumberger’s exposure to market risk has not changed materially since December 31,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u w:val="single" w:color="auto"/>
          <w:color w:val="auto"/>
        </w:rPr>
        <w:t>PART II.</w:t>
        <w:tab/>
        <w:t>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Item 1 is set forth under Note 12—</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9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On April 17, 2008, the Schlumberger Board of Directors (the “Board”) approved an $8 billion share repurchase program for Schlumberger common stock, which may be acquired in the open market or in negotiated transactions. On July 21, 2011, the Board approved an extension of this repurchase program to December 31, 2013. As of September 30, 2012, $0.9 billion remained available for repurchase under the existing repurchase authorization.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September 30, 2012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1"/>
              </w:rPr>
              <w:t>(Stated in thousands, except per share amounts)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60" w:type="dxa"/>
            <w:vAlign w:val="bottom"/>
            <w:gridSpan w:val="2"/>
          </w:tcPr>
          <w:p>
            <w:pPr>
              <w:jc w:val="center"/>
              <w:ind w:right="760"/>
              <w:spacing w:after="0"/>
              <w:rPr>
                <w:sz w:val="20"/>
                <w:szCs w:val="20"/>
                <w:color w:val="auto"/>
              </w:rPr>
            </w:pPr>
            <w:r>
              <w:rPr>
                <w:rFonts w:ascii="Arial" w:cs="Arial" w:eastAsia="Arial" w:hAnsi="Arial"/>
                <w:sz w:val="14"/>
                <w:szCs w:val="14"/>
                <w:color w:val="auto"/>
                <w:w w:val="89"/>
              </w:rPr>
              <w:t>Total number of</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2"/>
              </w:rPr>
              <w:t>shares purchased</w:t>
            </w: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9"/>
              </w:rPr>
              <w:t>Maximum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50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9"/>
              </w:rPr>
              <w:t>Total number</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w w:val="85"/>
              </w:rPr>
              <w:t>Average price</w:t>
            </w:r>
          </w:p>
        </w:tc>
        <w:tc>
          <w:tcPr>
            <w:tcW w:w="760" w:type="dxa"/>
            <w:vAlign w:val="bottom"/>
          </w:tcPr>
          <w:p>
            <w:pPr>
              <w:spacing w:after="0"/>
              <w:rPr>
                <w:sz w:val="12"/>
                <w:szCs w:val="12"/>
                <w:color w:val="auto"/>
              </w:rPr>
            </w:pPr>
          </w:p>
        </w:tc>
        <w:tc>
          <w:tcPr>
            <w:tcW w:w="17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9"/>
              </w:rPr>
              <w:t>as part of publicly</w:t>
            </w: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50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6"/>
              </w:rPr>
              <w:t>of shares</w:t>
            </w:r>
          </w:p>
        </w:tc>
        <w:tc>
          <w:tcPr>
            <w:tcW w:w="120" w:type="dxa"/>
            <w:vAlign w:val="bottom"/>
          </w:tcPr>
          <w:p>
            <w:pPr>
              <w:spacing w:after="0"/>
              <w:rPr>
                <w:sz w:val="12"/>
                <w:szCs w:val="12"/>
                <w:color w:val="auto"/>
              </w:rPr>
            </w:pPr>
          </w:p>
        </w:tc>
        <w:tc>
          <w:tcPr>
            <w:tcW w:w="640" w:type="dxa"/>
            <w:vAlign w:val="bottom"/>
          </w:tcPr>
          <w:p>
            <w:pPr>
              <w:jc w:val="right"/>
              <w:ind w:right="79"/>
              <w:spacing w:after="0" w:line="149" w:lineRule="exact"/>
              <w:rPr>
                <w:sz w:val="20"/>
                <w:szCs w:val="20"/>
                <w:color w:val="auto"/>
              </w:rPr>
            </w:pPr>
            <w:r>
              <w:rPr>
                <w:rFonts w:ascii="Arial" w:cs="Arial" w:eastAsia="Arial" w:hAnsi="Arial"/>
                <w:sz w:val="14"/>
                <w:szCs w:val="14"/>
                <w:color w:val="auto"/>
                <w:w w:val="90"/>
              </w:rPr>
              <w:t>paid per</w:t>
            </w:r>
          </w:p>
        </w:tc>
        <w:tc>
          <w:tcPr>
            <w:tcW w:w="760" w:type="dxa"/>
            <w:vAlign w:val="bottom"/>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3"/>
              </w:rPr>
              <w:t>announced</w:t>
            </w:r>
          </w:p>
        </w:tc>
        <w:tc>
          <w:tcPr>
            <w:tcW w:w="14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4"/>
              </w:rPr>
              <w:t>be purchased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500" w:type="dxa"/>
            <w:vAlign w:val="bottom"/>
            <w:gridSpan w:val="2"/>
          </w:tcPr>
          <w:p>
            <w:pPr>
              <w:jc w:val="center"/>
              <w:ind w:right="760"/>
              <w:spacing w:after="0" w:line="159" w:lineRule="exact"/>
              <w:rPr>
                <w:sz w:val="20"/>
                <w:szCs w:val="20"/>
                <w:color w:val="auto"/>
              </w:rPr>
            </w:pPr>
            <w:r>
              <w:rPr>
                <w:rFonts w:ascii="Arial" w:cs="Arial" w:eastAsia="Arial" w:hAnsi="Arial"/>
                <w:sz w:val="14"/>
                <w:szCs w:val="14"/>
                <w:color w:val="auto"/>
                <w:w w:val="82"/>
              </w:rPr>
              <w:t>purchased</w:t>
            </w:r>
          </w:p>
        </w:tc>
        <w:tc>
          <w:tcPr>
            <w:tcW w:w="120" w:type="dxa"/>
            <w:vAlign w:val="bottom"/>
          </w:tcPr>
          <w:p>
            <w:pPr>
              <w:spacing w:after="0"/>
              <w:rPr>
                <w:sz w:val="13"/>
                <w:szCs w:val="13"/>
                <w:color w:val="auto"/>
              </w:rPr>
            </w:pPr>
          </w:p>
        </w:tc>
        <w:tc>
          <w:tcPr>
            <w:tcW w:w="640" w:type="dxa"/>
            <w:vAlign w:val="bottom"/>
          </w:tcPr>
          <w:p>
            <w:pPr>
              <w:jc w:val="right"/>
              <w:ind w:right="159"/>
              <w:spacing w:after="0" w:line="159" w:lineRule="exact"/>
              <w:rPr>
                <w:sz w:val="20"/>
                <w:szCs w:val="20"/>
                <w:color w:val="auto"/>
              </w:rPr>
            </w:pPr>
            <w:r>
              <w:rPr>
                <w:rFonts w:ascii="Arial" w:cs="Arial" w:eastAsia="Arial" w:hAnsi="Arial"/>
                <w:sz w:val="14"/>
                <w:szCs w:val="14"/>
                <w:color w:val="auto"/>
              </w:rPr>
              <w:t>share</w:t>
            </w:r>
          </w:p>
        </w:tc>
        <w:tc>
          <w:tcPr>
            <w:tcW w:w="760" w:type="dxa"/>
            <w:vAlign w:val="bottom"/>
          </w:tcPr>
          <w:p>
            <w:pPr>
              <w:spacing w:after="0"/>
              <w:rPr>
                <w:sz w:val="13"/>
                <w:szCs w:val="13"/>
                <w:color w:val="auto"/>
              </w:rPr>
            </w:pPr>
          </w:p>
        </w:tc>
        <w:tc>
          <w:tcPr>
            <w:tcW w:w="1760" w:type="dxa"/>
            <w:vAlign w:val="bottom"/>
            <w:gridSpan w:val="2"/>
          </w:tcPr>
          <w:p>
            <w:pPr>
              <w:jc w:val="center"/>
              <w:ind w:right="740"/>
              <w:spacing w:after="0" w:line="159" w:lineRule="exact"/>
              <w:rPr>
                <w:sz w:val="20"/>
                <w:szCs w:val="20"/>
                <w:color w:val="auto"/>
              </w:rPr>
            </w:pPr>
            <w:r>
              <w:rPr>
                <w:rFonts w:ascii="Arial" w:cs="Arial" w:eastAsia="Arial" w:hAnsi="Arial"/>
                <w:sz w:val="14"/>
                <w:szCs w:val="14"/>
                <w:color w:val="auto"/>
                <w:w w:val="88"/>
              </w:rPr>
              <w:t>program</w:t>
            </w:r>
          </w:p>
        </w:tc>
        <w:tc>
          <w:tcPr>
            <w:tcW w:w="114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5"/>
              </w:rPr>
              <w:t>under the program</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July 1 through July 31, 2012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25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1,536.1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August 1 through August 31, 2012</w:t>
            </w:r>
          </w:p>
        </w:tc>
        <w:tc>
          <w:tcPr>
            <w:tcW w:w="740" w:type="dxa"/>
            <w:vAlign w:val="bottom"/>
          </w:tcPr>
          <w:p>
            <w:pPr>
              <w:jc w:val="right"/>
              <w:spacing w:after="0"/>
              <w:rPr>
                <w:sz w:val="20"/>
                <w:szCs w:val="20"/>
                <w:color w:val="auto"/>
              </w:rPr>
            </w:pPr>
            <w:r>
              <w:rPr>
                <w:rFonts w:ascii="Arial" w:cs="Arial" w:eastAsia="Arial" w:hAnsi="Arial"/>
                <w:sz w:val="18"/>
                <w:szCs w:val="18"/>
                <w:color w:val="auto"/>
              </w:rPr>
              <w:t>652.9</w:t>
            </w:r>
          </w:p>
        </w:tc>
        <w:tc>
          <w:tcPr>
            <w:tcW w:w="7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72.48</w:t>
            </w:r>
          </w:p>
        </w:tc>
        <w:tc>
          <w:tcPr>
            <w:tcW w:w="2520" w:type="dxa"/>
            <w:vAlign w:val="bottom"/>
            <w:gridSpan w:val="3"/>
          </w:tcPr>
          <w:p>
            <w:pPr>
              <w:jc w:val="right"/>
              <w:ind w:right="760"/>
              <w:spacing w:after="0"/>
              <w:rPr>
                <w:sz w:val="20"/>
                <w:szCs w:val="20"/>
                <w:color w:val="auto"/>
              </w:rPr>
            </w:pPr>
            <w:r>
              <w:rPr>
                <w:rFonts w:ascii="Arial" w:cs="Arial" w:eastAsia="Arial" w:hAnsi="Arial"/>
                <w:sz w:val="18"/>
                <w:szCs w:val="18"/>
                <w:color w:val="auto"/>
              </w:rPr>
              <w:t>652.9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879,373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September 1 through September 30, 2012</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2,189.0</w:t>
            </w:r>
          </w:p>
        </w:tc>
        <w:tc>
          <w:tcPr>
            <w:tcW w:w="7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r>
              <w:rPr>
                <w:rFonts w:ascii="Arial" w:cs="Arial" w:eastAsia="Arial" w:hAnsi="Arial"/>
                <w:sz w:val="18"/>
                <w:szCs w:val="18"/>
                <w:u w:val="single" w:color="auto"/>
                <w:color w:val="auto"/>
              </w:rPr>
              <w:t>19</w:t>
            </w:r>
          </w:p>
        </w:tc>
        <w:tc>
          <w:tcPr>
            <w:tcW w:w="2520" w:type="dxa"/>
            <w:vAlign w:val="bottom"/>
            <w:gridSpan w:val="3"/>
          </w:tcPr>
          <w:p>
            <w:pPr>
              <w:jc w:val="right"/>
              <w:ind w:right="760"/>
              <w:spacing w:after="0"/>
              <w:rPr>
                <w:sz w:val="20"/>
                <w:szCs w:val="20"/>
                <w:color w:val="auto"/>
              </w:rPr>
            </w:pPr>
            <w:r>
              <w:rPr>
                <w:rFonts w:ascii="Arial" w:cs="Arial" w:eastAsia="Arial" w:hAnsi="Arial"/>
                <w:sz w:val="18"/>
                <w:szCs w:val="18"/>
                <w:color w:val="auto"/>
              </w:rPr>
              <w:t>2,189.0</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barite and bentonite mining operations of M-I LLC, which, following our acquisition of Smith, became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Exhibits.</w:t>
      </w:r>
    </w:p>
    <w:p>
      <w:pPr>
        <w:spacing w:after="0" w:line="9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 to Schlumberger’s Current Report on Form 8-K filed on April 7, 2011).</w:t>
      </w:r>
    </w:p>
    <w:p>
      <w:pPr>
        <w:spacing w:after="0" w:line="51"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July 20, 2012).</w:t>
      </w:r>
    </w:p>
    <w:p>
      <w:pPr>
        <w:spacing w:after="0" w:line="51" w:lineRule="exact"/>
        <w:rPr>
          <w:sz w:val="20"/>
          <w:szCs w:val="20"/>
          <w:color w:val="auto"/>
        </w:rPr>
      </w:pPr>
    </w:p>
    <w:p>
      <w:pPr>
        <w:ind w:left="460" w:right="360" w:firstLine="4"/>
        <w:spacing w:after="0" w:line="268" w:lineRule="auto"/>
        <w:tabs>
          <w:tab w:leader="none" w:pos="5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50" w:lineRule="exact"/>
        <w:rPr>
          <w:rFonts w:ascii="Arial" w:cs="Arial" w:eastAsia="Arial" w:hAnsi="Arial"/>
          <w:sz w:val="18"/>
          <w:szCs w:val="18"/>
          <w:color w:val="auto"/>
        </w:rPr>
      </w:pPr>
    </w:p>
    <w:p>
      <w:pPr>
        <w:ind w:left="460" w:right="400" w:firstLine="4"/>
        <w:spacing w:after="0" w:line="268" w:lineRule="auto"/>
        <w:tabs>
          <w:tab w:leader="none" w:pos="5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51" w:lineRule="exact"/>
        <w:rPr>
          <w:sz w:val="20"/>
          <w:szCs w:val="20"/>
          <w:color w:val="auto"/>
        </w:rPr>
      </w:pPr>
    </w:p>
    <w:p>
      <w:pPr>
        <w:ind w:left="460" w:right="60" w:firstLine="4"/>
        <w:spacing w:after="0" w:line="268"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ind w:left="460" w:firstLine="4"/>
        <w:spacing w:after="0" w:line="268"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32.2—Certification Chief Financial Officer pursuant to 18 U.S.C. Section 1350, as adopted pursuant to Section 906 of the Sarbanes-Oxley Act of 2002.</w:t>
      </w:r>
    </w:p>
    <w:p>
      <w:pPr>
        <w:spacing w:after="0" w:line="51" w:lineRule="exact"/>
        <w:rPr>
          <w:sz w:val="20"/>
          <w:szCs w:val="20"/>
          <w:color w:val="auto"/>
        </w:rPr>
      </w:pPr>
    </w:p>
    <w:p>
      <w:pPr>
        <w:ind w:left="600" w:hanging="136"/>
        <w:spacing w:after="0"/>
        <w:tabs>
          <w:tab w:leader="none" w:pos="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Exhibit 95—Mine Safety Disclosures.</w:t>
      </w:r>
    </w:p>
    <w:p>
      <w:pPr>
        <w:spacing w:after="0" w:line="90" w:lineRule="exact"/>
        <w:rPr>
          <w:rFonts w:ascii="Arial" w:cs="Arial" w:eastAsia="Arial" w:hAnsi="Arial"/>
          <w:sz w:val="18"/>
          <w:szCs w:val="18"/>
          <w:color w:val="auto"/>
        </w:rPr>
      </w:pPr>
    </w:p>
    <w:p>
      <w:pPr>
        <w:ind w:left="460" w:right="300" w:firstLine="4"/>
        <w:spacing w:after="0" w:line="256" w:lineRule="auto"/>
        <w:tabs>
          <w:tab w:leader="none" w:pos="5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September 30, 2012, formatted in 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with this Form 10-Q.</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color w:val="auto"/>
        </w:rPr>
        <w:t>Date: October 24, 2012</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0"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Howard Guild</w:t>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17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240" w:top="459" w:right="7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9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color w:val="auto"/>
        </w:rPr>
        <w:t>Date: October 24, 2012</w:t>
      </w:r>
      <w:r>
        <w:rPr>
          <w:sz w:val="20"/>
          <w:szCs w:val="20"/>
          <w:color w:val="auto"/>
        </w:rPr>
        <w:tab/>
      </w:r>
      <w:r>
        <w:rPr>
          <w:rFonts w:ascii="Arial" w:cs="Arial" w:eastAsia="Arial" w:hAnsi="Arial"/>
          <w:sz w:val="15"/>
          <w:szCs w:val="15"/>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Paal Kibsgaard</w:t>
      </w:r>
    </w:p>
    <w:p>
      <w:pPr>
        <w:spacing w:after="0" w:line="2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90"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color w:val="auto"/>
        </w:rPr>
        <w:t>Date: October 24, 2012</w:t>
      </w:r>
      <w:r>
        <w:rPr>
          <w:sz w:val="20"/>
          <w:szCs w:val="20"/>
          <w:color w:val="auto"/>
        </w:rPr>
        <w:tab/>
      </w:r>
      <w:r>
        <w:rPr>
          <w:rFonts w:ascii="Arial" w:cs="Arial" w:eastAsia="Arial" w:hAnsi="Arial"/>
          <w:sz w:val="16"/>
          <w:szCs w:val="16"/>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Simon Ayat</w:t>
      </w:r>
    </w:p>
    <w:p>
      <w:pPr>
        <w:spacing w:after="0" w:line="2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2012 as filed with the Securities and Exchange Commission on the date hereof (the “Report”), I, Paal Kibsgaard, Chief Executive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color w:val="auto"/>
        </w:rPr>
        <w:t>Date: October 24, 2012</w:t>
      </w:r>
      <w:r>
        <w:rPr>
          <w:sz w:val="20"/>
          <w:szCs w:val="20"/>
          <w:color w:val="auto"/>
        </w:rPr>
        <w:tab/>
      </w:r>
      <w:r>
        <w:rPr>
          <w:rFonts w:ascii="Arial" w:cs="Arial" w:eastAsia="Arial" w:hAnsi="Arial"/>
          <w:sz w:val="15"/>
          <w:szCs w:val="15"/>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Paal Kibsgaard</w:t>
      </w:r>
    </w:p>
    <w:p>
      <w:pPr>
        <w:spacing w:after="0" w:line="2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2012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color w:val="auto"/>
        </w:rPr>
        <w:t>Date: October 24, 2012</w:t>
      </w:r>
      <w:r>
        <w:rPr>
          <w:sz w:val="20"/>
          <w:szCs w:val="20"/>
          <w:color w:val="auto"/>
        </w:rPr>
        <w:tab/>
      </w:r>
      <w:r>
        <w:rPr>
          <w:rFonts w:ascii="Arial" w:cs="Arial" w:eastAsia="Arial" w:hAnsi="Arial"/>
          <w:sz w:val="16"/>
          <w:szCs w:val="16"/>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Simon Ayat</w:t>
      </w:r>
    </w:p>
    <w:p>
      <w:pPr>
        <w:spacing w:after="0" w:line="2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Chief Financial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table that follows reflects citations, orders, violations and proposed assessments issued by the Mine Safety and Health Administration (the “MSHA”) to M-I LLC, which, following Schlumberger’s acquisition of Smith International, Inc., is an indirect wholly-owned subsidiary of Schlumberger. The disclosure is with respect to the three months ended September 30, 2012. Due to timing and other factors, the data may not agree with the mine data retrieval system maintained by the MSHA at www.MSHA.gov.</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(whole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85"/>
              </w:rPr>
              <w:t>Received</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9"/>
              </w:rPr>
              <w:t>Received</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Notice of</w:t>
            </w: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4"/>
              </w:rPr>
              <w:t>Notice of</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8"/>
              </w:rPr>
              <w:t>Potential</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Pattern of</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6"/>
              </w:rPr>
              <w:t>to Have</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91"/>
              </w:rPr>
              <w:t>Actions</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vMerge w:val="restart"/>
          </w:tcPr>
          <w:p>
            <w:pPr>
              <w:jc w:val="center"/>
              <w:ind w:left="262"/>
              <w:spacing w:after="0"/>
              <w:rPr>
                <w:sz w:val="20"/>
                <w:szCs w:val="20"/>
                <w:color w:val="auto"/>
              </w:rPr>
            </w:pPr>
            <w:r>
              <w:rPr>
                <w:rFonts w:ascii="Arial" w:cs="Arial" w:eastAsia="Arial" w:hAnsi="Arial"/>
                <w:sz w:val="14"/>
                <w:szCs w:val="14"/>
                <w:color w:val="auto"/>
                <w:w w:val="90"/>
              </w:rPr>
              <w:t>Mine or Operating</w:t>
            </w: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5"/>
              </w:rPr>
              <w:t>Section</w:t>
            </w: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2"/>
              </w:rPr>
              <w:t>Violations</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4"/>
              </w:rPr>
              <w:t>Pattern</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5"/>
              </w:rPr>
              <w:t>Pending</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vMerge w:val="continue"/>
          </w:tcPr>
          <w:p>
            <w:pPr>
              <w:spacing w:after="0"/>
              <w:rPr>
                <w:sz w:val="11"/>
                <w:szCs w:val="11"/>
                <w:color w:val="auto"/>
              </w:rPr>
            </w:pPr>
          </w:p>
        </w:tc>
        <w:tc>
          <w:tcPr>
            <w:tcW w:w="940" w:type="dxa"/>
            <w:vAlign w:val="bottom"/>
          </w:tcPr>
          <w:p>
            <w:pPr>
              <w:jc w:val="center"/>
              <w:ind w:left="299"/>
              <w:spacing w:after="0" w:line="135" w:lineRule="exact"/>
              <w:rPr>
                <w:sz w:val="20"/>
                <w:szCs w:val="20"/>
                <w:color w:val="auto"/>
              </w:rPr>
            </w:pPr>
            <w:r>
              <w:rPr>
                <w:rFonts w:ascii="Arial" w:cs="Arial" w:eastAsia="Arial" w:hAnsi="Arial"/>
                <w:sz w:val="14"/>
                <w:szCs w:val="14"/>
                <w:color w:val="auto"/>
                <w:w w:val="85"/>
              </w:rPr>
              <w:t>Section</w:t>
            </w:r>
          </w:p>
        </w:tc>
        <w:tc>
          <w:tcPr>
            <w:tcW w:w="4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color w:val="auto"/>
                <w:w w:val="88"/>
              </w:rPr>
              <w:t>104(d)</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jc w:val="right"/>
              <w:ind w:right="82"/>
              <w:spacing w:after="0" w:line="135" w:lineRule="exact"/>
              <w:rPr>
                <w:sz w:val="20"/>
                <w:szCs w:val="20"/>
                <w:color w:val="auto"/>
              </w:rPr>
            </w:pPr>
            <w:r>
              <w:rPr>
                <w:rFonts w:ascii="Arial" w:cs="Arial" w:eastAsia="Arial" w:hAnsi="Arial"/>
                <w:sz w:val="14"/>
                <w:szCs w:val="14"/>
                <w:color w:val="auto"/>
              </w:rPr>
              <w:t>Under</w:t>
            </w:r>
          </w:p>
        </w:tc>
        <w:tc>
          <w:tcPr>
            <w:tcW w:w="600" w:type="dxa"/>
            <w:vAlign w:val="bottom"/>
          </w:tcPr>
          <w:p>
            <w:pPr>
              <w:jc w:val="center"/>
              <w:spacing w:after="0" w:line="135" w:lineRule="exact"/>
              <w:rPr>
                <w:sz w:val="20"/>
                <w:szCs w:val="20"/>
                <w:color w:val="auto"/>
              </w:rPr>
            </w:pPr>
            <w:r>
              <w:rPr>
                <w:rFonts w:ascii="Arial" w:cs="Arial" w:eastAsia="Arial" w:hAnsi="Arial"/>
                <w:sz w:val="14"/>
                <w:szCs w:val="14"/>
                <w:color w:val="auto"/>
                <w:w w:val="89"/>
              </w:rPr>
              <w:t>Under</w:t>
            </w:r>
          </w:p>
        </w:tc>
        <w:tc>
          <w:tcPr>
            <w:tcW w:w="520" w:type="dxa"/>
            <w:vAlign w:val="bottom"/>
          </w:tcPr>
          <w:p>
            <w:pPr>
              <w:jc w:val="right"/>
              <w:ind w:right="42"/>
              <w:spacing w:after="0" w:line="135" w:lineRule="exact"/>
              <w:rPr>
                <w:sz w:val="20"/>
                <w:szCs w:val="20"/>
                <w:color w:val="auto"/>
              </w:rPr>
            </w:pPr>
            <w:r>
              <w:rPr>
                <w:rFonts w:ascii="Arial" w:cs="Arial" w:eastAsia="Arial" w:hAnsi="Arial"/>
                <w:sz w:val="14"/>
                <w:szCs w:val="14"/>
                <w:color w:val="auto"/>
              </w:rPr>
              <w:t>as of</w:t>
            </w:r>
          </w:p>
        </w:tc>
        <w:tc>
          <w:tcPr>
            <w:tcW w:w="540" w:type="dxa"/>
            <w:vAlign w:val="bottom"/>
          </w:tcPr>
          <w:p>
            <w:pPr>
              <w:jc w:val="center"/>
              <w:spacing w:after="0" w:line="135" w:lineRule="exact"/>
              <w:rPr>
                <w:sz w:val="20"/>
                <w:szCs w:val="20"/>
                <w:color w:val="auto"/>
              </w:rPr>
            </w:pPr>
            <w:r>
              <w:rPr>
                <w:rFonts w:ascii="Arial" w:cs="Arial" w:eastAsia="Arial" w:hAnsi="Arial"/>
                <w:sz w:val="14"/>
                <w:szCs w:val="14"/>
                <w:color w:val="auto"/>
                <w:w w:val="91"/>
              </w:rPr>
              <w:t>Actions</w:t>
            </w:r>
          </w:p>
        </w:tc>
        <w:tc>
          <w:tcPr>
            <w:tcW w:w="560" w:type="dxa"/>
            <w:vAlign w:val="bottom"/>
          </w:tcPr>
          <w:p>
            <w:pPr>
              <w:jc w:val="center"/>
              <w:spacing w:after="0" w:line="135" w:lineRule="exact"/>
              <w:rPr>
                <w:sz w:val="20"/>
                <w:szCs w:val="20"/>
                <w:color w:val="auto"/>
              </w:rPr>
            </w:pPr>
            <w:r>
              <w:rPr>
                <w:rFonts w:ascii="Arial" w:cs="Arial" w:eastAsia="Arial" w:hAnsi="Arial"/>
                <w:sz w:val="14"/>
                <w:szCs w:val="14"/>
                <w:color w:val="auto"/>
                <w:w w:val="91"/>
              </w:rPr>
              <w:t>Actions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jc w:val="center"/>
              <w:ind w:left="262"/>
              <w:spacing w:after="0" w:line="149" w:lineRule="exact"/>
              <w:rPr>
                <w:sz w:val="20"/>
                <w:szCs w:val="20"/>
                <w:color w:val="auto"/>
              </w:rPr>
            </w:pPr>
            <w:r>
              <w:rPr>
                <w:rFonts w:ascii="Arial" w:cs="Arial" w:eastAsia="Arial" w:hAnsi="Arial"/>
                <w:sz w:val="14"/>
                <w:szCs w:val="14"/>
                <w:color w:val="auto"/>
                <w:w w:val="90"/>
              </w:rPr>
              <w:t>Name/MSHA</w:t>
            </w:r>
          </w:p>
        </w:tc>
        <w:tc>
          <w:tcPr>
            <w:tcW w:w="940" w:type="dxa"/>
            <w:vAlign w:val="bottom"/>
          </w:tcPr>
          <w:p>
            <w:pPr>
              <w:jc w:val="center"/>
              <w:ind w:left="299"/>
              <w:spacing w:after="0" w:line="149" w:lineRule="exact"/>
              <w:rPr>
                <w:sz w:val="20"/>
                <w:szCs w:val="20"/>
                <w:color w:val="auto"/>
              </w:rPr>
            </w:pPr>
            <w:r>
              <w:rPr>
                <w:rFonts w:ascii="Arial" w:cs="Arial" w:eastAsia="Arial" w:hAnsi="Arial"/>
                <w:sz w:val="14"/>
                <w:szCs w:val="14"/>
                <w:color w:val="auto"/>
                <w:w w:val="85"/>
              </w:rPr>
              <w:t>104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9"/>
              </w:rPr>
              <w:t>Section</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1"/>
              </w:rPr>
              <w:t>Citations</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85"/>
              </w:rPr>
              <w:t>Section</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Proposed</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6"/>
              </w:rPr>
              <w:t>Mining</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Section</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5"/>
              </w:rPr>
              <w:t>Section</w:t>
            </w:r>
          </w:p>
        </w:tc>
        <w:tc>
          <w:tcPr>
            <w:tcW w:w="520" w:type="dxa"/>
            <w:vAlign w:val="bottom"/>
          </w:tcPr>
          <w:p>
            <w:pPr>
              <w:jc w:val="right"/>
              <w:ind w:right="62"/>
              <w:spacing w:after="0" w:line="149" w:lineRule="exact"/>
              <w:rPr>
                <w:sz w:val="20"/>
                <w:szCs w:val="20"/>
                <w:color w:val="auto"/>
              </w:rPr>
            </w:pPr>
            <w:r>
              <w:rPr>
                <w:rFonts w:ascii="Arial" w:cs="Arial" w:eastAsia="Arial" w:hAnsi="Arial"/>
                <w:sz w:val="14"/>
                <w:szCs w:val="14"/>
                <w:color w:val="auto"/>
              </w:rPr>
              <w:t>Last</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9"/>
              </w:rPr>
              <w:t>Initiated</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5"/>
              </w:rPr>
              <w:t>Resolved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60" w:type="dxa"/>
            <w:vAlign w:val="bottom"/>
          </w:tcPr>
          <w:p>
            <w:pPr>
              <w:jc w:val="center"/>
              <w:ind w:left="262"/>
              <w:spacing w:after="0" w:line="146" w:lineRule="exact"/>
              <w:rPr>
                <w:sz w:val="20"/>
                <w:szCs w:val="20"/>
                <w:color w:val="auto"/>
              </w:rPr>
            </w:pPr>
            <w:r>
              <w:rPr>
                <w:rFonts w:ascii="Arial" w:cs="Arial" w:eastAsia="Arial" w:hAnsi="Arial"/>
                <w:sz w:val="14"/>
                <w:szCs w:val="14"/>
                <w:color w:val="auto"/>
                <w:w w:val="94"/>
              </w:rPr>
              <w:t>Identification</w:t>
            </w:r>
          </w:p>
        </w:tc>
        <w:tc>
          <w:tcPr>
            <w:tcW w:w="940" w:type="dxa"/>
            <w:vAlign w:val="bottom"/>
          </w:tcPr>
          <w:p>
            <w:pPr>
              <w:jc w:val="right"/>
              <w:ind w:right="59"/>
              <w:spacing w:after="0" w:line="146" w:lineRule="exact"/>
              <w:rPr>
                <w:sz w:val="20"/>
                <w:szCs w:val="20"/>
                <w:color w:val="auto"/>
              </w:rPr>
            </w:pPr>
            <w:r>
              <w:rPr>
                <w:rFonts w:ascii="Arial" w:cs="Arial" w:eastAsia="Arial" w:hAnsi="Arial"/>
                <w:sz w:val="14"/>
                <w:szCs w:val="14"/>
                <w:color w:val="auto"/>
              </w:rPr>
              <w:t>S&amp;S</w:t>
            </w:r>
          </w:p>
        </w:tc>
        <w:tc>
          <w:tcPr>
            <w:tcW w:w="480" w:type="dxa"/>
            <w:vAlign w:val="bottom"/>
          </w:tcPr>
          <w:p>
            <w:pPr>
              <w:jc w:val="right"/>
              <w:spacing w:after="0" w:line="146" w:lineRule="exact"/>
              <w:rPr>
                <w:sz w:val="20"/>
                <w:szCs w:val="20"/>
                <w:color w:val="auto"/>
              </w:rPr>
            </w:pPr>
            <w:r>
              <w:rPr>
                <w:rFonts w:ascii="Arial" w:cs="Arial" w:eastAsia="Arial" w:hAnsi="Arial"/>
                <w:sz w:val="14"/>
                <w:szCs w:val="14"/>
                <w:color w:val="auto"/>
                <w:w w:val="98"/>
              </w:rPr>
              <w:t>104(b)</w:t>
            </w:r>
          </w:p>
        </w:tc>
        <w:tc>
          <w:tcPr>
            <w:tcW w:w="580" w:type="dxa"/>
            <w:vAlign w:val="bottom"/>
          </w:tcPr>
          <w:p>
            <w:pPr>
              <w:jc w:val="center"/>
              <w:spacing w:after="0" w:line="146" w:lineRule="exact"/>
              <w:rPr>
                <w:sz w:val="20"/>
                <w:szCs w:val="20"/>
                <w:color w:val="auto"/>
              </w:rPr>
            </w:pPr>
            <w:r>
              <w:rPr>
                <w:rFonts w:ascii="Arial" w:cs="Arial" w:eastAsia="Arial" w:hAnsi="Arial"/>
                <w:sz w:val="14"/>
                <w:szCs w:val="14"/>
                <w:color w:val="auto"/>
                <w:w w:val="85"/>
              </w:rPr>
              <w:t>and</w:t>
            </w:r>
          </w:p>
        </w:tc>
        <w:tc>
          <w:tcPr>
            <w:tcW w:w="620" w:type="dxa"/>
            <w:vAlign w:val="bottom"/>
          </w:tcPr>
          <w:p>
            <w:pPr>
              <w:jc w:val="center"/>
              <w:spacing w:after="0" w:line="146" w:lineRule="exact"/>
              <w:rPr>
                <w:sz w:val="20"/>
                <w:szCs w:val="20"/>
                <w:color w:val="auto"/>
              </w:rPr>
            </w:pPr>
            <w:r>
              <w:rPr>
                <w:rFonts w:ascii="Arial" w:cs="Arial" w:eastAsia="Arial" w:hAnsi="Arial"/>
                <w:sz w:val="14"/>
                <w:szCs w:val="14"/>
                <w:color w:val="auto"/>
                <w:w w:val="86"/>
              </w:rPr>
              <w:t>110(b)(2)</w:t>
            </w:r>
          </w:p>
        </w:tc>
        <w:tc>
          <w:tcPr>
            <w:tcW w:w="480" w:type="dxa"/>
            <w:vAlign w:val="bottom"/>
          </w:tcPr>
          <w:p>
            <w:pPr>
              <w:jc w:val="center"/>
              <w:spacing w:after="0" w:line="146" w:lineRule="exact"/>
              <w:rPr>
                <w:sz w:val="20"/>
                <w:szCs w:val="20"/>
                <w:color w:val="auto"/>
              </w:rPr>
            </w:pPr>
            <w:r>
              <w:rPr>
                <w:rFonts w:ascii="Arial" w:cs="Arial" w:eastAsia="Arial" w:hAnsi="Arial"/>
                <w:sz w:val="14"/>
                <w:szCs w:val="14"/>
                <w:color w:val="auto"/>
                <w:w w:val="88"/>
              </w:rPr>
              <w:t>107(a)</w:t>
            </w:r>
          </w:p>
        </w:tc>
        <w:tc>
          <w:tcPr>
            <w:tcW w:w="92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8"/>
              </w:rPr>
              <w:t>MSHA</w:t>
            </w:r>
          </w:p>
        </w:tc>
        <w:tc>
          <w:tcPr>
            <w:tcW w:w="560" w:type="dxa"/>
            <w:vAlign w:val="bottom"/>
          </w:tcPr>
          <w:p>
            <w:pPr>
              <w:jc w:val="center"/>
              <w:spacing w:after="0" w:line="146" w:lineRule="exact"/>
              <w:rPr>
                <w:sz w:val="20"/>
                <w:szCs w:val="20"/>
                <w:color w:val="auto"/>
              </w:rPr>
            </w:pPr>
            <w:r>
              <w:rPr>
                <w:rFonts w:ascii="Arial" w:cs="Arial" w:eastAsia="Arial" w:hAnsi="Arial"/>
                <w:sz w:val="14"/>
                <w:szCs w:val="14"/>
                <w:color w:val="auto"/>
                <w:w w:val="82"/>
              </w:rPr>
              <w:t>Related</w:t>
            </w:r>
          </w:p>
        </w:tc>
        <w:tc>
          <w:tcPr>
            <w:tcW w:w="640" w:type="dxa"/>
            <w:vAlign w:val="bottom"/>
          </w:tcPr>
          <w:p>
            <w:pPr>
              <w:jc w:val="right"/>
              <w:ind w:right="62"/>
              <w:spacing w:after="0" w:line="146" w:lineRule="exact"/>
              <w:rPr>
                <w:sz w:val="20"/>
                <w:szCs w:val="20"/>
                <w:color w:val="auto"/>
              </w:rPr>
            </w:pPr>
            <w:r>
              <w:rPr>
                <w:rFonts w:ascii="Arial" w:cs="Arial" w:eastAsia="Arial" w:hAnsi="Arial"/>
                <w:sz w:val="14"/>
                <w:szCs w:val="14"/>
                <w:color w:val="auto"/>
              </w:rPr>
              <w:t>104(e)</w:t>
            </w:r>
          </w:p>
        </w:tc>
        <w:tc>
          <w:tcPr>
            <w:tcW w:w="600" w:type="dxa"/>
            <w:vAlign w:val="bottom"/>
          </w:tcPr>
          <w:p>
            <w:pPr>
              <w:jc w:val="right"/>
              <w:ind w:right="43"/>
              <w:spacing w:after="0" w:line="146" w:lineRule="exact"/>
              <w:rPr>
                <w:sz w:val="20"/>
                <w:szCs w:val="20"/>
                <w:color w:val="auto"/>
              </w:rPr>
            </w:pPr>
            <w:r>
              <w:rPr>
                <w:rFonts w:ascii="Arial" w:cs="Arial" w:eastAsia="Arial" w:hAnsi="Arial"/>
                <w:sz w:val="14"/>
                <w:szCs w:val="14"/>
                <w:color w:val="auto"/>
              </w:rPr>
              <w:t>104(e)</w:t>
            </w:r>
          </w:p>
        </w:tc>
        <w:tc>
          <w:tcPr>
            <w:tcW w:w="520" w:type="dxa"/>
            <w:vAlign w:val="bottom"/>
          </w:tcPr>
          <w:p>
            <w:pPr>
              <w:jc w:val="center"/>
              <w:spacing w:after="0" w:line="146" w:lineRule="exact"/>
              <w:rPr>
                <w:sz w:val="20"/>
                <w:szCs w:val="20"/>
                <w:color w:val="auto"/>
              </w:rPr>
            </w:pPr>
            <w:r>
              <w:rPr>
                <w:rFonts w:ascii="Arial" w:cs="Arial" w:eastAsia="Arial" w:hAnsi="Arial"/>
                <w:sz w:val="14"/>
                <w:szCs w:val="14"/>
                <w:color w:val="auto"/>
                <w:w w:val="88"/>
              </w:rPr>
              <w:t>Day of</w:t>
            </w:r>
          </w:p>
        </w:tc>
        <w:tc>
          <w:tcPr>
            <w:tcW w:w="540" w:type="dxa"/>
            <w:vAlign w:val="bottom"/>
          </w:tcPr>
          <w:p>
            <w:pPr>
              <w:jc w:val="center"/>
              <w:spacing w:after="0" w:line="146" w:lineRule="exact"/>
              <w:rPr>
                <w:sz w:val="20"/>
                <w:szCs w:val="20"/>
                <w:color w:val="auto"/>
              </w:rPr>
            </w:pPr>
            <w:r>
              <w:rPr>
                <w:rFonts w:ascii="Arial" w:cs="Arial" w:eastAsia="Arial" w:hAnsi="Arial"/>
                <w:sz w:val="14"/>
                <w:szCs w:val="14"/>
                <w:color w:val="auto"/>
                <w:w w:val="92"/>
              </w:rPr>
              <w:t>During</w:t>
            </w:r>
          </w:p>
        </w:tc>
        <w:tc>
          <w:tcPr>
            <w:tcW w:w="560" w:type="dxa"/>
            <w:vAlign w:val="bottom"/>
          </w:tcPr>
          <w:p>
            <w:pPr>
              <w:jc w:val="center"/>
              <w:spacing w:after="0" w:line="146" w:lineRule="exact"/>
              <w:rPr>
                <w:sz w:val="20"/>
                <w:szCs w:val="20"/>
                <w:color w:val="auto"/>
              </w:rPr>
            </w:pPr>
            <w:r>
              <w:rPr>
                <w:rFonts w:ascii="Arial" w:cs="Arial" w:eastAsia="Arial" w:hAnsi="Arial"/>
                <w:sz w:val="14"/>
                <w:szCs w:val="14"/>
                <w:color w:val="auto"/>
                <w:w w:val="92"/>
              </w:rPr>
              <w:t>During</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960" w:type="dxa"/>
            <w:vAlign w:val="bottom"/>
          </w:tcPr>
          <w:p>
            <w:pPr>
              <w:jc w:val="center"/>
              <w:ind w:left="262"/>
              <w:spacing w:after="0"/>
              <w:rPr>
                <w:sz w:val="20"/>
                <w:szCs w:val="20"/>
                <w:color w:val="auto"/>
              </w:rPr>
            </w:pPr>
            <w:r>
              <w:rPr>
                <w:rFonts w:ascii="Arial" w:cs="Arial" w:eastAsia="Arial" w:hAnsi="Arial"/>
                <w:sz w:val="14"/>
                <w:szCs w:val="14"/>
                <w:color w:val="auto"/>
                <w:w w:val="92"/>
              </w:rPr>
              <w:t>Number</w:t>
            </w:r>
          </w:p>
        </w:tc>
        <w:tc>
          <w:tcPr>
            <w:tcW w:w="940" w:type="dxa"/>
            <w:vAlign w:val="bottom"/>
          </w:tcPr>
          <w:p>
            <w:pPr>
              <w:jc w:val="center"/>
              <w:ind w:left="319"/>
              <w:spacing w:after="0"/>
              <w:rPr>
                <w:sz w:val="20"/>
                <w:szCs w:val="20"/>
                <w:color w:val="auto"/>
              </w:rPr>
            </w:pPr>
            <w:r>
              <w:rPr>
                <w:rFonts w:ascii="Arial" w:cs="Arial" w:eastAsia="Arial" w:hAnsi="Arial"/>
                <w:sz w:val="14"/>
                <w:szCs w:val="14"/>
                <w:color w:val="auto"/>
                <w:w w:val="91"/>
              </w:rPr>
              <w:t>Citations</w:t>
            </w:r>
          </w:p>
        </w:tc>
        <w:tc>
          <w:tcPr>
            <w:tcW w:w="480" w:type="dxa"/>
            <w:vAlign w:val="bottom"/>
          </w:tcPr>
          <w:p>
            <w:pPr>
              <w:jc w:val="right"/>
              <w:spacing w:after="0"/>
              <w:rPr>
                <w:sz w:val="20"/>
                <w:szCs w:val="20"/>
                <w:color w:val="auto"/>
              </w:rPr>
            </w:pPr>
            <w:r>
              <w:rPr>
                <w:rFonts w:ascii="Arial" w:cs="Arial" w:eastAsia="Arial" w:hAnsi="Arial"/>
                <w:sz w:val="14"/>
                <w:szCs w:val="14"/>
                <w:color w:val="auto"/>
                <w:w w:val="98"/>
              </w:rPr>
              <w:t>Orders</w:t>
            </w:r>
          </w:p>
        </w:tc>
        <w:tc>
          <w:tcPr>
            <w:tcW w:w="580" w:type="dxa"/>
            <w:vAlign w:val="bottom"/>
          </w:tcPr>
          <w:p>
            <w:pPr>
              <w:jc w:val="center"/>
              <w:spacing w:after="0"/>
              <w:rPr>
                <w:sz w:val="20"/>
                <w:szCs w:val="20"/>
                <w:color w:val="auto"/>
              </w:rPr>
            </w:pPr>
            <w:r>
              <w:rPr>
                <w:rFonts w:ascii="Arial" w:cs="Arial" w:eastAsia="Arial" w:hAnsi="Arial"/>
                <w:sz w:val="14"/>
                <w:szCs w:val="14"/>
                <w:color w:val="auto"/>
                <w:w w:val="88"/>
              </w:rPr>
              <w:t>Orders</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Violations</w:t>
            </w:r>
          </w:p>
        </w:tc>
        <w:tc>
          <w:tcPr>
            <w:tcW w:w="480" w:type="dxa"/>
            <w:vAlign w:val="bottom"/>
          </w:tcPr>
          <w:p>
            <w:pPr>
              <w:jc w:val="center"/>
              <w:spacing w:after="0"/>
              <w:rPr>
                <w:sz w:val="20"/>
                <w:szCs w:val="20"/>
                <w:color w:val="auto"/>
              </w:rPr>
            </w:pPr>
            <w:r>
              <w:rPr>
                <w:rFonts w:ascii="Arial" w:cs="Arial" w:eastAsia="Arial" w:hAnsi="Arial"/>
                <w:sz w:val="14"/>
                <w:szCs w:val="14"/>
                <w:color w:val="auto"/>
                <w:w w:val="84"/>
              </w:rPr>
              <w:t>Orders</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79"/>
              </w:rPr>
              <w:t xml:space="preserve">Assessments </w:t>
            </w:r>
            <w:r>
              <w:rPr>
                <w:rFonts w:ascii="Arial" w:cs="Arial" w:eastAsia="Arial" w:hAnsi="Arial"/>
                <w:sz w:val="22"/>
                <w:szCs w:val="22"/>
                <w:color w:val="auto"/>
                <w:w w:val="79"/>
                <w:vertAlign w:val="superscript"/>
              </w:rPr>
              <w:t>(1)</w:t>
            </w:r>
          </w:p>
        </w:tc>
        <w:tc>
          <w:tcPr>
            <w:tcW w:w="560" w:type="dxa"/>
            <w:vAlign w:val="bottom"/>
          </w:tcPr>
          <w:p>
            <w:pPr>
              <w:jc w:val="center"/>
              <w:spacing w:after="0"/>
              <w:rPr>
                <w:sz w:val="20"/>
                <w:szCs w:val="20"/>
                <w:color w:val="auto"/>
              </w:rPr>
            </w:pPr>
            <w:r>
              <w:rPr>
                <w:rFonts w:ascii="Arial" w:cs="Arial" w:eastAsia="Arial" w:hAnsi="Arial"/>
                <w:sz w:val="14"/>
                <w:szCs w:val="14"/>
                <w:color w:val="auto"/>
                <w:w w:val="85"/>
              </w:rPr>
              <w:t>Fatalities</w:t>
            </w: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(yes/no)</w:t>
            </w:r>
          </w:p>
        </w:tc>
        <w:tc>
          <w:tcPr>
            <w:tcW w:w="600" w:type="dxa"/>
            <w:vAlign w:val="bottom"/>
          </w:tcPr>
          <w:p>
            <w:pPr>
              <w:jc w:val="center"/>
              <w:spacing w:after="0"/>
              <w:rPr>
                <w:sz w:val="20"/>
                <w:szCs w:val="20"/>
                <w:color w:val="auto"/>
              </w:rPr>
            </w:pPr>
            <w:r>
              <w:rPr>
                <w:rFonts w:ascii="Arial" w:cs="Arial" w:eastAsia="Arial" w:hAnsi="Arial"/>
                <w:sz w:val="14"/>
                <w:szCs w:val="14"/>
                <w:color w:val="auto"/>
                <w:w w:val="86"/>
              </w:rPr>
              <w:t>(yes/no)</w:t>
            </w:r>
          </w:p>
        </w:tc>
        <w:tc>
          <w:tcPr>
            <w:tcW w:w="520" w:type="dxa"/>
            <w:vAlign w:val="bottom"/>
          </w:tcPr>
          <w:p>
            <w:pPr>
              <w:jc w:val="center"/>
              <w:spacing w:after="0"/>
              <w:rPr>
                <w:sz w:val="20"/>
                <w:szCs w:val="20"/>
                <w:color w:val="auto"/>
              </w:rPr>
            </w:pPr>
            <w:r>
              <w:rPr>
                <w:rFonts w:ascii="Arial" w:cs="Arial" w:eastAsia="Arial" w:hAnsi="Arial"/>
                <w:sz w:val="14"/>
                <w:szCs w:val="14"/>
                <w:color w:val="auto"/>
                <w:w w:val="88"/>
              </w:rPr>
              <w:t>Period</w:t>
            </w:r>
          </w:p>
        </w:tc>
        <w:tc>
          <w:tcPr>
            <w:tcW w:w="540" w:type="dxa"/>
            <w:vAlign w:val="bottom"/>
          </w:tcPr>
          <w:p>
            <w:pPr>
              <w:jc w:val="center"/>
              <w:spacing w:after="0"/>
              <w:rPr>
                <w:sz w:val="20"/>
                <w:szCs w:val="20"/>
                <w:color w:val="auto"/>
              </w:rPr>
            </w:pPr>
            <w:r>
              <w:rPr>
                <w:rFonts w:ascii="Arial" w:cs="Arial" w:eastAsia="Arial" w:hAnsi="Arial"/>
                <w:sz w:val="14"/>
                <w:szCs w:val="14"/>
                <w:color w:val="auto"/>
                <w:w w:val="88"/>
              </w:rPr>
              <w:t>Period</w:t>
            </w:r>
          </w:p>
        </w:tc>
        <w:tc>
          <w:tcPr>
            <w:tcW w:w="560" w:type="dxa"/>
            <w:vAlign w:val="bottom"/>
          </w:tcPr>
          <w:p>
            <w:pPr>
              <w:jc w:val="center"/>
              <w:spacing w:after="0"/>
              <w:rPr>
                <w:sz w:val="20"/>
                <w:szCs w:val="20"/>
                <w:color w:val="auto"/>
              </w:rPr>
            </w:pPr>
            <w:r>
              <w:rPr>
                <w:rFonts w:ascii="Arial" w:cs="Arial" w:eastAsia="Arial" w:hAnsi="Arial"/>
                <w:sz w:val="14"/>
                <w:szCs w:val="14"/>
                <w:color w:val="auto"/>
                <w:w w:val="88"/>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Amelia Barite Plant/1600825</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N</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N</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2"/>
        </w:trPr>
        <w:tc>
          <w:tcPr>
            <w:tcW w:w="3980" w:type="dxa"/>
            <w:vAlign w:val="bottom"/>
            <w:gridSpan w:val="2"/>
          </w:tcPr>
          <w:p>
            <w:pPr>
              <w:spacing w:after="0"/>
              <w:rPr>
                <w:sz w:val="20"/>
                <w:szCs w:val="20"/>
                <w:color w:val="auto"/>
              </w:rPr>
            </w:pPr>
            <w:r>
              <w:rPr>
                <w:rFonts w:ascii="Arial" w:cs="Arial" w:eastAsia="Arial" w:hAnsi="Arial"/>
                <w:sz w:val="18"/>
                <w:szCs w:val="18"/>
                <w:color w:val="auto"/>
              </w:rPr>
              <w:t>Battle Mountain Grinding Plant/2600828</w:t>
            </w: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1</w:t>
            </w:r>
          </w:p>
        </w:tc>
        <w:tc>
          <w:tcPr>
            <w:tcW w:w="48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80"/>
              <w:spacing w:after="0"/>
              <w:rPr>
                <w:sz w:val="20"/>
                <w:szCs w:val="20"/>
                <w:color w:val="auto"/>
              </w:rPr>
            </w:pPr>
            <w:r>
              <w:rPr>
                <w:rFonts w:ascii="Arial" w:cs="Arial" w:eastAsia="Arial" w:hAnsi="Arial"/>
                <w:sz w:val="18"/>
                <w:szCs w:val="18"/>
                <w:color w:val="auto"/>
              </w:rPr>
              <w:t>0</w:t>
            </w: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0</w:t>
            </w:r>
          </w:p>
        </w:tc>
        <w:tc>
          <w:tcPr>
            <w:tcW w:w="48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62"/>
              <w:spacing w:after="0"/>
              <w:rPr>
                <w:sz w:val="20"/>
                <w:szCs w:val="20"/>
                <w:color w:val="auto"/>
              </w:rPr>
            </w:pPr>
            <w:r>
              <w:rPr>
                <w:rFonts w:ascii="Arial" w:cs="Arial" w:eastAsia="Arial" w:hAnsi="Arial"/>
                <w:sz w:val="18"/>
                <w:szCs w:val="18"/>
                <w:color w:val="auto"/>
              </w:rPr>
              <w:t>N</w:t>
            </w:r>
          </w:p>
        </w:tc>
        <w:tc>
          <w:tcPr>
            <w:tcW w:w="600" w:type="dxa"/>
            <w:vAlign w:val="bottom"/>
          </w:tcPr>
          <w:p>
            <w:pPr>
              <w:jc w:val="right"/>
              <w:ind w:right="43"/>
              <w:spacing w:after="0"/>
              <w:rPr>
                <w:sz w:val="20"/>
                <w:szCs w:val="20"/>
                <w:color w:val="auto"/>
              </w:rPr>
            </w:pPr>
            <w:r>
              <w:rPr>
                <w:rFonts w:ascii="Arial" w:cs="Arial" w:eastAsia="Arial" w:hAnsi="Arial"/>
                <w:sz w:val="18"/>
                <w:szCs w:val="18"/>
                <w:color w:val="auto"/>
              </w:rPr>
              <w:t>N</w:t>
            </w:r>
          </w:p>
        </w:tc>
        <w:tc>
          <w:tcPr>
            <w:tcW w:w="520" w:type="dxa"/>
            <w:vAlign w:val="bottom"/>
          </w:tcPr>
          <w:p>
            <w:pPr>
              <w:jc w:val="right"/>
              <w:ind w:right="42"/>
              <w:spacing w:after="0"/>
              <w:rPr>
                <w:sz w:val="20"/>
                <w:szCs w:val="20"/>
                <w:color w:val="auto"/>
              </w:rPr>
            </w:pPr>
            <w:r>
              <w:rPr>
                <w:rFonts w:ascii="Arial" w:cs="Arial" w:eastAsia="Arial" w:hAnsi="Arial"/>
                <w:sz w:val="18"/>
                <w:szCs w:val="18"/>
                <w:color w:val="auto"/>
              </w:rPr>
              <w:t>1</w:t>
            </w:r>
          </w:p>
        </w:tc>
        <w:tc>
          <w:tcPr>
            <w:tcW w:w="540" w:type="dxa"/>
            <w:vAlign w:val="bottom"/>
          </w:tcPr>
          <w:p>
            <w:pPr>
              <w:jc w:val="right"/>
              <w:ind w:right="60"/>
              <w:spacing w:after="0"/>
              <w:rPr>
                <w:sz w:val="20"/>
                <w:szCs w:val="20"/>
                <w:color w:val="auto"/>
              </w:rPr>
            </w:pPr>
            <w:r>
              <w:rPr>
                <w:rFonts w:ascii="Arial" w:cs="Arial" w:eastAsia="Arial" w:hAnsi="Arial"/>
                <w:sz w:val="18"/>
                <w:szCs w:val="18"/>
                <w:color w:val="auto"/>
              </w:rPr>
              <w:t>0</w:t>
            </w:r>
          </w:p>
        </w:tc>
        <w:tc>
          <w:tcPr>
            <w:tcW w:w="560" w:type="dxa"/>
            <w:vAlign w:val="bottom"/>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Galveston GBT Barite Grinding Plant/4104675</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N</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N</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2"/>
        </w:trPr>
        <w:tc>
          <w:tcPr>
            <w:tcW w:w="3980" w:type="dxa"/>
            <w:vAlign w:val="bottom"/>
            <w:gridSpan w:val="2"/>
          </w:tcPr>
          <w:p>
            <w:pPr>
              <w:spacing w:after="0"/>
              <w:rPr>
                <w:sz w:val="20"/>
                <w:szCs w:val="20"/>
                <w:color w:val="auto"/>
              </w:rPr>
            </w:pPr>
            <w:r>
              <w:rPr>
                <w:rFonts w:ascii="Arial" w:cs="Arial" w:eastAsia="Arial" w:hAnsi="Arial"/>
                <w:sz w:val="18"/>
                <w:szCs w:val="18"/>
                <w:color w:val="auto"/>
              </w:rPr>
              <w:t>Greybull Milling Operation/4800602</w:t>
            </w: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0</w:t>
            </w:r>
          </w:p>
        </w:tc>
        <w:tc>
          <w:tcPr>
            <w:tcW w:w="48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80"/>
              <w:spacing w:after="0"/>
              <w:rPr>
                <w:sz w:val="20"/>
                <w:szCs w:val="20"/>
                <w:color w:val="auto"/>
              </w:rPr>
            </w:pPr>
            <w:r>
              <w:rPr>
                <w:rFonts w:ascii="Arial" w:cs="Arial" w:eastAsia="Arial" w:hAnsi="Arial"/>
                <w:sz w:val="18"/>
                <w:szCs w:val="18"/>
                <w:color w:val="auto"/>
              </w:rPr>
              <w:t>0</w:t>
            </w: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0</w:t>
            </w:r>
          </w:p>
        </w:tc>
        <w:tc>
          <w:tcPr>
            <w:tcW w:w="48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3,879</w:t>
            </w:r>
          </w:p>
        </w:tc>
        <w:tc>
          <w:tcPr>
            <w:tcW w:w="56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62"/>
              <w:spacing w:after="0"/>
              <w:rPr>
                <w:sz w:val="20"/>
                <w:szCs w:val="20"/>
                <w:color w:val="auto"/>
              </w:rPr>
            </w:pPr>
            <w:r>
              <w:rPr>
                <w:rFonts w:ascii="Arial" w:cs="Arial" w:eastAsia="Arial" w:hAnsi="Arial"/>
                <w:sz w:val="18"/>
                <w:szCs w:val="18"/>
                <w:color w:val="auto"/>
              </w:rPr>
              <w:t>N</w:t>
            </w:r>
          </w:p>
        </w:tc>
        <w:tc>
          <w:tcPr>
            <w:tcW w:w="600" w:type="dxa"/>
            <w:vAlign w:val="bottom"/>
          </w:tcPr>
          <w:p>
            <w:pPr>
              <w:jc w:val="right"/>
              <w:ind w:right="43"/>
              <w:spacing w:after="0"/>
              <w:rPr>
                <w:sz w:val="20"/>
                <w:szCs w:val="20"/>
                <w:color w:val="auto"/>
              </w:rPr>
            </w:pPr>
            <w:r>
              <w:rPr>
                <w:rFonts w:ascii="Arial" w:cs="Arial" w:eastAsia="Arial" w:hAnsi="Arial"/>
                <w:sz w:val="18"/>
                <w:szCs w:val="18"/>
                <w:color w:val="auto"/>
              </w:rPr>
              <w:t>N</w:t>
            </w:r>
          </w:p>
        </w:tc>
        <w:tc>
          <w:tcPr>
            <w:tcW w:w="520" w:type="dxa"/>
            <w:vAlign w:val="bottom"/>
          </w:tcPr>
          <w:p>
            <w:pPr>
              <w:jc w:val="right"/>
              <w:ind w:right="42"/>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60"/>
              <w:spacing w:after="0"/>
              <w:rPr>
                <w:sz w:val="20"/>
                <w:szCs w:val="20"/>
                <w:color w:val="auto"/>
              </w:rPr>
            </w:pPr>
            <w:r>
              <w:rPr>
                <w:rFonts w:ascii="Arial" w:cs="Arial" w:eastAsia="Arial" w:hAnsi="Arial"/>
                <w:sz w:val="18"/>
                <w:szCs w:val="18"/>
                <w:color w:val="auto"/>
              </w:rPr>
              <w:t>0</w:t>
            </w:r>
          </w:p>
        </w:tc>
        <w:tc>
          <w:tcPr>
            <w:tcW w:w="560" w:type="dxa"/>
            <w:vAlign w:val="bottom"/>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Greybull Mining Operation/4800603</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N</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N</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2"/>
        </w:trPr>
        <w:tc>
          <w:tcPr>
            <w:tcW w:w="3980" w:type="dxa"/>
            <w:vAlign w:val="bottom"/>
            <w:gridSpan w:val="2"/>
          </w:tcPr>
          <w:p>
            <w:pPr>
              <w:spacing w:after="0"/>
              <w:rPr>
                <w:sz w:val="20"/>
                <w:szCs w:val="20"/>
                <w:color w:val="auto"/>
              </w:rPr>
            </w:pPr>
            <w:r>
              <w:rPr>
                <w:rFonts w:ascii="Arial" w:cs="Arial" w:eastAsia="Arial" w:hAnsi="Arial"/>
                <w:sz w:val="18"/>
                <w:szCs w:val="18"/>
                <w:color w:val="auto"/>
              </w:rPr>
              <w:t>Greystone Mine/2600411</w:t>
            </w: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1</w:t>
            </w:r>
          </w:p>
        </w:tc>
        <w:tc>
          <w:tcPr>
            <w:tcW w:w="48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80"/>
              <w:spacing w:after="0"/>
              <w:rPr>
                <w:sz w:val="20"/>
                <w:szCs w:val="20"/>
                <w:color w:val="auto"/>
              </w:rPr>
            </w:pPr>
            <w:r>
              <w:rPr>
                <w:rFonts w:ascii="Arial" w:cs="Arial" w:eastAsia="Arial" w:hAnsi="Arial"/>
                <w:sz w:val="18"/>
                <w:szCs w:val="18"/>
                <w:color w:val="auto"/>
              </w:rPr>
              <w:t>0</w:t>
            </w: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0</w:t>
            </w:r>
          </w:p>
        </w:tc>
        <w:tc>
          <w:tcPr>
            <w:tcW w:w="48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62"/>
              <w:spacing w:after="0"/>
              <w:rPr>
                <w:sz w:val="20"/>
                <w:szCs w:val="20"/>
                <w:color w:val="auto"/>
              </w:rPr>
            </w:pPr>
            <w:r>
              <w:rPr>
                <w:rFonts w:ascii="Arial" w:cs="Arial" w:eastAsia="Arial" w:hAnsi="Arial"/>
                <w:sz w:val="18"/>
                <w:szCs w:val="18"/>
                <w:color w:val="auto"/>
              </w:rPr>
              <w:t>N</w:t>
            </w:r>
          </w:p>
        </w:tc>
        <w:tc>
          <w:tcPr>
            <w:tcW w:w="600" w:type="dxa"/>
            <w:vAlign w:val="bottom"/>
          </w:tcPr>
          <w:p>
            <w:pPr>
              <w:jc w:val="right"/>
              <w:ind w:right="43"/>
              <w:spacing w:after="0"/>
              <w:rPr>
                <w:sz w:val="20"/>
                <w:szCs w:val="20"/>
                <w:color w:val="auto"/>
              </w:rPr>
            </w:pPr>
            <w:r>
              <w:rPr>
                <w:rFonts w:ascii="Arial" w:cs="Arial" w:eastAsia="Arial" w:hAnsi="Arial"/>
                <w:sz w:val="18"/>
                <w:szCs w:val="18"/>
                <w:color w:val="auto"/>
              </w:rPr>
              <w:t>N</w:t>
            </w:r>
          </w:p>
        </w:tc>
        <w:tc>
          <w:tcPr>
            <w:tcW w:w="520" w:type="dxa"/>
            <w:vAlign w:val="bottom"/>
          </w:tcPr>
          <w:p>
            <w:pPr>
              <w:jc w:val="right"/>
              <w:ind w:right="42"/>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60"/>
              <w:spacing w:after="0"/>
              <w:rPr>
                <w:sz w:val="20"/>
                <w:szCs w:val="20"/>
                <w:color w:val="auto"/>
              </w:rPr>
            </w:pPr>
            <w:r>
              <w:rPr>
                <w:rFonts w:ascii="Arial" w:cs="Arial" w:eastAsia="Arial" w:hAnsi="Arial"/>
                <w:sz w:val="18"/>
                <w:szCs w:val="18"/>
                <w:color w:val="auto"/>
              </w:rPr>
              <w:t>0</w:t>
            </w:r>
          </w:p>
        </w:tc>
        <w:tc>
          <w:tcPr>
            <w:tcW w:w="560" w:type="dxa"/>
            <w:vAlign w:val="bottom"/>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MI SWACO-Alpine/4104829</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N</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N</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2"/>
        </w:trPr>
        <w:tc>
          <w:tcPr>
            <w:tcW w:w="3980" w:type="dxa"/>
            <w:vAlign w:val="bottom"/>
            <w:gridSpan w:val="2"/>
          </w:tcPr>
          <w:p>
            <w:pPr>
              <w:spacing w:after="0"/>
              <w:rPr>
                <w:sz w:val="20"/>
                <w:szCs w:val="20"/>
                <w:color w:val="auto"/>
              </w:rPr>
            </w:pPr>
            <w:r>
              <w:rPr>
                <w:rFonts w:ascii="Arial" w:cs="Arial" w:eastAsia="Arial" w:hAnsi="Arial"/>
                <w:sz w:val="18"/>
                <w:szCs w:val="18"/>
                <w:color w:val="auto"/>
              </w:rPr>
              <w:t>MI SWACO-Brownsville Grinding Plant/4103033</w:t>
            </w: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0</w:t>
            </w:r>
          </w:p>
        </w:tc>
        <w:tc>
          <w:tcPr>
            <w:tcW w:w="48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80"/>
              <w:spacing w:after="0"/>
              <w:rPr>
                <w:sz w:val="20"/>
                <w:szCs w:val="20"/>
                <w:color w:val="auto"/>
              </w:rPr>
            </w:pPr>
            <w:r>
              <w:rPr>
                <w:rFonts w:ascii="Arial" w:cs="Arial" w:eastAsia="Arial" w:hAnsi="Arial"/>
                <w:sz w:val="18"/>
                <w:szCs w:val="18"/>
                <w:color w:val="auto"/>
              </w:rPr>
              <w:t>0</w:t>
            </w: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0</w:t>
            </w:r>
          </w:p>
        </w:tc>
        <w:tc>
          <w:tcPr>
            <w:tcW w:w="48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100</w:t>
            </w:r>
          </w:p>
        </w:tc>
        <w:tc>
          <w:tcPr>
            <w:tcW w:w="56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62"/>
              <w:spacing w:after="0"/>
              <w:rPr>
                <w:sz w:val="20"/>
                <w:szCs w:val="20"/>
                <w:color w:val="auto"/>
              </w:rPr>
            </w:pPr>
            <w:r>
              <w:rPr>
                <w:rFonts w:ascii="Arial" w:cs="Arial" w:eastAsia="Arial" w:hAnsi="Arial"/>
                <w:sz w:val="18"/>
                <w:szCs w:val="18"/>
                <w:color w:val="auto"/>
              </w:rPr>
              <w:t>N</w:t>
            </w:r>
          </w:p>
        </w:tc>
        <w:tc>
          <w:tcPr>
            <w:tcW w:w="600" w:type="dxa"/>
            <w:vAlign w:val="bottom"/>
          </w:tcPr>
          <w:p>
            <w:pPr>
              <w:jc w:val="right"/>
              <w:ind w:right="43"/>
              <w:spacing w:after="0"/>
              <w:rPr>
                <w:sz w:val="20"/>
                <w:szCs w:val="20"/>
                <w:color w:val="auto"/>
              </w:rPr>
            </w:pPr>
            <w:r>
              <w:rPr>
                <w:rFonts w:ascii="Arial" w:cs="Arial" w:eastAsia="Arial" w:hAnsi="Arial"/>
                <w:sz w:val="18"/>
                <w:szCs w:val="18"/>
                <w:color w:val="auto"/>
              </w:rPr>
              <w:t>N</w:t>
            </w:r>
          </w:p>
        </w:tc>
        <w:tc>
          <w:tcPr>
            <w:tcW w:w="520" w:type="dxa"/>
            <w:vAlign w:val="bottom"/>
          </w:tcPr>
          <w:p>
            <w:pPr>
              <w:jc w:val="right"/>
              <w:ind w:right="42"/>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60"/>
              <w:spacing w:after="0"/>
              <w:rPr>
                <w:sz w:val="20"/>
                <w:szCs w:val="20"/>
                <w:color w:val="auto"/>
              </w:rPr>
            </w:pPr>
            <w:r>
              <w:rPr>
                <w:rFonts w:ascii="Arial" w:cs="Arial" w:eastAsia="Arial" w:hAnsi="Arial"/>
                <w:sz w:val="18"/>
                <w:szCs w:val="18"/>
                <w:color w:val="auto"/>
              </w:rPr>
              <w:t>0</w:t>
            </w:r>
          </w:p>
        </w:tc>
        <w:tc>
          <w:tcPr>
            <w:tcW w:w="560" w:type="dxa"/>
            <w:vAlign w:val="bottom"/>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460" w:right="180" w:hanging="452"/>
        <w:spacing w:after="0" w:line="278" w:lineRule="auto"/>
        <w:tabs>
          <w:tab w:leader="none" w:pos="46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Amounts included are the total dollar value of proposed or outstanding assessments received from MSHA on or before September 30, 2012, regardless of whether the assessment has been challenged or appealed, for citations and orders occurring during the three months ended September 30, 2012. Citations and orders can be contested and appealed, and as part of that process, are sometimes reduced in severity and amount, and sometimes dismissed. The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citations, orders, and proposed assessments vary by inspector and also vary depending on the size and type of the operation.</w:t>
      </w:r>
    </w:p>
    <w:p>
      <w:pPr>
        <w:spacing w:after="0" w:line="9" w:lineRule="exact"/>
        <w:rPr>
          <w:sz w:val="20"/>
          <w:szCs w:val="20"/>
          <w:color w:val="auto"/>
        </w:rPr>
      </w:pPr>
    </w:p>
    <w:p>
      <w:pPr>
        <w:ind w:left="460" w:right="140" w:hanging="452"/>
        <w:spacing w:after="0" w:line="323"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Assessments for five additional citations under Section 104(a) (three at Battle Mountain Grinding Plant, one at Galveston GBT Barite Grinding Plant, and one at Greystone Mine) and one order under Section 104(g)(1) at Battle Mountain Grinding Plant have not yet been proposed.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1."/>
      <w:numFmt w:val="decimal"/>
      <w:start w:val="5"/>
    </w:lvl>
  </w:abstractNum>
  <w:abstractNum w:abstractNumId="5">
    <w:nsid w:val="7C83E458"/>
    <w:multiLevelType w:val="hybridMultilevel"/>
    <w:lvl w:ilvl="0">
      <w:lvlJc w:val="left"/>
      <w:lvlText w:val="%1."/>
      <w:numFmt w:val="decimal"/>
      <w:start w:val="6"/>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0"/>
    </w:lvl>
  </w:abstractNum>
  <w:abstractNum w:abstractNumId="13">
    <w:nsid w:val="2D1D5AE9"/>
    <w:multiLevelType w:val="hybridMultilevel"/>
    <w:lvl w:ilvl="0">
      <w:lvlJc w:val="left"/>
      <w:lvlText w:val="%1."/>
      <w:numFmt w:val="decimal"/>
      <w:start w:val="11"/>
    </w:lvl>
  </w:abstractNum>
  <w:abstractNum w:abstractNumId="14">
    <w:nsid w:val="6763845E"/>
    <w:multiLevelType w:val="hybridMultilevel"/>
    <w:lvl w:ilvl="0">
      <w:lvlJc w:val="left"/>
      <w:lvlText w:val="%1."/>
      <w:numFmt w:val="decimal"/>
      <w:start w:val="12"/>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4"/>
    </w:lvl>
  </w:abstractNum>
  <w:abstractNum w:abstractNumId="18">
    <w:nsid w:val="4353D0CD"/>
    <w:multiLevelType w:val="hybridMultilevel"/>
    <w:lvl w:ilvl="0">
      <w:lvlJc w:val="left"/>
      <w:lvlText w:val="%1."/>
      <w:numFmt w:val="decimal"/>
      <w:start w:val="15"/>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lvl w:ilvl="1">
      <w:lvlJc w:val="left"/>
      <w:lvlText w:val="*"/>
      <w:numFmt w:val="bullet"/>
      <w:start w:val="1"/>
    </w:lvl>
  </w:abstractNum>
  <w:abstractNum w:abstractNumId="27">
    <w:nsid w:val="8138641"/>
    <w:multiLevelType w:val="hybridMultilevel"/>
    <w:lvl w:ilvl="0">
      <w:lvlJc w:val="left"/>
      <w:lvlText w:val="**"/>
      <w:numFmt w:val="bullet"/>
      <w:start w:val="1"/>
    </w:lvl>
    <w:lvl w:ilvl="1">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2019-12-09T08:06:37Z</dcterms:created>
  <dcterms:modified xsi:type="dcterms:W3CDTF">2019-12-09T08:06:37Z</dcterms:modified>
</cp:coreProperties>
</file>