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25, 2008</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300" w:type="dxa"/>
        <w:tblCellMar>
          <w:top w:w="0" w:type="dxa"/>
          <w:left w:w="0" w:type="dxa"/>
          <w:bottom w:w="0" w:type="dxa"/>
          <w:right w:w="0" w:type="dxa"/>
        </w:tblCellMar>
      </w:tblPr>
      <w:tr>
        <w:trPr>
          <w:trHeight w:val="218"/>
        </w:trPr>
        <w:tc>
          <w:tcPr>
            <w:tcW w:w="4980" w:type="dxa"/>
            <w:vAlign w:val="bottom"/>
          </w:tcPr>
          <w:p>
            <w:pPr>
              <w:jc w:val="center"/>
              <w:ind w:right="1758"/>
              <w:spacing w:after="0"/>
              <w:rPr>
                <w:sz w:val="20"/>
                <w:szCs w:val="20"/>
                <w:color w:val="auto"/>
              </w:rPr>
            </w:pPr>
            <w:r>
              <w:rPr>
                <w:rFonts w:ascii="Arial" w:cs="Arial" w:eastAsia="Arial" w:hAnsi="Arial"/>
                <w:sz w:val="18"/>
                <w:szCs w:val="18"/>
                <w:b w:val="1"/>
                <w:bCs w:val="1"/>
                <w:color w:val="auto"/>
                <w:w w:val="88"/>
              </w:rPr>
              <w:t>Netherlands Antilles</w:t>
            </w:r>
          </w:p>
        </w:tc>
        <w:tc>
          <w:tcPr>
            <w:tcW w:w="2940" w:type="dxa"/>
            <w:vAlign w:val="bottom"/>
          </w:tcPr>
          <w:p>
            <w:pPr>
              <w:jc w:val="center"/>
              <w:ind w:left="178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980" w:type="dxa"/>
            <w:vAlign w:val="bottom"/>
          </w:tcPr>
          <w:p>
            <w:pPr>
              <w:jc w:val="center"/>
              <w:ind w:right="1778"/>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40" w:type="dxa"/>
            <w:vAlign w:val="bottom"/>
          </w:tcPr>
          <w:p>
            <w:pPr>
              <w:jc w:val="center"/>
              <w:ind w:left="180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980" w:type="dxa"/>
            <w:vAlign w:val="bottom"/>
          </w:tcPr>
          <w:p>
            <w:pPr>
              <w:jc w:val="center"/>
              <w:ind w:right="1778"/>
              <w:spacing w:after="0"/>
              <w:rPr>
                <w:sz w:val="20"/>
                <w:szCs w:val="20"/>
                <w:color w:val="auto"/>
              </w:rPr>
            </w:pPr>
            <w:r>
              <w:rPr>
                <w:rFonts w:ascii="Arial" w:cs="Arial" w:eastAsia="Arial" w:hAnsi="Arial"/>
                <w:sz w:val="14"/>
                <w:szCs w:val="14"/>
                <w:b w:val="1"/>
                <w:bCs w:val="1"/>
                <w:color w:val="auto"/>
                <w:w w:val="88"/>
              </w:rPr>
              <w:t>incorporation or organization)</w:t>
            </w:r>
          </w:p>
        </w:tc>
        <w:tc>
          <w:tcPr>
            <w:tcW w:w="2940" w:type="dxa"/>
            <w:vAlign w:val="bottom"/>
          </w:tcPr>
          <w:p>
            <w:pPr>
              <w:jc w:val="center"/>
              <w:ind w:left="1801"/>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980" w:type="dxa"/>
            <w:vAlign w:val="bottom"/>
          </w:tcPr>
          <w:p>
            <w:pPr>
              <w:jc w:val="center"/>
              <w:ind w:right="1778"/>
              <w:spacing w:after="0"/>
              <w:rPr>
                <w:sz w:val="20"/>
                <w:szCs w:val="20"/>
                <w:color w:val="auto"/>
              </w:rPr>
            </w:pPr>
            <w:r>
              <w:rPr>
                <w:rFonts w:ascii="Arial" w:cs="Arial" w:eastAsia="Arial" w:hAnsi="Arial"/>
                <w:sz w:val="18"/>
                <w:szCs w:val="18"/>
                <w:b w:val="1"/>
                <w:bCs w:val="1"/>
                <w:color w:val="auto"/>
                <w:w w:val="87"/>
              </w:rPr>
              <w:t>5599 San Felipe, 17</w:t>
            </w:r>
            <w:r>
              <w:rPr>
                <w:rFonts w:ascii="Arial" w:cs="Arial" w:eastAsia="Arial" w:hAnsi="Arial"/>
                <w:sz w:val="22"/>
                <w:szCs w:val="22"/>
                <w:b w:val="1"/>
                <w:bCs w:val="1"/>
                <w:color w:val="auto"/>
                <w:w w:val="87"/>
                <w:vertAlign w:val="superscript"/>
              </w:rPr>
              <w:t>th</w:t>
            </w:r>
            <w:r>
              <w:rPr>
                <w:rFonts w:ascii="Arial" w:cs="Arial" w:eastAsia="Arial" w:hAnsi="Arial"/>
                <w:sz w:val="18"/>
                <w:szCs w:val="18"/>
                <w:b w:val="1"/>
                <w:bCs w:val="1"/>
                <w:color w:val="auto"/>
                <w:w w:val="87"/>
              </w:rPr>
              <w:t xml:space="preserve"> Floor</w:t>
            </w:r>
          </w:p>
        </w:tc>
        <w:tc>
          <w:tcPr>
            <w:tcW w:w="2940" w:type="dxa"/>
            <w:vAlign w:val="bottom"/>
          </w:tcPr>
          <w:p>
            <w:pPr>
              <w:spacing w:after="0"/>
              <w:rPr>
                <w:sz w:val="24"/>
                <w:szCs w:val="24"/>
                <w:color w:val="auto"/>
              </w:rPr>
            </w:pPr>
          </w:p>
        </w:tc>
      </w:tr>
      <w:tr>
        <w:trPr>
          <w:trHeight w:val="242"/>
        </w:trPr>
        <w:tc>
          <w:tcPr>
            <w:tcW w:w="4980" w:type="dxa"/>
            <w:vAlign w:val="bottom"/>
          </w:tcPr>
          <w:p>
            <w:pPr>
              <w:jc w:val="center"/>
              <w:ind w:right="1778"/>
              <w:spacing w:after="0"/>
              <w:rPr>
                <w:sz w:val="20"/>
                <w:szCs w:val="20"/>
                <w:color w:val="auto"/>
              </w:rPr>
            </w:pPr>
            <w:r>
              <w:rPr>
                <w:rFonts w:ascii="Arial" w:cs="Arial" w:eastAsia="Arial" w:hAnsi="Arial"/>
                <w:sz w:val="18"/>
                <w:szCs w:val="18"/>
                <w:b w:val="1"/>
                <w:bCs w:val="1"/>
                <w:color w:val="auto"/>
                <w:w w:val="87"/>
              </w:rPr>
              <w:t>Houston, Texas, United States of America</w:t>
            </w:r>
          </w:p>
        </w:tc>
        <w:tc>
          <w:tcPr>
            <w:tcW w:w="2940" w:type="dxa"/>
            <w:vAlign w:val="bottom"/>
          </w:tcPr>
          <w:p>
            <w:pPr>
              <w:jc w:val="center"/>
              <w:ind w:left="1781"/>
              <w:spacing w:after="0"/>
              <w:rPr>
                <w:sz w:val="20"/>
                <w:szCs w:val="20"/>
                <w:color w:val="auto"/>
              </w:rPr>
            </w:pPr>
            <w:r>
              <w:rPr>
                <w:rFonts w:ascii="Arial" w:cs="Arial" w:eastAsia="Arial" w:hAnsi="Arial"/>
                <w:sz w:val="18"/>
                <w:szCs w:val="18"/>
                <w:b w:val="1"/>
                <w:bCs w:val="1"/>
                <w:color w:val="auto"/>
                <w:w w:val="87"/>
              </w:rPr>
              <w:t>77056</w:t>
            </w:r>
          </w:p>
        </w:tc>
      </w:tr>
      <w:tr>
        <w:trPr>
          <w:trHeight w:val="420"/>
        </w:trPr>
        <w:tc>
          <w:tcPr>
            <w:tcW w:w="4980" w:type="dxa"/>
            <w:vAlign w:val="bottom"/>
          </w:tcPr>
          <w:p>
            <w:pPr>
              <w:jc w:val="center"/>
              <w:ind w:right="1778"/>
              <w:spacing w:after="0"/>
              <w:rPr>
                <w:sz w:val="20"/>
                <w:szCs w:val="20"/>
                <w:color w:val="auto"/>
              </w:rPr>
            </w:pPr>
            <w:r>
              <w:rPr>
                <w:rFonts w:ascii="Arial" w:cs="Arial" w:eastAsia="Arial" w:hAnsi="Arial"/>
                <w:sz w:val="18"/>
                <w:szCs w:val="18"/>
                <w:b w:val="1"/>
                <w:bCs w:val="1"/>
                <w:color w:val="auto"/>
                <w:w w:val="89"/>
              </w:rPr>
              <w:t>42, rue Saint-Dominique</w:t>
            </w:r>
          </w:p>
        </w:tc>
        <w:tc>
          <w:tcPr>
            <w:tcW w:w="2940" w:type="dxa"/>
            <w:vAlign w:val="bottom"/>
          </w:tcPr>
          <w:p>
            <w:pPr>
              <w:spacing w:after="0"/>
              <w:rPr>
                <w:sz w:val="24"/>
                <w:szCs w:val="24"/>
                <w:color w:val="auto"/>
              </w:rPr>
            </w:pPr>
          </w:p>
        </w:tc>
      </w:tr>
      <w:tr>
        <w:trPr>
          <w:trHeight w:val="242"/>
        </w:trPr>
        <w:tc>
          <w:tcPr>
            <w:tcW w:w="4980" w:type="dxa"/>
            <w:vAlign w:val="bottom"/>
          </w:tcPr>
          <w:p>
            <w:pPr>
              <w:jc w:val="center"/>
              <w:ind w:right="1778"/>
              <w:spacing w:after="0"/>
              <w:rPr>
                <w:sz w:val="20"/>
                <w:szCs w:val="20"/>
                <w:color w:val="auto"/>
              </w:rPr>
            </w:pPr>
            <w:r>
              <w:rPr>
                <w:rFonts w:ascii="Arial" w:cs="Arial" w:eastAsia="Arial" w:hAnsi="Arial"/>
                <w:sz w:val="18"/>
                <w:szCs w:val="18"/>
                <w:b w:val="1"/>
                <w:bCs w:val="1"/>
                <w:color w:val="auto"/>
                <w:w w:val="88"/>
              </w:rPr>
              <w:t>Paris, France</w:t>
            </w:r>
          </w:p>
        </w:tc>
        <w:tc>
          <w:tcPr>
            <w:tcW w:w="2940" w:type="dxa"/>
            <w:vAlign w:val="bottom"/>
          </w:tcPr>
          <w:p>
            <w:pPr>
              <w:jc w:val="center"/>
              <w:ind w:left="1781"/>
              <w:spacing w:after="0"/>
              <w:rPr>
                <w:sz w:val="20"/>
                <w:szCs w:val="20"/>
                <w:color w:val="auto"/>
              </w:rPr>
            </w:pPr>
            <w:r>
              <w:rPr>
                <w:rFonts w:ascii="Arial" w:cs="Arial" w:eastAsia="Arial" w:hAnsi="Arial"/>
                <w:sz w:val="18"/>
                <w:szCs w:val="18"/>
                <w:b w:val="1"/>
                <w:bCs w:val="1"/>
                <w:color w:val="auto"/>
                <w:w w:val="87"/>
              </w:rPr>
              <w:t>75007</w:t>
            </w:r>
          </w:p>
        </w:tc>
      </w:tr>
      <w:tr>
        <w:trPr>
          <w:trHeight w:val="420"/>
        </w:trPr>
        <w:tc>
          <w:tcPr>
            <w:tcW w:w="4980" w:type="dxa"/>
            <w:vAlign w:val="bottom"/>
          </w:tcPr>
          <w:p>
            <w:pPr>
              <w:jc w:val="center"/>
              <w:ind w:right="1758"/>
              <w:spacing w:after="0"/>
              <w:rPr>
                <w:sz w:val="20"/>
                <w:szCs w:val="20"/>
                <w:color w:val="auto"/>
              </w:rPr>
            </w:pPr>
            <w:r>
              <w:rPr>
                <w:rFonts w:ascii="Arial" w:cs="Arial" w:eastAsia="Arial" w:hAnsi="Arial"/>
                <w:sz w:val="18"/>
                <w:szCs w:val="18"/>
                <w:b w:val="1"/>
                <w:bCs w:val="1"/>
                <w:color w:val="auto"/>
                <w:w w:val="90"/>
              </w:rPr>
              <w:t>Parkstraat 83, The Hague</w:t>
            </w:r>
          </w:p>
        </w:tc>
        <w:tc>
          <w:tcPr>
            <w:tcW w:w="2940" w:type="dxa"/>
            <w:vAlign w:val="bottom"/>
          </w:tcPr>
          <w:p>
            <w:pPr>
              <w:spacing w:after="0"/>
              <w:rPr>
                <w:sz w:val="24"/>
                <w:szCs w:val="24"/>
                <w:color w:val="auto"/>
              </w:rPr>
            </w:pPr>
          </w:p>
        </w:tc>
      </w:tr>
      <w:tr>
        <w:trPr>
          <w:trHeight w:val="231"/>
        </w:trPr>
        <w:tc>
          <w:tcPr>
            <w:tcW w:w="4980" w:type="dxa"/>
            <w:vAlign w:val="bottom"/>
          </w:tcPr>
          <w:p>
            <w:pPr>
              <w:jc w:val="center"/>
              <w:ind w:right="1758"/>
              <w:spacing w:after="0"/>
              <w:rPr>
                <w:sz w:val="20"/>
                <w:szCs w:val="20"/>
                <w:color w:val="auto"/>
              </w:rPr>
            </w:pPr>
            <w:r>
              <w:rPr>
                <w:rFonts w:ascii="Arial" w:cs="Arial" w:eastAsia="Arial" w:hAnsi="Arial"/>
                <w:sz w:val="18"/>
                <w:szCs w:val="18"/>
                <w:b w:val="1"/>
                <w:bCs w:val="1"/>
                <w:color w:val="auto"/>
                <w:w w:val="89"/>
              </w:rPr>
              <w:t>The Netherlands</w:t>
            </w:r>
          </w:p>
        </w:tc>
        <w:tc>
          <w:tcPr>
            <w:tcW w:w="2940" w:type="dxa"/>
            <w:vAlign w:val="bottom"/>
          </w:tcPr>
          <w:p>
            <w:pPr>
              <w:jc w:val="center"/>
              <w:ind w:left="180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980" w:type="dxa"/>
            <w:vAlign w:val="bottom"/>
          </w:tcPr>
          <w:p>
            <w:pPr>
              <w:jc w:val="center"/>
              <w:ind w:right="1758"/>
              <w:spacing w:after="0"/>
              <w:rPr>
                <w:sz w:val="20"/>
                <w:szCs w:val="20"/>
                <w:color w:val="auto"/>
              </w:rPr>
            </w:pPr>
            <w:r>
              <w:rPr>
                <w:rFonts w:ascii="Arial" w:cs="Arial" w:eastAsia="Arial" w:hAnsi="Arial"/>
                <w:sz w:val="14"/>
                <w:szCs w:val="14"/>
                <w:b w:val="1"/>
                <w:bCs w:val="1"/>
                <w:color w:val="auto"/>
                <w:w w:val="85"/>
              </w:rPr>
              <w:t>(Addresses of Principal Executive Offices)</w:t>
            </w:r>
          </w:p>
        </w:tc>
        <w:tc>
          <w:tcPr>
            <w:tcW w:w="2940" w:type="dxa"/>
            <w:vAlign w:val="bottom"/>
          </w:tcPr>
          <w:p>
            <w:pPr>
              <w:jc w:val="center"/>
              <w:ind w:left="1781"/>
              <w:spacing w:after="0"/>
              <w:rPr>
                <w:sz w:val="20"/>
                <w:szCs w:val="20"/>
                <w:color w:val="auto"/>
              </w:rPr>
            </w:pPr>
            <w:r>
              <w:rPr>
                <w:rFonts w:ascii="Arial" w:cs="Arial" w:eastAsia="Arial" w:hAnsi="Arial"/>
                <w:sz w:val="14"/>
                <w:szCs w:val="14"/>
                <w:b w:val="1"/>
                <w:bCs w:val="1"/>
                <w:color w:val="auto"/>
                <w:w w:val="88"/>
              </w:rPr>
              <w:t>(Zip Codes)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2008 STOCK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Ellen Summer,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 Times Square Plaza, Suite 4301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457-0260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spacing w:after="0"/>
              <w:rPr>
                <w:sz w:val="18"/>
                <w:szCs w:val="18"/>
                <w:color w:val="auto"/>
              </w:rPr>
            </w:pPr>
          </w:p>
        </w:tc>
        <w:tc>
          <w:tcPr>
            <w:tcW w:w="3280" w:type="dxa"/>
            <w:vAlign w:val="bottom"/>
            <w:gridSpan w:val="2"/>
          </w:tcPr>
          <w:p>
            <w:pPr>
              <w:ind w:left="1200"/>
              <w:spacing w:after="0"/>
              <w:rPr>
                <w:sz w:val="20"/>
                <w:szCs w:val="20"/>
                <w:color w:val="auto"/>
              </w:rPr>
            </w:pPr>
            <w:r>
              <w:rPr>
                <w:rFonts w:ascii="Arial" w:cs="Arial" w:eastAsia="Arial" w:hAnsi="Arial"/>
                <w:sz w:val="18"/>
                <w:szCs w:val="18"/>
                <w:color w:val="auto"/>
              </w:rPr>
              <w:t>Accelerated filer</w:t>
            </w:r>
          </w:p>
        </w:tc>
        <w:tc>
          <w:tcPr>
            <w:tcW w:w="1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6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spacing w:after="0"/>
              <w:rPr>
                <w:sz w:val="23"/>
                <w:szCs w:val="23"/>
                <w:color w:val="auto"/>
              </w:rPr>
            </w:pPr>
          </w:p>
        </w:tc>
        <w:tc>
          <w:tcPr>
            <w:tcW w:w="3280" w:type="dxa"/>
            <w:vAlign w:val="bottom"/>
            <w:gridSpan w:val="2"/>
          </w:tcPr>
          <w:p>
            <w:pPr>
              <w:ind w:left="1200"/>
              <w:spacing w:after="0"/>
              <w:rPr>
                <w:sz w:val="20"/>
                <w:szCs w:val="20"/>
                <w:color w:val="auto"/>
              </w:rPr>
            </w:pPr>
            <w:r>
              <w:rPr>
                <w:rFonts w:ascii="Arial" w:cs="Arial" w:eastAsia="Arial" w:hAnsi="Arial"/>
                <w:sz w:val="18"/>
                <w:szCs w:val="18"/>
                <w:color w:val="auto"/>
                <w:w w:val="95"/>
              </w:rPr>
              <w:t>Smaller reporting company</w:t>
            </w:r>
          </w:p>
        </w:tc>
        <w:tc>
          <w:tcPr>
            <w:tcW w:w="1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0" w:type="dxa"/>
            <w:vAlign w:val="bottom"/>
            <w:gridSpan w:val="3"/>
          </w:tcPr>
          <w:p>
            <w:pPr>
              <w:ind w:left="420"/>
              <w:spacing w:after="0"/>
              <w:rPr>
                <w:sz w:val="20"/>
                <w:szCs w:val="20"/>
                <w:color w:val="auto"/>
              </w:rPr>
            </w:pPr>
            <w:r>
              <w:rPr>
                <w:rFonts w:ascii="Arial" w:cs="Arial" w:eastAsia="Arial" w:hAnsi="Arial"/>
                <w:sz w:val="18"/>
                <w:szCs w:val="18"/>
                <w:b w:val="1"/>
                <w:bCs w:val="1"/>
                <w:color w:val="auto"/>
              </w:rPr>
              <w:t>CALCULATION OF REGISTRATION FEE</w:t>
            </w: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gridSpan w:val="2"/>
            <w:vMerge w:val="restart"/>
          </w:tcPr>
          <w:p>
            <w:pPr>
              <w:jc w:val="center"/>
              <w:ind w:left="1322"/>
              <w:spacing w:after="0"/>
              <w:rPr>
                <w:sz w:val="20"/>
                <w:szCs w:val="20"/>
                <w:color w:val="auto"/>
              </w:rPr>
            </w:pPr>
            <w:r>
              <w:rPr>
                <w:rFonts w:ascii="Arial" w:cs="Arial" w:eastAsia="Arial" w:hAnsi="Arial"/>
                <w:sz w:val="14"/>
                <w:szCs w:val="14"/>
                <w:b w:val="1"/>
                <w:bCs w:val="1"/>
                <w:color w:val="auto"/>
                <w:w w:val="90"/>
              </w:rPr>
              <w:t>Amount</w:t>
            </w:r>
          </w:p>
        </w:tc>
        <w:tc>
          <w:tcPr>
            <w:tcW w:w="11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3"/>
              </w:rPr>
              <w:t>Proposed</w:t>
            </w:r>
          </w:p>
        </w:tc>
        <w:tc>
          <w:tcPr>
            <w:tcW w:w="15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3"/>
              </w:rPr>
              <w:t>Proposed</w:t>
            </w:r>
          </w:p>
        </w:tc>
        <w:tc>
          <w:tcPr>
            <w:tcW w:w="920" w:type="dxa"/>
            <w:vAlign w:val="bottom"/>
            <w:gridSpan w:val="2"/>
            <w:vMerge w:val="restart"/>
          </w:tcPr>
          <w:p>
            <w:pPr>
              <w:jc w:val="center"/>
              <w:ind w:left="147"/>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80" w:type="dxa"/>
            <w:vAlign w:val="bottom"/>
            <w:gridSpan w:val="2"/>
            <w:vMerge w:val="continue"/>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maximum</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maximum</w:t>
            </w: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80" w:type="dxa"/>
            <w:vAlign w:val="bottom"/>
            <w:gridSpan w:val="2"/>
          </w:tcPr>
          <w:p>
            <w:pPr>
              <w:jc w:val="center"/>
              <w:ind w:left="1322"/>
              <w:spacing w:after="0" w:line="149" w:lineRule="exact"/>
              <w:rPr>
                <w:sz w:val="20"/>
                <w:szCs w:val="20"/>
                <w:color w:val="auto"/>
              </w:rPr>
            </w:pPr>
            <w:r>
              <w:rPr>
                <w:rFonts w:ascii="Arial" w:cs="Arial" w:eastAsia="Arial" w:hAnsi="Arial"/>
                <w:sz w:val="14"/>
                <w:szCs w:val="14"/>
                <w:b w:val="1"/>
                <w:bCs w:val="1"/>
                <w:color w:val="auto"/>
                <w:w w:val="83"/>
              </w:rPr>
              <w:t>to be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920" w:type="dxa"/>
            <w:vAlign w:val="bottom"/>
            <w:gridSpan w:val="2"/>
          </w:tcPr>
          <w:p>
            <w:pPr>
              <w:jc w:val="center"/>
              <w:ind w:left="127"/>
              <w:spacing w:after="0" w:line="149" w:lineRule="exact"/>
              <w:rPr>
                <w:sz w:val="20"/>
                <w:szCs w:val="20"/>
                <w:color w:val="auto"/>
              </w:rPr>
            </w:pPr>
            <w:r>
              <w:rPr>
                <w:rFonts w:ascii="Arial" w:cs="Arial" w:eastAsia="Arial" w:hAnsi="Arial"/>
                <w:sz w:val="14"/>
                <w:szCs w:val="14"/>
                <w:b w:val="1"/>
                <w:bCs w:val="1"/>
                <w:color w:val="auto"/>
                <w:w w:val="88"/>
              </w:rPr>
              <w:t>registration</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4"/>
                <w:szCs w:val="14"/>
                <w:b w:val="1"/>
                <w:bCs w:val="1"/>
                <w:color w:val="auto"/>
                <w:w w:val="88"/>
              </w:rPr>
              <w:t>Title of securities to be registered</w:t>
            </w:r>
          </w:p>
        </w:tc>
        <w:tc>
          <w:tcPr>
            <w:tcW w:w="1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80" w:type="dxa"/>
            <w:vAlign w:val="bottom"/>
            <w:gridSpan w:val="2"/>
          </w:tcPr>
          <w:p>
            <w:pPr>
              <w:jc w:val="center"/>
              <w:ind w:left="1322"/>
              <w:spacing w:after="0"/>
              <w:rPr>
                <w:sz w:val="20"/>
                <w:szCs w:val="20"/>
                <w:color w:val="auto"/>
              </w:rPr>
            </w:pPr>
            <w:r>
              <w:rPr>
                <w:rFonts w:ascii="Arial" w:cs="Arial" w:eastAsia="Arial" w:hAnsi="Arial"/>
                <w:sz w:val="14"/>
                <w:szCs w:val="14"/>
                <w:b w:val="1"/>
                <w:bCs w:val="1"/>
                <w:color w:val="auto"/>
                <w:w w:val="85"/>
              </w:rPr>
              <w:t>registered (2)</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per share (1)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offering price (1)</w:t>
            </w:r>
          </w:p>
        </w:tc>
        <w:tc>
          <w:tcPr>
            <w:tcW w:w="920" w:type="dxa"/>
            <w:vAlign w:val="bottom"/>
            <w:gridSpan w:val="2"/>
          </w:tcPr>
          <w:p>
            <w:pPr>
              <w:jc w:val="center"/>
              <w:ind w:left="127"/>
              <w:spacing w:after="0"/>
              <w:rPr>
                <w:sz w:val="20"/>
                <w:szCs w:val="20"/>
                <w:color w:val="auto"/>
              </w:rPr>
            </w:pPr>
            <w:r>
              <w:rPr>
                <w:rFonts w:ascii="Arial" w:cs="Arial" w:eastAsia="Arial" w:hAnsi="Arial"/>
                <w:sz w:val="14"/>
                <w:szCs w:val="14"/>
                <w:b w:val="1"/>
                <w:bCs w:val="1"/>
                <w:color w:val="auto"/>
                <w:w w:val="78"/>
              </w:rPr>
              <w:t>fee</w:t>
            </w:r>
          </w:p>
        </w:tc>
        <w:tc>
          <w:tcPr>
            <w:tcW w:w="0" w:type="dxa"/>
            <w:vAlign w:val="bottom"/>
          </w:tcPr>
          <w:p>
            <w:pPr>
              <w:spacing w:after="0"/>
              <w:rPr>
                <w:sz w:val="1"/>
                <w:szCs w:val="1"/>
                <w:color w:val="auto"/>
              </w:rPr>
            </w:pPr>
          </w:p>
        </w:tc>
      </w:tr>
      <w:tr>
        <w:trPr>
          <w:trHeight w:val="210"/>
        </w:trPr>
        <w:tc>
          <w:tcPr>
            <w:tcW w:w="36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8"/>
              </w:rPr>
              <w:t>Common stock, par value $0.01 per share (2)</w:t>
            </w:r>
          </w:p>
        </w:tc>
        <w:tc>
          <w:tcPr>
            <w:tcW w:w="920" w:type="dxa"/>
            <w:vAlign w:val="bottom"/>
            <w:tcBorders>
              <w:top w:val="single" w:sz="8" w:color="auto"/>
              <w:bottom w:val="single" w:sz="8" w:color="auto"/>
            </w:tcBorders>
          </w:tcPr>
          <w:p>
            <w:pPr>
              <w:spacing w:after="0"/>
              <w:rPr>
                <w:sz w:val="18"/>
                <w:szCs w:val="18"/>
                <w:color w:val="auto"/>
              </w:rPr>
            </w:pPr>
          </w:p>
        </w:tc>
        <w:tc>
          <w:tcPr>
            <w:tcW w:w="3280" w:type="dxa"/>
            <w:vAlign w:val="bottom"/>
            <w:tcBorders>
              <w:top w:val="single" w:sz="8" w:color="auto"/>
              <w:bottom w:val="single" w:sz="8" w:color="auto"/>
            </w:tcBorders>
            <w:gridSpan w:val="2"/>
          </w:tcPr>
          <w:p>
            <w:pPr>
              <w:jc w:val="center"/>
              <w:ind w:left="1342"/>
              <w:spacing w:after="0"/>
              <w:rPr>
                <w:sz w:val="20"/>
                <w:szCs w:val="20"/>
                <w:color w:val="auto"/>
              </w:rPr>
            </w:pPr>
            <w:r>
              <w:rPr>
                <w:rFonts w:ascii="Arial" w:cs="Arial" w:eastAsia="Arial" w:hAnsi="Arial"/>
                <w:sz w:val="18"/>
                <w:szCs w:val="18"/>
                <w:color w:val="auto"/>
                <w:w w:val="84"/>
              </w:rPr>
              <w:t>10,000,000 shares</w:t>
            </w:r>
          </w:p>
        </w:tc>
        <w:tc>
          <w:tcPr>
            <w:tcW w:w="1160" w:type="dxa"/>
            <w:vAlign w:val="bottom"/>
            <w:tcBorders>
              <w:top w:val="single" w:sz="8" w:color="auto"/>
              <w:bottom w:val="single" w:sz="8" w:color="auto"/>
            </w:tcBorders>
          </w:tcPr>
          <w:p>
            <w:pPr>
              <w:jc w:val="center"/>
              <w:ind w:right="4"/>
              <w:spacing w:after="0"/>
              <w:rPr>
                <w:sz w:val="20"/>
                <w:szCs w:val="20"/>
                <w:color w:val="auto"/>
              </w:rPr>
            </w:pPr>
            <w:r>
              <w:rPr>
                <w:rFonts w:ascii="Arial" w:cs="Arial" w:eastAsia="Arial" w:hAnsi="Arial"/>
                <w:sz w:val="18"/>
                <w:szCs w:val="18"/>
                <w:color w:val="auto"/>
                <w:w w:val="99"/>
              </w:rPr>
              <w:t>$   104.30</w:t>
            </w: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$1,043,000,000</w:t>
            </w:r>
          </w:p>
        </w:tc>
        <w:tc>
          <w:tcPr>
            <w:tcW w:w="900" w:type="dxa"/>
            <w:vAlign w:val="bottom"/>
            <w:tcBorders>
              <w:top w:val="single" w:sz="8" w:color="auto"/>
              <w:bottom w:val="single" w:sz="8" w:color="auto"/>
            </w:tcBorders>
          </w:tcPr>
          <w:p>
            <w:pPr>
              <w:jc w:val="center"/>
              <w:ind w:left="147"/>
              <w:spacing w:after="0"/>
              <w:rPr>
                <w:sz w:val="20"/>
                <w:szCs w:val="20"/>
                <w:color w:val="auto"/>
              </w:rPr>
            </w:pPr>
            <w:r>
              <w:rPr>
                <w:rFonts w:ascii="Arial" w:cs="Arial" w:eastAsia="Arial" w:hAnsi="Arial"/>
                <w:sz w:val="18"/>
                <w:szCs w:val="18"/>
                <w:color w:val="auto"/>
                <w:w w:val="96"/>
              </w:rPr>
              <w:t>$ 40,990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60" w:right="4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457(c) and 457(h)(1), based on the average of the high and low prices for the common stock of Schlumberger Limited reported on the New York Stock Exchange on June 18, 2008.</w:t>
      </w:r>
    </w:p>
    <w:p>
      <w:pPr>
        <w:ind w:left="460" w:right="10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this Registration Statement shall also include such additional indeterminate number of shares of common stock that may become issuable under the Schlumberger 2008 Stock Incentive Plan as a result of stock splits, stock dividends or similar transactions.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796"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Plan Information.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Registrant Information and Employee Plan Annual Information.</w:t>
      </w:r>
    </w:p>
    <w:p>
      <w:pPr>
        <w:spacing w:after="0" w:line="96"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The document(s) containing the information required by Item 1 of Form S-8 and the statement of availability of Registrant information and other information required by Item 2 of Form S-8 will be sent or given to employees as specified by Rule 428 under the Securities Act of 1933, as amended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27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Incorporation of Documents by Reference.</w:t>
      </w:r>
    </w:p>
    <w:p>
      <w:pPr>
        <w:spacing w:after="0" w:line="96"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This Registration Statement incorporates herein by reference the following documents, which have been filed with the Commission by the Registrant (SEC File No. 001-04601) pursuant to the Securities Act and the Securities Exchange Act of 1934, as amended (the “Exchange Act”):</w:t>
      </w:r>
    </w:p>
    <w:p>
      <w:pPr>
        <w:spacing w:after="0" w:line="4"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2007, filed on February 13, 2008;</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fiscal quarter ended March 31, 2008, filed on April 23, 2008;</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on January 24, 2008 and April 14, 2008;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the Registrant’s Common Stock contained in the Registrant’s Current Report on Form 8-K filed on April 29, 2005.</w:t>
      </w:r>
    </w:p>
    <w:p>
      <w:pPr>
        <w:spacing w:after="0" w:line="194" w:lineRule="exact"/>
        <w:rPr>
          <w:sz w:val="20"/>
          <w:szCs w:val="20"/>
          <w:color w:val="auto"/>
        </w:rPr>
      </w:pPr>
    </w:p>
    <w:p>
      <w:pPr>
        <w:ind w:right="40" w:firstLine="913"/>
        <w:spacing w:after="0" w:line="335" w:lineRule="auto"/>
        <w:rPr>
          <w:sz w:val="20"/>
          <w:szCs w:val="20"/>
          <w:color w:val="auto"/>
        </w:rPr>
      </w:pPr>
      <w:r>
        <w:rPr>
          <w:rFonts w:ascii="Arial" w:cs="Arial" w:eastAsia="Arial" w:hAnsi="Arial"/>
          <w:sz w:val="15"/>
          <w:szCs w:val="15"/>
          <w:color w:val="auto"/>
        </w:rPr>
        <w:t>Each document filed by the Registrant pursuant to Sections 13(a), 13(c), 14 or 15(d) of the Exchange Act, subsequent to the date of this Registration Statement and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such documents.</w:t>
      </w:r>
    </w:p>
    <w:p>
      <w:pPr>
        <w:spacing w:after="0" w:line="8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Any statement contained in this Registration Statement, in an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Description of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5. </w:t>
      </w:r>
      <w:r>
        <w:rPr>
          <w:rFonts w:ascii="Arial" w:cs="Arial" w:eastAsia="Arial" w:hAnsi="Arial"/>
          <w:sz w:val="18"/>
          <w:szCs w:val="18"/>
          <w:b w:val="1"/>
          <w:bCs w:val="1"/>
          <w:i w:val="1"/>
          <w:iCs w:val="1"/>
          <w:color w:val="auto"/>
        </w:rPr>
        <w:t>Interests of Named Experts and Counsel.</w:t>
      </w:r>
    </w:p>
    <w:p>
      <w:pPr>
        <w:spacing w:after="0" w:line="96"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Certain legal matters with respect to the validity of the Common Stock registered hereby have been passed upon for the Registrant by Ellen Summer, its General Counsel and Secretary. Ms. Summer is employed by the Registrant and is eligible to participate in the 2008 Stock Incentive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Indemnification of Directors and Officers.</w:t>
      </w:r>
    </w:p>
    <w:p>
      <w:pPr>
        <w:spacing w:after="0" w:line="96"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Article 10 of the Registrant’s Articles of Incorporation and Article V of the Registrant’s Amended and Restated By-Laws contain provisions providing for indemnification of the Registrant’s directors, officers, employees and agents. Article 10 of the Articles of Incorporation permits (but does not require) the Registrant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the Registrant’s Amended and Restated By-Laws contains mandatory indemnification for current and former directors and officers as described below.</w:t>
      </w:r>
    </w:p>
    <w:p>
      <w:pPr>
        <w:spacing w:after="0" w:line="144"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To the fullest extent permitted by applicable law, the Registrant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Registrant) by reason of the fact that he or she is or was a director or officer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Registrant,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 Registrant, and, with respect to any criminal action or proceeding, had reasonable cause to believe that such person’s conduct was unlawful. The Registrant is required to indemnify any present or former officer or director of the Registrant to the fullest extent allowed by the preceding paragraphs in the event of a “Change of Control.” “Change of Control” means a change in control of the Registrant, which shall be deemed to have occurred if at any time (i) any entity, person or organization is or becomes the legal or beneficial owner, directly or indirectly, of securities of the Registrant representing 30% or more of the combined voting power of the Registrant’s then outstanding shares without the prior approval of at least two-thirds of the members of the Board of Directors in office immediately prior to such entity, person or organization attaining such percentage interest; (ii) the Registrant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Registrant’s stockholders was approved by a vote of at least two-thirds of the directors then still in office who were directors at the beginning of such period) cease for any reason to constitute at least a majority of the Board of Directors.</w:t>
      </w:r>
    </w:p>
    <w:p>
      <w:pPr>
        <w:spacing w:after="0" w:line="129"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To the fullest extent permitted by applicable law, the Registrant shall indemnify any current or former director or officer who was or is a party or is threatened to be made a party to any threatened, pending or completed action or suit by or in the right of the Registrant to procure a judgment in the Registrant’s favor by reason of the fact that such person is or was a director, officer, employee or agent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Registrant and except that no indemnification may be made in respect of any claim, issue or matter as to which such person has been finally adjudged to be liable to the Registrant for improper conduct unless and only to the extent that the court in which that action or suit was brought or any other court having appropriate jurisdiction determines upon application that, despite the adjudication of liability, but in view of</w:t>
      </w:r>
    </w:p>
    <w:p>
      <w:pPr>
        <w:sectPr>
          <w:pgSz w:w="11900" w:h="16838" w:orient="portrait"/>
          <w:cols w:equalWidth="0" w:num="1">
            <w:col w:w="11420"/>
          </w:cols>
          <w:pgMar w:left="240" w:top="274" w:right="239" w:bottom="1440" w:gutter="0" w:footer="0" w:header="0"/>
        </w:sectPr>
      </w:pPr>
    </w:p>
    <w:bookmarkStart w:id="3" w:name="page4"/>
    <w:bookmarkEnd w:id="3"/>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Registrant is required to indemnify any present or former officer or director to the fullest extent allowed by this paragraph in the event of a Change of Control (as defined above).</w:t>
      </w:r>
    </w:p>
    <w:p>
      <w:pPr>
        <w:spacing w:after="0" w:line="10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Any indemnification under the first two paragraphs in this item (unless ordered by a court) may be extended to current or former employees or agents of the Registrant only as authorized by the Chief Executive Officer or by contract approved, or by-laws, resolution or other action adopted or taken, by the board of directors or by the stockholders.</w:t>
      </w:r>
    </w:p>
    <w:p>
      <w:pPr>
        <w:spacing w:after="0" w:line="140"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Expenses (including attorneys’ fees) incurred by a present or former director or a present officer in defending any civil or criminal, administrative or investigative action, suit or proceeding will be paid by the Registrant in advance of the final disposition of such action, suit or proceeding upon receipt of an undertaking by or on behalf of such person to repay such amount if it is ultimately determined that such person is not entitled to be indemnified by the Registrant.</w:t>
      </w:r>
    </w:p>
    <w:p>
      <w:pPr>
        <w:spacing w:after="0" w:line="107"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Registrant may pay such expenses (including attorneys’ fees) incurred by former officers or other employees and agents upon such terms and conditions, if any, it deems appropriate.</w:t>
      </w:r>
    </w:p>
    <w:p>
      <w:pPr>
        <w:spacing w:after="0" w:line="132" w:lineRule="exact"/>
        <w:rPr>
          <w:sz w:val="20"/>
          <w:szCs w:val="20"/>
          <w:color w:val="auto"/>
        </w:rPr>
      </w:pPr>
    </w:p>
    <w:p>
      <w:pPr>
        <w:ind w:right="40" w:firstLine="913"/>
        <w:spacing w:after="0" w:line="323" w:lineRule="auto"/>
        <w:rPr>
          <w:sz w:val="20"/>
          <w:szCs w:val="20"/>
          <w:color w:val="auto"/>
        </w:rPr>
      </w:pPr>
      <w:r>
        <w:rPr>
          <w:rFonts w:ascii="Arial" w:cs="Arial" w:eastAsia="Arial" w:hAnsi="Arial"/>
          <w:sz w:val="15"/>
          <w:szCs w:val="15"/>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98"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The Registrant has the power to purchase and maintain insurance on behalf of any person who is or was a director, officer, employee or agent of the Registrant, or is or was serving at the request of the Registrant in such a capacity for another corporation, partnership, joint venture, trust or other enterprise or entity against any liability asserted against that person and incurred by that person in any of those capacities or arising out of such person’s status as such, whether or not the Registrant would have the power to indemnify such person against such liability.</w:t>
      </w:r>
    </w:p>
    <w:p>
      <w:pPr>
        <w:spacing w:after="0" w:line="113"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References to the Registrant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44"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the Registrant” includes any service as a director, officer, employee or agent of the Registrant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Registrant.”</w:t>
      </w:r>
    </w:p>
    <w:p>
      <w:pPr>
        <w:spacing w:after="0" w:line="116"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A member of the Board of Directors, or a member of any committee designated by the Board of Directors, shall, in the performance of such member’s duties, be fully protected in relying in good faith upon the records of the Registrant and upon such information, opinions, reports or statements presented to the Registrant by any of the Registrant’s officers or employees, or committees of the Board of Directors, or by any other person as to matters the member reasonably believes are within such other person’s professional or expert competence and who has been selected with reasonable care by or on behalf of the Registrant.</w:t>
      </w:r>
    </w:p>
    <w:p>
      <w:pPr>
        <w:spacing w:after="0" w:line="143"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In addition, the Registrant maintains directors’ and officers’ liability insurance which insures against certain liabilities that the officers and directors of the Registrant may incur in such capacities.</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7. </w:t>
      </w:r>
      <w:r>
        <w:rPr>
          <w:rFonts w:ascii="Arial" w:cs="Arial" w:eastAsia="Arial" w:hAnsi="Arial"/>
          <w:sz w:val="18"/>
          <w:szCs w:val="18"/>
          <w:b w:val="1"/>
          <w:bCs w:val="1"/>
          <w:i w:val="1"/>
          <w:iCs w:val="1"/>
          <w:color w:val="auto"/>
        </w:rPr>
        <w:t>Exemption from Registration Claimed.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Exhibits.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8890</wp:posOffset>
            </wp:positionV>
            <wp:extent cx="64319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7" w:lineRule="exact"/>
        <w:rPr>
          <w:sz w:val="20"/>
          <w:szCs w:val="20"/>
          <w:color w:val="auto"/>
        </w:rPr>
      </w:pPr>
    </w:p>
    <w:p>
      <w:pPr>
        <w:ind w:left="920" w:right="520" w:hanging="1084"/>
        <w:spacing w:after="0" w:line="259" w:lineRule="auto"/>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Articles of Incorporation of Schlumberger N.V. (Schlumberger Limited), as amended to date (incorporated by reference to Exhibit 3.1 to Schlumberger’s Quarterly Report on Form 10-Q for the fiscal quarter ended March 31, 2006).</w:t>
      </w:r>
    </w:p>
    <w:p>
      <w:pPr>
        <w:spacing w:after="0" w:line="86" w:lineRule="exact"/>
        <w:rPr>
          <w:sz w:val="20"/>
          <w:szCs w:val="20"/>
          <w:color w:val="auto"/>
        </w:rPr>
      </w:pPr>
    </w:p>
    <w:p>
      <w:pPr>
        <w:ind w:left="920" w:right="60" w:hanging="1084"/>
        <w:spacing w:after="0" w:line="268" w:lineRule="auto"/>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Amended and Restated Bylaws of Schlumberger N.V. (Schlumberger Limited), as amended to date (incorporated by reference to Exhibit 3.1 to Schlumberger’s Current Report on Form 8-K filed April 22, 2005).</w:t>
      </w:r>
    </w:p>
    <w:p>
      <w:pPr>
        <w:spacing w:after="0" w:line="78" w:lineRule="exact"/>
        <w:rPr>
          <w:sz w:val="20"/>
          <w:szCs w:val="20"/>
          <w:color w:val="auto"/>
        </w:rPr>
      </w:pPr>
    </w:p>
    <w:p>
      <w:pPr>
        <w:ind w:left="920" w:right="160" w:hanging="1084"/>
        <w:spacing w:after="0" w:line="268" w:lineRule="auto"/>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Schlumberger 2008 Stock Incentive Plan (incorporated by reference to Appendix 1 to Schlumberger’s definitive proxy statement for the 2008 Annual General Meeting of Stockholders held on April 9, 2008).</w:t>
      </w:r>
    </w:p>
    <w:p>
      <w:pPr>
        <w:spacing w:after="0" w:line="78" w:lineRule="exact"/>
        <w:rPr>
          <w:sz w:val="20"/>
          <w:szCs w:val="20"/>
          <w:color w:val="auto"/>
        </w:rPr>
      </w:pPr>
    </w:p>
    <w:p>
      <w:pPr>
        <w:ind w:left="920" w:hanging="49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Opinion of Ellen Summer, Esq. as to the legality of the shares of common stock being registered (filed herewith).</w:t>
      </w:r>
    </w:p>
    <w:p>
      <w:pPr>
        <w:spacing w:after="0" w:line="117" w:lineRule="exact"/>
        <w:rPr>
          <w:sz w:val="20"/>
          <w:szCs w:val="20"/>
          <w:color w:val="auto"/>
        </w:rPr>
      </w:pPr>
    </w:p>
    <w:p>
      <w:pPr>
        <w:ind w:left="200"/>
        <w:spacing w:after="0"/>
        <w:tabs>
          <w:tab w:leader="none" w:pos="900" w:val="left"/>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Consent of PricewaterhouseCoopers LLP (Houston, TX) independent registered public accounting firm (filed herewith).</w:t>
      </w:r>
    </w:p>
    <w:p>
      <w:pPr>
        <w:spacing w:after="0" w:line="117" w:lineRule="exact"/>
        <w:rPr>
          <w:sz w:val="20"/>
          <w:szCs w:val="20"/>
          <w:color w:val="auto"/>
        </w:rPr>
      </w:pPr>
    </w:p>
    <w:p>
      <w:pPr>
        <w:ind w:left="200"/>
        <w:spacing w:after="0"/>
        <w:tabs>
          <w:tab w:leader="none" w:pos="900" w:val="left"/>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Consent of Ellen Summer, Esq. (included in Exhibit 5).</w:t>
      </w:r>
    </w:p>
    <w:p>
      <w:pPr>
        <w:spacing w:after="0" w:line="117" w:lineRule="exact"/>
        <w:rPr>
          <w:sz w:val="20"/>
          <w:szCs w:val="20"/>
          <w:color w:val="auto"/>
        </w:rPr>
      </w:pPr>
    </w:p>
    <w:p>
      <w:pPr>
        <w:ind w:right="7540" w:firstLine="337"/>
        <w:spacing w:after="0" w:line="525" w:lineRule="auto"/>
        <w:tabs>
          <w:tab w:leader="none" w:pos="905" w:val="left"/>
        </w:tabs>
        <w:numPr>
          <w:ilvl w:val="1"/>
          <w:numId w:val="4"/>
        </w:numPr>
        <w:rPr>
          <w:rFonts w:ascii="Arial" w:cs="Arial" w:eastAsia="Arial" w:hAnsi="Arial"/>
          <w:sz w:val="16"/>
          <w:szCs w:val="16"/>
          <w:color w:val="auto"/>
        </w:rPr>
      </w:pPr>
      <w:r>
        <w:rPr>
          <w:rFonts w:ascii="Arial" w:cs="Arial" w:eastAsia="Arial" w:hAnsi="Arial"/>
          <w:sz w:val="16"/>
          <w:szCs w:val="16"/>
          <w:color w:val="auto"/>
        </w:rPr>
        <w:t>— Powers of Attorney (filed herewith). * Incorporated by reference as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Undertakings.</w:t>
      </w:r>
    </w:p>
    <w:p>
      <w:pPr>
        <w:spacing w:after="0" w:line="9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 and</w:t>
      </w:r>
    </w:p>
    <w:p>
      <w:pPr>
        <w:sectPr>
          <w:pgSz w:w="11900" w:h="16838" w:orient="portrait"/>
          <w:cols w:equalWidth="0" w:num="1">
            <w:col w:w="11400"/>
          </w:cols>
          <w:pgMar w:left="240" w:top="274" w:right="259" w:bottom="1440" w:gutter="0" w:footer="0" w:header="0"/>
        </w:sectPr>
      </w:pPr>
    </w:p>
    <w:bookmarkStart w:id="5" w:name="page6"/>
    <w:bookmarkEnd w:id="5"/>
    <w:p>
      <w:pPr>
        <w:ind w:left="460" w:right="260" w:firstLine="421"/>
        <w:spacing w:after="0" w:line="268" w:lineRule="auto"/>
        <w:tabs>
          <w:tab w:leader="none" w:pos="1187"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undertakings set forth in paragraphs (a)(1)(i) and (a)(1)(ii) above do not apply if the information required to be included in a</w:t>
      </w:r>
      <w:r>
        <w:rPr>
          <w:rFonts w:ascii="Arial" w:cs="Arial" w:eastAsia="Arial" w:hAnsi="Arial"/>
          <w:sz w:val="16"/>
          <w:szCs w:val="16"/>
          <w:i w:val="1"/>
          <w:iCs w:val="1"/>
          <w:color w:val="auto"/>
        </w:rPr>
        <w:t xml:space="preserve"> </w:t>
      </w:r>
      <w:r>
        <w:rPr>
          <w:rFonts w:ascii="Arial" w:cs="Arial" w:eastAsia="Arial" w:hAnsi="Arial"/>
          <w:sz w:val="16"/>
          <w:szCs w:val="16"/>
          <w:color w:val="auto"/>
        </w:rPr>
        <w:t>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26" w:lineRule="exact"/>
        <w:rPr>
          <w:sz w:val="20"/>
          <w:szCs w:val="20"/>
          <w:color w:val="auto"/>
        </w:rPr>
      </w:pPr>
    </w:p>
    <w:p>
      <w:pPr>
        <w:ind w:firstLine="443"/>
        <w:spacing w:after="0" w:line="259" w:lineRule="auto"/>
        <w:tabs>
          <w:tab w:leader="none" w:pos="687"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right="800" w:firstLine="443"/>
        <w:spacing w:after="0" w:line="268" w:lineRule="auto"/>
        <w:tabs>
          <w:tab w:leader="none" w:pos="687"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460" w:right="180" w:firstLine="464"/>
        <w:spacing w:after="0" w:line="255"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2" w:lineRule="exact"/>
        <w:rPr>
          <w:rFonts w:ascii="Arial" w:cs="Arial" w:eastAsia="Arial" w:hAnsi="Arial"/>
          <w:sz w:val="18"/>
          <w:szCs w:val="18"/>
          <w:color w:val="auto"/>
        </w:rPr>
      </w:pPr>
    </w:p>
    <w:p>
      <w:pPr>
        <w:ind w:left="-460" w:right="140" w:firstLine="464"/>
        <w:spacing w:after="0" w:line="289" w:lineRule="auto"/>
        <w:tabs>
          <w:tab w:leader="none" w:pos="23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0940"/>
          </w:cols>
          <w:pgMar w:left="700" w:top="280" w:right="25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June 25, 2008.</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June 25, 2008 in the capacities indicated.</w:t>
      </w:r>
    </w:p>
    <w:p>
      <w:pPr>
        <w:sectPr>
          <w:pgSz w:w="11900" w:h="16838" w:orient="portrait"/>
          <w:cols w:equalWidth="0" w:num="1">
            <w:col w:w="11360"/>
          </w:cols>
          <w:pgMar w:left="240" w:top="274" w:right="29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Simon Ayat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Philippe Camus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 Ellen Summer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6073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Attorney-in-Fact, pursuant to Powers of Attorney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31813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E. Marks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31813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Nikolay Kudryavtsev</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31813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31813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Tore I. Sandvold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31813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31813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31813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 Rafael Reif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680" w:space="720"/>
            <w:col w:w="4960"/>
          </w:cols>
          <w:pgMar w:left="240" w:top="274" w:right="29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*4.1</w:t>
            </w:r>
          </w:p>
        </w:tc>
        <w:tc>
          <w:tcPr>
            <w:tcW w:w="400" w:type="dxa"/>
            <w:vAlign w:val="bottom"/>
          </w:tcPr>
          <w:p>
            <w:pPr>
              <w:spacing w:after="0"/>
              <w:rPr>
                <w:sz w:val="17"/>
                <w:szCs w:val="17"/>
                <w:color w:val="auto"/>
              </w:rPr>
            </w:pPr>
          </w:p>
        </w:tc>
        <w:tc>
          <w:tcPr>
            <w:tcW w:w="10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Articles of Incorporation of Schlumberger N.V. (Schlumberger Limited), as amended to date (incorporated by reference to Exhibit 3.1 to</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Schlumberger’s Quarterly Report on Form 10-Q for the fiscal quarter ended March 31, 2006).</w:t>
            </w:r>
          </w:p>
        </w:tc>
      </w:tr>
      <w:tr>
        <w:trPr>
          <w:trHeight w:val="318"/>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*4.2</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0"/>
              </w:rPr>
              <w:t>Amended and Restated Bylaws of Schlumberger N.V. (Schlumberger Limited), as amended to date (incorporated by reference to Exhibit 3.1 to</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Schlumberger’s Current Report on Form 8-K filed April 22, 2005).</w:t>
            </w:r>
          </w:p>
        </w:tc>
      </w:tr>
      <w:tr>
        <w:trPr>
          <w:trHeight w:val="318"/>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*4.3</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2"/>
              </w:rPr>
              <w:t>Schlumberger 2008 Stock Incentive Plan (incorporated by reference to Appendix 1 to Schlumberger’s definitive proxy statement for the 2008</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Annual General Meeting of Stockholders held on April 9, 2008).</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120" w:hanging="695"/>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Opinion of Ellen Summer, Esq., as to the legality of the shares of common stock being registered (filed herewith).</w:t>
      </w:r>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23.1</w:t>
            </w:r>
          </w:p>
        </w:tc>
        <w:tc>
          <w:tcPr>
            <w:tcW w:w="8760" w:type="dxa"/>
            <w:vAlign w:val="bottom"/>
          </w:tcPr>
          <w:p>
            <w:pPr>
              <w:ind w:left="300"/>
              <w:spacing w:after="0"/>
              <w:rPr>
                <w:sz w:val="20"/>
                <w:szCs w:val="20"/>
                <w:color w:val="auto"/>
              </w:rPr>
            </w:pPr>
            <w:r>
              <w:rPr>
                <w:rFonts w:ascii="Arial" w:cs="Arial" w:eastAsia="Arial" w:hAnsi="Arial"/>
                <w:sz w:val="18"/>
                <w:szCs w:val="18"/>
                <w:color w:val="auto"/>
                <w:w w:val="89"/>
              </w:rPr>
              <w:t>Consent of PricewaterhouseCoopers LLP (Houston, TX) independent registered public accounting firm (filed herewith).</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23.2</w:t>
            </w:r>
          </w:p>
        </w:tc>
        <w:tc>
          <w:tcPr>
            <w:tcW w:w="8760" w:type="dxa"/>
            <w:vAlign w:val="bottom"/>
          </w:tcPr>
          <w:p>
            <w:pPr>
              <w:ind w:left="300"/>
              <w:spacing w:after="0"/>
              <w:rPr>
                <w:sz w:val="20"/>
                <w:szCs w:val="20"/>
                <w:color w:val="auto"/>
              </w:rPr>
            </w:pPr>
            <w:r>
              <w:rPr>
                <w:rFonts w:ascii="Arial" w:cs="Arial" w:eastAsia="Arial" w:hAnsi="Arial"/>
                <w:sz w:val="18"/>
                <w:szCs w:val="18"/>
                <w:color w:val="auto"/>
              </w:rPr>
              <w:t>Consent of Ellen Summer, Esq. (included in Exhibit 5).</w:t>
            </w:r>
          </w:p>
        </w:tc>
      </w:tr>
    </w:tbl>
    <w:p>
      <w:pPr>
        <w:spacing w:after="0" w:line="102" w:lineRule="exact"/>
        <w:rPr>
          <w:sz w:val="20"/>
          <w:szCs w:val="20"/>
          <w:color w:val="auto"/>
        </w:rPr>
      </w:pPr>
    </w:p>
    <w:p>
      <w:pPr>
        <w:ind w:left="1120" w:hanging="783"/>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Powers of Attorney (filed herewith).</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Incorporated by reference as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25,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 Times Square Plaza, Suite 4301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60" w:firstLine="913"/>
        <w:spacing w:after="0" w:line="318" w:lineRule="auto"/>
        <w:rPr>
          <w:sz w:val="20"/>
          <w:szCs w:val="20"/>
          <w:color w:val="auto"/>
        </w:rPr>
      </w:pPr>
      <w:r>
        <w:rPr>
          <w:rFonts w:ascii="Arial" w:cs="Arial" w:eastAsia="Arial" w:hAnsi="Arial"/>
          <w:sz w:val="15"/>
          <w:szCs w:val="15"/>
          <w:color w:val="auto"/>
        </w:rPr>
        <w:t>In connection with the Registration Statement on Form S-8 (the “Registration Statement”) being filed by Schlumberger Limited (Schlumberger N.V.), a corporation organized under the laws of the Netherlands Antilles (“Schlumberger”), with the Securities and Exchange Commission under the Securities Act of 1933, as amended (the “Securities Act”), relating to 10,000,000 shares of common stock, par value $0.01 per share (“Common Stock”), of Schlumberger (the “2008 Plan Shares”) that may be issued pursuant to the Schlumberger 2008 Stock Incentive Plan (the “2008 Plan”), certain legal matters in connection with the 2008 Plan Shares are being passed on for you by me. At your request, this opinion is being furnished for filing as Exhibit 5 to the Registration Statement.</w:t>
      </w:r>
    </w:p>
    <w:p>
      <w:pPr>
        <w:spacing w:after="0" w:line="10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I am a member of the bars of the State of New York and of the District of Columbia, and not of any other jurisdiction. I am not admitted to practice in, nor do I hold myself out as an expert on the laws of, the Netherlands Antilles. I have, however, consulted with the law firm of STvB, counsel qualified to practice in the Netherlands Antilles. Insofar as the opinions expressed below involve conclusions as to matters governed by the laws of the Netherlands Antilles, I am relying on the opinion of such counsel.</w:t>
      </w:r>
    </w:p>
    <w:p>
      <w:pPr>
        <w:spacing w:after="0" w:line="143" w:lineRule="exact"/>
        <w:rPr>
          <w:sz w:val="20"/>
          <w:szCs w:val="20"/>
          <w:color w:val="auto"/>
        </w:rPr>
      </w:pPr>
    </w:p>
    <w:p>
      <w:pPr>
        <w:ind w:right="120" w:firstLine="913"/>
        <w:spacing w:after="0" w:line="318" w:lineRule="auto"/>
        <w:rPr>
          <w:sz w:val="20"/>
          <w:szCs w:val="20"/>
          <w:color w:val="auto"/>
        </w:rPr>
      </w:pPr>
      <w:r>
        <w:rPr>
          <w:rFonts w:ascii="Arial" w:cs="Arial" w:eastAsia="Arial" w:hAnsi="Arial"/>
          <w:sz w:val="15"/>
          <w:szCs w:val="15"/>
          <w:color w:val="auto"/>
        </w:rPr>
        <w:t>In my capacity as General Counsel and Secretary of Schlumberger, I am familiar with the Articles of Incorporation and Amended and Restated Bylaws of Schlumberger, each as amended to date; have familiarized myself with the matters discussed herein; and have examined all statutes and other records, instruments and documents pertaining to Schlumberger and the matters discussed herein that I deem necessary to examine for the purpose of this opinion. I have assumed that all signatures on all documents examined by me are genuine, that all documents submitted to me as originals are accurate and complete, that all documents submitted to me as copies are true and correct copies of the originals thereof and that all information submitted to me was accurate and complete.</w:t>
      </w:r>
    </w:p>
    <w:p>
      <w:pPr>
        <w:spacing w:after="0" w:line="100" w:lineRule="exact"/>
        <w:rPr>
          <w:sz w:val="20"/>
          <w:szCs w:val="20"/>
          <w:color w:val="auto"/>
        </w:rPr>
      </w:pPr>
    </w:p>
    <w:p>
      <w:pPr>
        <w:ind w:right="140" w:firstLine="913"/>
        <w:spacing w:after="0" w:line="290" w:lineRule="auto"/>
        <w:rPr>
          <w:sz w:val="20"/>
          <w:szCs w:val="20"/>
          <w:color w:val="auto"/>
        </w:rPr>
      </w:pPr>
      <w:r>
        <w:rPr>
          <w:rFonts w:ascii="Arial" w:cs="Arial" w:eastAsia="Arial" w:hAnsi="Arial"/>
          <w:sz w:val="16"/>
          <w:szCs w:val="16"/>
          <w:color w:val="auto"/>
        </w:rPr>
        <w:t>Based on my examination as aforesaid, I am of the opinion that following due authorization of a particular award as provided in and in accordance with the 2008 Plan, the 2008 Plan Shares issuable pursuant to such award will have been duly authorized by all necessary corporate action on the part of Schlumberger. Upon issuance and delivery of such 2008 Plan Shares from time to time pursuant to and in accordance with the terms of the 2008 Plan and the applicable award, including, without limitation, the lapse of any restrictions relating thereto, the satisfaction of any performance conditions associated therewith and any requisite determinations by or pursuant to the authority of the Board of Directors of Schlumberger or a duly constituted authorized committee thereof as provided therein, and, in the case of stock option awards, the payment of the exercise price fixed in such option at least equal to the par value of such 2008 Plan Shares, such 2008 Plan Shares will be validly issued, fully paid and nonassessable.</w:t>
      </w:r>
    </w:p>
    <w:p>
      <w:pPr>
        <w:spacing w:after="0" w:line="118"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This opinion is limited to the original issuance of 2008 Plan Shares by Schlumberger and does not cover shares of Common Stock delivered by Schlumberger out of shares reacquired by it.</w:t>
      </w:r>
    </w:p>
    <w:p>
      <w:pPr>
        <w:spacing w:after="0" w:line="132"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I consent to the filing of this opinion as an exhibit to the Registration Statement. In giving such consent, I do not thereby concede that I am within the category of persons whose consent is required under Section 7 of the Securities Act or the rules and regulations of the Securities and Exchange Commission promulgated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Ellen Summer, Esq.</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Summer, Esq.</w:t>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February 13, 2008 relating to the consolidated financial statements and the effectiveness of internal control over financial reporting, which appears in Schlumberger Limited’s Annual Report on Form 10-K for the year ended December 31,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25, 2008</w:t>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Each of the undersigned, in the capacity or capacities set forth below his or her signature as a member of the Board of Directors and/or an officer of Schlumberger Limited, a Netherlands Antilles corporation (“the Corporation”), hereby appoints Simon Ayat, Howard Guild and Ellen Summer, and each of them, the attorney or attorneys of the undersigned, with full power of substitution and revocation, for and in the name, place and stead of the undersigned to execute and file with the Securities and Exchange Commission under the Securities Act of 1933, as amended, one or more registration statements or amendments to registration statements heretofore filed (whether on Form S-8 or such other form as may be required), together with any and all necessary amendments (including post-effective amendments) or supplements thereto as may be necessary or appropriate, and any and all exhibits and other documents relating to said registration statements or amendments, with respect to the registration of 10,000,000 shares of common stock, par value $0.01 per share, of the Corporation to be offered and issued under the Schlumberger Limited 2008 Stock Incentive Plan. Said attorneys shall have full power and authority to do and perform in the name and on behalf of the undersigned in any and all capacities every act whatsoever necessary or desirable to be done in the premises as fully and to all intents and purposes as the undersigned might or could do in person, the undersigned hereby ratifying and approving the acts of said attorneys.</w:t>
      </w:r>
    </w:p>
    <w:p>
      <w:pPr>
        <w:sectPr>
          <w:pgSz w:w="11900" w:h="16838" w:orient="portrait"/>
          <w:cols w:equalWidth="0" w:num="1">
            <w:col w:w="11420"/>
          </w:cols>
          <w:pgMar w:left="240" w:top="125" w:right="239" w:bottom="144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Simon Ayat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Philippe Camus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Philippe Camus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Jamie S.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Nikolay Kudryavtsev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April 17, 2008</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0359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30359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Michael E. Marks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Didier Primat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0359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 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30359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Leo Rafael Reif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Tore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0359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Tore Sandvold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 Nicolas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30359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Linda G. Stuntz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30359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sectPr>
      <w:pgSz w:w="11900" w:h="16838" w:orient="portrait"/>
      <w:cols w:equalWidth="0" w:num="2">
        <w:col w:w="5920" w:space="720"/>
        <w:col w:w="478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
      <w:numFmt w:val="bullet"/>
      <w:start w:val="1"/>
    </w:lvl>
    <w:lvl w:ilvl="1">
      <w:lvlJc w:val="left"/>
      <w:lvlText w:val="%2"/>
      <w:numFmt w:val="decimal"/>
      <w:start w:val="24"/>
    </w:lvl>
  </w:abstractNum>
  <w:abstractNum w:abstractNumId="4">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7545E146"/>
    <w:multiLevelType w:val="hybridMultilevel"/>
    <w:lvl w:ilvl="0">
      <w:lvlJc w:val="left"/>
      <w:lvlText w:val="(%1)"/>
      <w:numFmt w:val="lowerRoman"/>
      <w:start w:val="3"/>
    </w:lvl>
  </w:abstractNum>
  <w:abstractNum w:abstractNumId="6">
    <w:nsid w:val="515F007C"/>
    <w:multiLevelType w:val="hybridMultilevel"/>
    <w:lvl w:ilvl="0">
      <w:lvlJc w:val="left"/>
      <w:lvlText w:val="%1"/>
      <w:numFmt w:val="lowerLetter"/>
      <w:start w:val="1"/>
    </w:lvl>
    <w:lvl w:ilvl="1">
      <w:lvlJc w:val="left"/>
      <w:lvlText w:val="(%2)"/>
      <w:numFmt w:val="decimal"/>
      <w:start w:val="2"/>
    </w:lvl>
  </w:abstractNum>
  <w:abstractNum w:abstractNumId="7">
    <w:nsid w:val="5BD062C2"/>
    <w:multiLevelType w:val="hybridMultilevel"/>
    <w:lvl w:ilvl="0">
      <w:lvlJc w:val="left"/>
      <w:lvlText w:val="(%1)"/>
      <w:numFmt w:val="lowerLetter"/>
      <w:start w:val="2"/>
    </w:lvl>
    <w:lvl w:ilvl="1">
      <w:lvlJc w:val="left"/>
      <w:lvlText w:val="%2"/>
      <w:numFmt w:val="decimal"/>
      <w:start w:val="1"/>
    </w:lvl>
  </w:abstractNum>
  <w:abstractNum w:abstractNumId="8">
    <w:nsid w:val="12200854"/>
    <w:multiLevelType w:val="hybridMultilevel"/>
    <w:lvl w:ilvl="0">
      <w:lvlJc w:val="left"/>
      <w:lvlText w:val="5"/>
      <w:numFmt w:val="bullet"/>
      <w:start w:val="1"/>
    </w:lvl>
  </w:abstractNum>
  <w:abstractNum w:abstractNumId="9">
    <w:nsid w:val="4DB127F8"/>
    <w:multiLevelType w:val="hybridMultilevel"/>
    <w:lvl w:ilvl="0">
      <w:lvlJc w:val="left"/>
      <w:lvlText w:val="*"/>
      <w:numFmt w:val="bullet"/>
      <w:start w:val="1"/>
    </w:lvl>
    <w:lvl w:ilvl="1">
      <w:lvlJc w:val="left"/>
      <w:lvlText w:val="%2"/>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2019-12-11T13:59:24Z</dcterms:created>
  <dcterms:modified xsi:type="dcterms:W3CDTF">2019-12-11T13:59:24Z</dcterms:modified>
</cp:coreProperties>
</file>