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Rennick Gavin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President New Energy</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11,400</w:t>
            </w:r>
            <w:r>
              <w:rPr>
                <w:rFonts w:ascii="Times New Roman" w:cs="Times New Roman" w:eastAsia="Times New Roman" w:hAnsi="Times New Roman"/>
                <w:sz w:val="22"/>
                <w:szCs w:val="22"/>
                <w:color w:val="008000"/>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88,879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4,486</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55.17</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84,393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15, 2020. Vesting of the PSUs was based on three-year Company performance relative to select key competitors. Most of these competitors had not reported their 2022 audited financial results when the Company's compensation committee met in January 2023 to certify performance under the PSUs. As a result, the Company's compensation committee approved the issuance of 80% of the shares that the committee determined had been earned according to the information available to the committee at the time. As of March 3, 2023, all such competitors had reported their 2022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798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2023-03-07T17:34:52Z</dcterms:created>
  <dcterms:modified xsi:type="dcterms:W3CDTF">2023-03-07T17:34:52Z</dcterms:modified>
</cp:coreProperties>
</file>