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UNDER SECTION 13 OR 15(d)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89"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For the quarterly period ended: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Commission file No.:</w:t>
      </w:r>
    </w:p>
    <w:p>
      <w:pPr>
        <w:spacing w:after="0" w:line="36" w:lineRule="exact"/>
        <w:rPr>
          <w:sz w:val="24"/>
          <w:szCs w:val="24"/>
          <w:color w:val="auto"/>
        </w:rPr>
      </w:pPr>
    </w:p>
    <w:p>
      <w:pPr>
        <w:sectPr>
          <w:pgSz w:w="11900" w:h="16838" w:orient="portrait"/>
          <w:cols w:equalWidth="0" w:num="2">
            <w:col w:w="7420" w:space="720"/>
            <w:col w:w="3280"/>
          </w:cols>
          <w:pgMar w:left="240" w:top="230" w:right="239" w:bottom="1440" w:gutter="0" w:footer="0" w:header="0"/>
          <w:type w:val="continuous"/>
        </w:sectPr>
      </w:pPr>
    </w:p>
    <w:p>
      <w:pPr>
        <w:ind w:left="2080"/>
        <w:spacing w:after="0"/>
        <w:rPr>
          <w:sz w:val="20"/>
          <w:szCs w:val="20"/>
          <w:color w:val="auto"/>
        </w:rPr>
      </w:pPr>
      <w:r>
        <w:rPr>
          <w:rFonts w:ascii="Arial" w:cs="Arial" w:eastAsia="Arial" w:hAnsi="Arial"/>
          <w:sz w:val="15"/>
          <w:szCs w:val="15"/>
          <w:b w:val="1"/>
          <w:bCs w:val="1"/>
          <w:color w:val="auto"/>
        </w:rPr>
        <w:t>September 30, 2008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1-4601</w:t>
      </w:r>
    </w:p>
    <w:p>
      <w:pPr>
        <w:spacing w:after="0" w:line="151" w:lineRule="exact"/>
        <w:rPr>
          <w:sz w:val="24"/>
          <w:szCs w:val="24"/>
          <w:color w:val="auto"/>
        </w:rPr>
      </w:pPr>
    </w:p>
    <w:p>
      <w:pPr>
        <w:sectPr>
          <w:pgSz w:w="11900" w:h="16838" w:orient="portrait"/>
          <w:cols w:equalWidth="0" w:num="2">
            <w:col w:w="7780" w:space="720"/>
            <w:col w:w="29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32"/>
          <w:szCs w:val="32"/>
          <w:b w:val="1"/>
          <w:bCs w:val="1"/>
          <w:color w:val="auto"/>
        </w:rPr>
        <w:t>SCHLUMBERGER N.V.</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580" w:type="dxa"/>
        <w:tblCellMar>
          <w:top w:w="0" w:type="dxa"/>
          <w:left w:w="0" w:type="dxa"/>
          <w:bottom w:w="0" w:type="dxa"/>
          <w:right w:w="0" w:type="dxa"/>
        </w:tblCellMar>
      </w:tblPr>
      <w:tr>
        <w:trPr>
          <w:trHeight w:val="2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8"/>
              </w:rPr>
              <w:t>NETHERLANDS ANTILLES</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540" w:type="dxa"/>
            <w:vAlign w:val="bottom"/>
          </w:tcPr>
          <w:p>
            <w:pPr>
              <w:jc w:val="center"/>
              <w:ind w:right="199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40" w:type="dxa"/>
            <w:vAlign w:val="bottom"/>
          </w:tcPr>
          <w:p>
            <w:pPr>
              <w:jc w:val="center"/>
              <w:ind w:left="2021"/>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540" w:type="dxa"/>
            <w:vAlign w:val="bottom"/>
          </w:tcPr>
          <w:p>
            <w:pPr>
              <w:jc w:val="center"/>
              <w:ind w:right="1998"/>
              <w:spacing w:after="0"/>
              <w:rPr>
                <w:sz w:val="20"/>
                <w:szCs w:val="20"/>
                <w:color w:val="auto"/>
              </w:rPr>
            </w:pPr>
            <w:r>
              <w:rPr>
                <w:rFonts w:ascii="Arial" w:cs="Arial" w:eastAsia="Arial" w:hAnsi="Arial"/>
                <w:sz w:val="14"/>
                <w:szCs w:val="14"/>
                <w:b w:val="1"/>
                <w:bCs w:val="1"/>
                <w:color w:val="auto"/>
                <w:w w:val="89"/>
              </w:rPr>
              <w:t>incorporation or organization)</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7"/>
              </w:rPr>
              <w:t>Identification No.)</w:t>
            </w:r>
          </w:p>
        </w:tc>
      </w:tr>
      <w:tr>
        <w:trPr>
          <w:trHeight w:val="405"/>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3"/>
              </w:rPr>
              <w:t>5599 SAN FELIPE, 17</w:t>
            </w:r>
            <w:r>
              <w:rPr>
                <w:rFonts w:ascii="Arial" w:cs="Arial" w:eastAsia="Arial" w:hAnsi="Arial"/>
                <w:sz w:val="22"/>
                <w:szCs w:val="22"/>
                <w:b w:val="1"/>
                <w:bCs w:val="1"/>
                <w:color w:val="auto"/>
                <w:w w:val="93"/>
                <w:vertAlign w:val="superscript"/>
              </w:rPr>
              <w:t>th</w:t>
            </w:r>
            <w:r>
              <w:rPr>
                <w:rFonts w:ascii="Arial" w:cs="Arial" w:eastAsia="Arial" w:hAnsi="Arial"/>
                <w:sz w:val="18"/>
                <w:szCs w:val="18"/>
                <w:b w:val="1"/>
                <w:bCs w:val="1"/>
                <w:color w:val="auto"/>
                <w:w w:val="93"/>
              </w:rPr>
              <w:t xml:space="preserve"> FLOOR</w:t>
            </w:r>
          </w:p>
        </w:tc>
        <w:tc>
          <w:tcPr>
            <w:tcW w:w="3140" w:type="dxa"/>
            <w:vAlign w:val="bottom"/>
          </w:tcPr>
          <w:p>
            <w:pPr>
              <w:spacing w:after="0"/>
              <w:rPr>
                <w:sz w:val="24"/>
                <w:szCs w:val="24"/>
                <w:color w:val="auto"/>
              </w:rPr>
            </w:pPr>
          </w:p>
        </w:tc>
      </w:tr>
      <w:tr>
        <w:trPr>
          <w:trHeight w:val="22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4"/>
              </w:rPr>
              <w:t>HOUSTON, TEXAS, U.S.A.</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77056</w:t>
            </w:r>
          </w:p>
        </w:tc>
      </w:tr>
      <w:tr>
        <w:trPr>
          <w:trHeight w:val="420"/>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42 RUE SAINT-DOMINIQUE</w:t>
            </w:r>
          </w:p>
        </w:tc>
        <w:tc>
          <w:tcPr>
            <w:tcW w:w="3140" w:type="dxa"/>
            <w:vAlign w:val="bottom"/>
          </w:tcPr>
          <w:p>
            <w:pPr>
              <w:spacing w:after="0"/>
              <w:rPr>
                <w:sz w:val="24"/>
                <w:szCs w:val="24"/>
                <w:color w:val="auto"/>
              </w:rPr>
            </w:pPr>
          </w:p>
        </w:tc>
      </w:tr>
      <w:tr>
        <w:trPr>
          <w:trHeight w:val="22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PARIS, FRANCE</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75007</w:t>
            </w:r>
          </w:p>
        </w:tc>
      </w:tr>
      <w:tr>
        <w:trPr>
          <w:trHeight w:val="420"/>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PARKSTRAAT 83</w:t>
            </w:r>
          </w:p>
        </w:tc>
        <w:tc>
          <w:tcPr>
            <w:tcW w:w="3140" w:type="dxa"/>
            <w:vAlign w:val="bottom"/>
          </w:tcPr>
          <w:p>
            <w:pPr>
              <w:spacing w:after="0"/>
              <w:rPr>
                <w:sz w:val="24"/>
                <w:szCs w:val="24"/>
                <w:color w:val="auto"/>
              </w:rPr>
            </w:pPr>
          </w:p>
        </w:tc>
      </w:tr>
      <w:tr>
        <w:trPr>
          <w:trHeight w:val="216"/>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THE HAGUE,</w:t>
            </w:r>
          </w:p>
        </w:tc>
        <w:tc>
          <w:tcPr>
            <w:tcW w:w="3140" w:type="dxa"/>
            <w:vAlign w:val="bottom"/>
          </w:tcPr>
          <w:p>
            <w:pPr>
              <w:spacing w:after="0"/>
              <w:rPr>
                <w:sz w:val="18"/>
                <w:szCs w:val="18"/>
                <w:color w:val="auto"/>
              </w:rPr>
            </w:pPr>
          </w:p>
        </w:tc>
      </w:tr>
      <w:tr>
        <w:trPr>
          <w:trHeight w:val="2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8"/>
              </w:rPr>
              <w:t>THE NETHERLANDS</w:t>
            </w:r>
          </w:p>
        </w:tc>
        <w:tc>
          <w:tcPr>
            <w:tcW w:w="3140" w:type="dxa"/>
            <w:vAlign w:val="bottom"/>
          </w:tcPr>
          <w:p>
            <w:pPr>
              <w:jc w:val="center"/>
              <w:ind w:left="200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540" w:type="dxa"/>
            <w:vAlign w:val="bottom"/>
          </w:tcPr>
          <w:p>
            <w:pPr>
              <w:jc w:val="center"/>
              <w:ind w:right="199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8"/>
              </w:rPr>
              <w:t>(Zip Codes)</w:t>
            </w:r>
          </w:p>
        </w:tc>
      </w:tr>
    </w:tbl>
    <w:p>
      <w:pPr>
        <w:spacing w:after="0" w:line="1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Registrant’s telephone number: (713) 513-2000</w:t>
      </w:r>
    </w:p>
    <w:p>
      <w:pPr>
        <w:spacing w:after="0" w:line="96"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8" w:lineRule="exact"/>
        <w:rPr>
          <w:sz w:val="24"/>
          <w:szCs w:val="24"/>
          <w:color w:val="auto"/>
        </w:rPr>
      </w:pPr>
    </w:p>
    <w:p>
      <w:pPr>
        <w:jc w:val="center"/>
        <w:ind w:right="-1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spacing w:after="0" w:line="207" w:lineRule="exact"/>
        <w:tabs>
          <w:tab w:leader="none" w:pos="1980" w:val="left"/>
          <w:tab w:leader="none" w:pos="3580" w:val="left"/>
          <w:tab w:leader="none" w:pos="55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58" w:lineRule="exact"/>
        <w:rPr>
          <w:sz w:val="24"/>
          <w:szCs w:val="24"/>
          <w:color w:val="auto"/>
        </w:rPr>
      </w:pPr>
    </w:p>
    <w:p>
      <w:pPr>
        <w:ind w:left="496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jc w:val="center"/>
              <w:ind w:right="542"/>
              <w:spacing w:after="0"/>
              <w:rPr>
                <w:sz w:val="20"/>
                <w:szCs w:val="20"/>
                <w:color w:val="auto"/>
              </w:rPr>
            </w:pPr>
            <w:r>
              <w:rPr>
                <w:rFonts w:ascii="Arial" w:cs="Arial" w:eastAsia="Arial" w:hAnsi="Arial"/>
                <w:sz w:val="14"/>
                <w:szCs w:val="14"/>
                <w:b w:val="1"/>
                <w:bCs w:val="1"/>
                <w:color w:val="auto"/>
                <w:w w:val="80"/>
              </w:rPr>
              <w:t>Class</w:t>
            </w:r>
          </w:p>
        </w:tc>
        <w:tc>
          <w:tcPr>
            <w:tcW w:w="5180" w:type="dxa"/>
            <w:vAlign w:val="bottom"/>
          </w:tcPr>
          <w:p>
            <w:pPr>
              <w:jc w:val="center"/>
              <w:ind w:right="102"/>
              <w:spacing w:after="0"/>
              <w:rPr>
                <w:sz w:val="20"/>
                <w:szCs w:val="20"/>
                <w:color w:val="auto"/>
              </w:rPr>
            </w:pPr>
            <w:r>
              <w:rPr>
                <w:rFonts w:ascii="Arial" w:cs="Arial" w:eastAsia="Arial" w:hAnsi="Arial"/>
                <w:sz w:val="14"/>
                <w:szCs w:val="14"/>
                <w:b w:val="1"/>
                <w:bCs w:val="1"/>
                <w:color w:val="auto"/>
                <w:w w:val="87"/>
              </w:rPr>
              <w:t>Outstanding at September 30, 2008</w:t>
            </w:r>
          </w:p>
        </w:tc>
      </w:tr>
      <w:tr>
        <w:trPr>
          <w:trHeight w:val="222"/>
        </w:trPr>
        <w:tc>
          <w:tcPr>
            <w:tcW w:w="6240" w:type="dxa"/>
            <w:vAlign w:val="bottom"/>
          </w:tcPr>
          <w:p>
            <w:pPr>
              <w:jc w:val="center"/>
              <w:ind w:right="522"/>
              <w:spacing w:after="0"/>
              <w:rPr>
                <w:sz w:val="20"/>
                <w:szCs w:val="20"/>
                <w:color w:val="auto"/>
              </w:rPr>
            </w:pPr>
            <w:r>
              <w:rPr>
                <w:rFonts w:ascii="Arial" w:cs="Arial" w:eastAsia="Arial" w:hAnsi="Arial"/>
                <w:sz w:val="18"/>
                <w:szCs w:val="18"/>
                <w:color w:val="auto"/>
                <w:w w:val="92"/>
              </w:rPr>
              <w:t>COMMON STOCK, $0.01 PAR VALUE PER SHARE</w:t>
            </w:r>
          </w:p>
        </w:tc>
        <w:tc>
          <w:tcPr>
            <w:tcW w:w="5180" w:type="dxa"/>
            <w:vAlign w:val="bottom"/>
          </w:tcPr>
          <w:p>
            <w:pPr>
              <w:jc w:val="right"/>
              <w:ind w:right="2102"/>
              <w:spacing w:after="0"/>
              <w:rPr>
                <w:sz w:val="20"/>
                <w:szCs w:val="20"/>
                <w:color w:val="auto"/>
              </w:rPr>
            </w:pPr>
            <w:r>
              <w:rPr>
                <w:rFonts w:ascii="Arial" w:cs="Arial" w:eastAsia="Arial" w:hAnsi="Arial"/>
                <w:sz w:val="18"/>
                <w:szCs w:val="18"/>
                <w:color w:val="auto"/>
              </w:rPr>
              <w:t>1,196,168,060</w:t>
            </w:r>
          </w:p>
        </w:tc>
      </w:tr>
      <w:tr>
        <w:trPr>
          <w:trHeight w:val="205"/>
        </w:trPr>
        <w:tc>
          <w:tcPr>
            <w:tcW w:w="6240" w:type="dxa"/>
            <w:vAlign w:val="bottom"/>
            <w:tcBorders>
              <w:bottom w:val="single" w:sz="8" w:color="auto"/>
            </w:tcBorders>
          </w:tcPr>
          <w:p>
            <w:pPr>
              <w:spacing w:after="0"/>
              <w:rPr>
                <w:sz w:val="17"/>
                <w:szCs w:val="17"/>
                <w:color w:val="auto"/>
              </w:rPr>
            </w:pPr>
          </w:p>
        </w:tc>
        <w:tc>
          <w:tcPr>
            <w:tcW w:w="5180" w:type="dxa"/>
            <w:vAlign w:val="bottom"/>
            <w:tcBorders>
              <w:bottom w:val="single" w:sz="8" w:color="auto"/>
            </w:tcBorders>
          </w:tcPr>
          <w:p>
            <w:pPr>
              <w:spacing w:after="0"/>
              <w:rPr>
                <w:sz w:val="17"/>
                <w:szCs w:val="17"/>
                <w:color w:val="auto"/>
              </w:rPr>
            </w:pPr>
          </w:p>
        </w:tc>
      </w:tr>
      <w:tr>
        <w:trPr>
          <w:trHeight w:val="21"/>
        </w:trPr>
        <w:tc>
          <w:tcPr>
            <w:tcW w:w="624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SCHLUMBERGER LIMITED</w:t>
      </w: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2008 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1660" w:type="dxa"/>
            <w:vAlign w:val="bottom"/>
            <w:gridSpan w:val="7"/>
            <w:vMerge w:val="restart"/>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Information</w:t>
              </w:r>
            </w:hyperlink>
          </w:p>
        </w:tc>
        <w:tc>
          <w:tcPr>
            <w:tcW w:w="8360" w:type="dxa"/>
            <w:vAlign w:val="bottom"/>
            <w:gridSpan w:val="7"/>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120" w:type="dxa"/>
            <w:vAlign w:val="bottom"/>
            <w:vMerge w:val="continue"/>
          </w:tcPr>
          <w:p>
            <w:pPr>
              <w:spacing w:after="0"/>
              <w:rPr>
                <w:sz w:val="14"/>
                <w:szCs w:val="14"/>
                <w:color w:val="auto"/>
              </w:rPr>
            </w:pPr>
          </w:p>
        </w:tc>
        <w:tc>
          <w:tcPr>
            <w:tcW w:w="1660" w:type="dxa"/>
            <w:vAlign w:val="bottom"/>
            <w:tcBorders>
              <w:bottom w:val="single" w:sz="8" w:color="0000EE"/>
            </w:tcBorders>
            <w:gridSpan w:val="7"/>
            <w:vMerge w:val="continue"/>
          </w:tcPr>
          <w:p>
            <w:pPr>
              <w:spacing w:after="0"/>
              <w:rPr>
                <w:sz w:val="14"/>
                <w:szCs w:val="14"/>
                <w:color w:val="auto"/>
              </w:rPr>
            </w:pPr>
          </w:p>
        </w:tc>
        <w:tc>
          <w:tcPr>
            <w:tcW w:w="83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002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Management’s Discussion and Analysis of Financial Condition and Results of Operations</w:t>
              </w:r>
            </w:hyperlink>
          </w:p>
        </w:tc>
        <w:tc>
          <w:tcPr>
            <w:tcW w:w="37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Quantitative and Qualitative Disclosures about Market Risk</w:t>
              </w:r>
            </w:hyperlink>
          </w:p>
        </w:tc>
        <w:tc>
          <w:tcPr>
            <w:tcW w:w="58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20" w:type="dxa"/>
            <w:vAlign w:val="bottom"/>
            <w:gridSpan w:val="1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Other Information</w:t>
              </w:r>
            </w:hyperlink>
          </w:p>
        </w:tc>
        <w:tc>
          <w:tcPr>
            <w:tcW w:w="830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24">
              <w:r>
                <w:rPr>
                  <w:rFonts w:ascii="Arial" w:cs="Arial" w:eastAsia="Arial" w:hAnsi="Arial"/>
                  <w:sz w:val="18"/>
                  <w:szCs w:val="18"/>
                  <w:color w:val="0000EE"/>
                  <w:w w:val="85"/>
                </w:rPr>
                <w:t>Legal Proceedings</w:t>
              </w:r>
            </w:hyperlink>
          </w:p>
        </w:tc>
        <w:tc>
          <w:tcPr>
            <w:tcW w:w="160" w:type="dxa"/>
            <w:vAlign w:val="bottom"/>
            <w:tcBorders>
              <w:top w:val="single" w:sz="8" w:color="0000EE"/>
            </w:tcBorders>
          </w:tcPr>
          <w:p>
            <w:pPr>
              <w:spacing w:after="0"/>
              <w:rPr>
                <w:sz w:val="17"/>
                <w:szCs w:val="17"/>
                <w:color w:val="auto"/>
              </w:rPr>
            </w:pPr>
          </w:p>
        </w:tc>
        <w:tc>
          <w:tcPr>
            <w:tcW w:w="85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4">
              <w:r>
                <w:rPr>
                  <w:rFonts w:ascii="Arial" w:cs="Arial" w:eastAsia="Arial" w:hAnsi="Arial"/>
                  <w:sz w:val="18"/>
                  <w:szCs w:val="18"/>
                  <w:color w:val="0000EE"/>
                  <w:w w:val="85"/>
                </w:rPr>
                <w:t>Risk Factors</w:t>
              </w:r>
            </w:hyperlink>
          </w:p>
        </w:tc>
        <w:tc>
          <w:tcPr>
            <w:tcW w:w="914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24">
              <w:r>
                <w:rPr>
                  <w:rFonts w:ascii="Arial" w:cs="Arial" w:eastAsia="Arial" w:hAnsi="Arial"/>
                  <w:sz w:val="18"/>
                  <w:szCs w:val="18"/>
                  <w:color w:val="0000EE"/>
                  <w:w w:val="86"/>
                </w:rPr>
                <w:t>Unregistered Sales of Equity Securities and Use of Proceeds</w:t>
              </w:r>
            </w:hyperlink>
          </w:p>
        </w:tc>
        <w:tc>
          <w:tcPr>
            <w:tcW w:w="5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020" w:type="dxa"/>
            <w:vAlign w:val="bottom"/>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20" w:type="dxa"/>
            <w:vAlign w:val="bottom"/>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Other Information</w:t>
              </w:r>
            </w:hyperlink>
          </w:p>
        </w:tc>
        <w:tc>
          <w:tcPr>
            <w:tcW w:w="2380" w:type="dxa"/>
            <w:vAlign w:val="bottom"/>
            <w:tcBorders>
              <w:top w:val="single" w:sz="8" w:color="0000EE"/>
            </w:tcBorders>
            <w:gridSpan w:val="6"/>
          </w:tcPr>
          <w:p>
            <w:pPr>
              <w:spacing w:after="0"/>
              <w:rPr>
                <w:sz w:val="17"/>
                <w:szCs w:val="17"/>
                <w:color w:val="auto"/>
              </w:rPr>
            </w:pPr>
          </w:p>
        </w:tc>
        <w:tc>
          <w:tcPr>
            <w:tcW w:w="63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0020" w:type="dxa"/>
            <w:vAlign w:val="bottom"/>
            <w:gridSpan w:val="1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6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Certifications</w:t>
              </w:r>
            </w:hyperlink>
          </w:p>
        </w:tc>
        <w:tc>
          <w:tcPr>
            <w:tcW w:w="9060" w:type="dxa"/>
            <w:vAlign w:val="bottom"/>
            <w:gridSpan w:val="11"/>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1120" w:type="dxa"/>
            <w:vAlign w:val="bottom"/>
          </w:tcPr>
          <w:p>
            <w:pPr>
              <w:spacing w:after="0"/>
              <w:rPr>
                <w:sz w:val="24"/>
                <w:szCs w:val="24"/>
                <w:color w:val="auto"/>
              </w:rPr>
            </w:pPr>
          </w:p>
        </w:tc>
        <w:tc>
          <w:tcPr>
            <w:tcW w:w="6300" w:type="dxa"/>
            <w:vAlign w:val="bottom"/>
            <w:gridSpan w:val="13"/>
          </w:tcPr>
          <w:p>
            <w:pPr>
              <w:ind w:left="4560"/>
              <w:spacing w:after="0"/>
              <w:rPr>
                <w:sz w:val="20"/>
                <w:szCs w:val="20"/>
                <w:color w:val="auto"/>
              </w:rPr>
            </w:pPr>
            <w:r>
              <w:rPr>
                <w:rFonts w:ascii="Arial" w:cs="Arial" w:eastAsia="Arial" w:hAnsi="Arial"/>
                <w:sz w:val="18"/>
                <w:szCs w:val="18"/>
                <w:color w:val="auto"/>
              </w:rPr>
              <w:t>2</w:t>
            </w: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5"/>
          </w:tcPr>
          <w:p>
            <w:pPr>
              <w:jc w:val="center"/>
              <w:ind w:left="2752"/>
              <w:spacing w:after="0"/>
              <w:rPr>
                <w:sz w:val="20"/>
                <w:szCs w:val="20"/>
                <w:color w:val="auto"/>
              </w:rPr>
            </w:pPr>
            <w:r>
              <w:rPr>
                <w:rFonts w:ascii="Arial" w:cs="Arial" w:eastAsia="Arial" w:hAnsi="Arial"/>
                <w:sz w:val="18"/>
                <w:szCs w:val="18"/>
                <w:b w:val="1"/>
                <w:bCs w:val="1"/>
                <w:color w:val="auto"/>
                <w:w w:val="99"/>
              </w:rPr>
              <w:t>PART I. FINANCIAL INFORMATION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80" w:type="dxa"/>
            <w:vAlign w:val="bottom"/>
            <w:gridSpan w:val="7"/>
          </w:tcPr>
          <w:p>
            <w:pPr>
              <w:jc w:val="center"/>
              <w:ind w:left="2432"/>
              <w:spacing w:after="0"/>
              <w:rPr>
                <w:sz w:val="20"/>
                <w:szCs w:val="20"/>
                <w:color w:val="auto"/>
              </w:rPr>
            </w:pPr>
            <w:r>
              <w:rPr>
                <w:rFonts w:ascii="Arial" w:cs="Arial" w:eastAsia="Arial" w:hAnsi="Arial"/>
                <w:sz w:val="18"/>
                <w:szCs w:val="18"/>
                <w:b w:val="1"/>
                <w:bCs w:val="1"/>
                <w:color w:val="auto"/>
                <w:w w:val="99"/>
              </w:rPr>
              <w:t>SCHLUMBERGER LIMITED AND SUBSIDIARIES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540" w:type="dxa"/>
            <w:vAlign w:val="bottom"/>
            <w:gridSpan w:val="5"/>
          </w:tcPr>
          <w:p>
            <w:pPr>
              <w:jc w:val="center"/>
              <w:ind w:left="2772"/>
              <w:spacing w:after="0"/>
              <w:rPr>
                <w:sz w:val="20"/>
                <w:szCs w:val="20"/>
                <w:color w:val="auto"/>
              </w:rPr>
            </w:pPr>
            <w:r>
              <w:rPr>
                <w:rFonts w:ascii="Arial" w:cs="Arial" w:eastAsia="Arial" w:hAnsi="Arial"/>
                <w:sz w:val="18"/>
                <w:szCs w:val="18"/>
                <w:b w:val="1"/>
                <w:bCs w:val="1"/>
                <w:color w:val="auto"/>
                <w:w w:val="98"/>
              </w:rPr>
              <w:t>CONSOLIDATED STATEMENT OF INCOME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(Unaudited)</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6"/>
          </w:tcPr>
          <w:p>
            <w:pPr>
              <w:ind w:left="540"/>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7"/>
              </w:rPr>
              <w:t>(Stated in thousands</w:t>
            </w:r>
          </w:p>
        </w:tc>
        <w:tc>
          <w:tcPr>
            <w:tcW w:w="1740" w:type="dxa"/>
            <w:vAlign w:val="bottom"/>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w w:val="92"/>
              </w:rPr>
              <w:t>except per share amounts)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7,258,869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5,925,662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20,294,890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17,028,829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Interest &amp; other income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106,719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107,578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305,946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Cost of goods sold &amp; services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4,966,384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3,905,095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13,933,558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11,264,310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208,168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190,194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596,573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22,645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21,904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71,484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149,623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137,260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434,085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w w:val="93"/>
              </w:rPr>
              <w:t>Interest</w:t>
            </w:r>
          </w:p>
        </w:tc>
        <w:tc>
          <w:tcPr>
            <w:tcW w:w="4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61,148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68,622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188,543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Income from Continuing Operations before taxes and minority interest</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1,957,620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1,710,165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5,376,593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4,884,033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Taxes on income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418,142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356,168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1,104,460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1,090,730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minority interest</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1,539,478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1,353,997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4,272,133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3,793,303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(13,116)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(25,322)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1,526,362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1,353,997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4,246,811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3,793,303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1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37,850</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1,526,362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1,353,997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4,284,661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3,793,303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8"/>
                <w:szCs w:val="18"/>
                <w:color w:val="auto"/>
              </w:rPr>
              <w:t>Basic earnings per share:</w:t>
            </w: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gridSpan w:val="3"/>
            <w:vMerge w:val="continue"/>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1.13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Income from Discontinued Operations</w:t>
            </w:r>
          </w:p>
        </w:tc>
        <w:tc>
          <w:tcPr>
            <w:tcW w:w="1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1.13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gridSpan w:val="3"/>
            <w:vMerge w:val="continue"/>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Income from Discontinued Operations</w:t>
            </w:r>
          </w:p>
        </w:tc>
        <w:tc>
          <w:tcPr>
            <w:tcW w:w="1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w w:val="85"/>
              </w:rPr>
              <w:t xml:space="preserve">Net Income </w:t>
            </w:r>
            <w:r>
              <w:rPr>
                <w:rFonts w:ascii="Arial" w:cs="Arial" w:eastAsia="Arial" w:hAnsi="Arial"/>
                <w:sz w:val="22"/>
                <w:szCs w:val="22"/>
                <w:color w:val="auto"/>
                <w:w w:val="85"/>
                <w:vertAlign w:val="superscript"/>
              </w:rPr>
              <w:t>(1)</w:t>
            </w:r>
          </w:p>
        </w:tc>
        <w:tc>
          <w:tcPr>
            <w:tcW w:w="4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8"/>
                <w:szCs w:val="18"/>
                <w:color w:val="auto"/>
              </w:rPr>
              <w:t>Average shares outstanding:</w:t>
            </w: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gridSpan w:val="3"/>
            <w:vMerge w:val="continue"/>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1,198,823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1,194,175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1,196,660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1,185,624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Assuming dilution</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1,225,112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1,243,808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1,228,579</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1,238,675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Amounts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88"/>
              </w:rPr>
              <w:t>Sept. 30, 2008</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Dec. 31,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(Stated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187,753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3,305,666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2,971,800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Receivables less allowance for doubtful accounts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6,701,875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(2008—$89,507; 2007—$85,780)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1,877,893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1,638,192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186,908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817,766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704,482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13,077,861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11,055,383</w:t>
            </w:r>
          </w:p>
        </w:tc>
        <w:tc>
          <w:tcPr>
            <w:tcW w:w="0" w:type="dxa"/>
            <w:vAlign w:val="bottom"/>
          </w:tcPr>
          <w:p>
            <w:pPr>
              <w:spacing w:after="0"/>
              <w:rPr>
                <w:sz w:val="1"/>
                <w:szCs w:val="1"/>
                <w:color w:val="auto"/>
              </w:rPr>
            </w:pPr>
          </w:p>
        </w:tc>
      </w:tr>
      <w:tr>
        <w:trPr>
          <w:trHeight w:val="282"/>
        </w:trPr>
        <w:tc>
          <w:tcPr>
            <w:tcW w:w="9020" w:type="dxa"/>
            <w:vAlign w:val="bottom"/>
            <w:gridSpan w:val="2"/>
          </w:tcPr>
          <w:p>
            <w:pPr>
              <w:spacing w:after="0"/>
              <w:rPr>
                <w:sz w:val="20"/>
                <w:szCs w:val="20"/>
                <w:color w:val="auto"/>
              </w:rPr>
            </w:pPr>
            <w:r>
              <w:rPr>
                <w:rFonts w:ascii="Arial" w:cs="Arial" w:eastAsia="Arial" w:hAnsi="Arial"/>
                <w:sz w:val="18"/>
                <w:szCs w:val="18"/>
                <w:color w:val="auto"/>
              </w:rPr>
              <w:t>FIXED INCOME INVESTMENTS, HELD TO MATURITY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511,090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440,127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AFFILIATED COMPANIES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1,851,547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FIXED ASSETS LESS ACCUMULATED 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9,213,113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8,007,991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277,260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5,294,555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5,142,083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862,115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224,353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285,782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31,597,676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27,853,372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4,997,311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4,550,728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Estimated liability for taxes on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1,164,439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1,071,889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253,064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Long-term debt—current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1,585,548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638,633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Bank &amp; short-term loans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625,875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679,594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8,626,237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7,504,851</w:t>
            </w:r>
          </w:p>
        </w:tc>
        <w:tc>
          <w:tcPr>
            <w:tcW w:w="0" w:type="dxa"/>
            <w:vAlign w:val="bottom"/>
          </w:tcPr>
          <w:p>
            <w:pPr>
              <w:spacing w:after="0"/>
              <w:rPr>
                <w:sz w:val="1"/>
                <w:szCs w:val="1"/>
                <w:color w:val="auto"/>
              </w:rPr>
            </w:pPr>
          </w:p>
        </w:tc>
      </w:tr>
      <w:tr>
        <w:trPr>
          <w:trHeight w:val="282"/>
        </w:trPr>
        <w:tc>
          <w:tcPr>
            <w:tcW w:w="9020" w:type="dxa"/>
            <w:vAlign w:val="bottom"/>
            <w:gridSpan w:val="2"/>
          </w:tcPr>
          <w:p>
            <w:pPr>
              <w:spacing w:after="0"/>
              <w:rPr>
                <w:sz w:val="20"/>
                <w:szCs w:val="20"/>
                <w:color w:val="auto"/>
              </w:rPr>
            </w:pPr>
            <w:r>
              <w:rPr>
                <w:rFonts w:ascii="Arial" w:cs="Arial" w:eastAsia="Arial" w:hAnsi="Arial"/>
                <w:sz w:val="18"/>
                <w:szCs w:val="18"/>
                <w:color w:val="auto"/>
              </w:rPr>
              <w:t>CONVERTIBLE DEBENTURES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332,790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415,897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3,194,968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3,378,569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830,659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840,311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741,678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13,726,332</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12,915,603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73,588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61,881</w:t>
            </w:r>
          </w:p>
        </w:tc>
        <w:tc>
          <w:tcPr>
            <w:tcW w:w="0" w:type="dxa"/>
            <w:vAlign w:val="bottom"/>
          </w:tcPr>
          <w:p>
            <w:pPr>
              <w:spacing w:after="0"/>
              <w:rPr>
                <w:sz w:val="1"/>
                <w:szCs w:val="1"/>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4,594,484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4,136,363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Income retained for use in the 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18,991,492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15,461,767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5"/>
              </w:rPr>
              <w:t>(4,663,045)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(3,549,243)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(1,125,175)</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(1,172,999)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17,797,756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14,875,888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31,597,676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27,853,372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1380" w:type="dxa"/>
            <w:vAlign w:val="bottom"/>
            <w:gridSpan w:val="4"/>
          </w:tcPr>
          <w:p>
            <w:pPr>
              <w:jc w:val="right"/>
              <w:ind w:right="43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4,284,661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3,793,303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Less: Income from discontinued operations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(37,850)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1,655,895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1,399,570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Earnings of companies carried at equity, less dividends received</w:t>
            </w:r>
          </w:p>
        </w:tc>
        <w:tc>
          <w:tcPr>
            <w:tcW w:w="80" w:type="dxa"/>
            <w:vAlign w:val="bottom"/>
          </w:tcPr>
          <w:p>
            <w:pPr>
              <w:spacing w:after="0"/>
              <w:rPr>
                <w:sz w:val="18"/>
                <w:szCs w:val="18"/>
                <w:color w:val="auto"/>
              </w:rPr>
            </w:pPr>
          </w:p>
        </w:tc>
        <w:tc>
          <w:tcPr>
            <w:tcW w:w="10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(178,417)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(127,889)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126,035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102,542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Provision for losses on accounts receivable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22"/>
                <w:szCs w:val="22"/>
                <w:color w:val="auto"/>
                <w:vertAlign w:val="superscript"/>
              </w:rPr>
              <w:t>(2)</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receivables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9"/>
              </w:rPr>
              <w:t>(1,277,693)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(1,029,225)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Increase in inventories</w:t>
            </w:r>
          </w:p>
        </w:tc>
        <w:tc>
          <w:tcPr>
            <w:tcW w:w="80" w:type="dxa"/>
            <w:vAlign w:val="bottom"/>
          </w:tcPr>
          <w:p>
            <w:pPr>
              <w:spacing w:after="0"/>
              <w:rPr>
                <w:sz w:val="18"/>
                <w:szCs w:val="18"/>
                <w:color w:val="auto"/>
              </w:rPr>
            </w:pPr>
          </w:p>
        </w:tc>
        <w:tc>
          <w:tcPr>
            <w:tcW w:w="10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(242,291)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(320,986)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other current assets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(167,330)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Increase in accounts payable and accrued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526,948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estimated liability for taxes on income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99,633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Decrease in postretirement benefits</w:t>
            </w:r>
          </w:p>
        </w:tc>
        <w:tc>
          <w:tcPr>
            <w:tcW w:w="80" w:type="dxa"/>
            <w:vAlign w:val="bottom"/>
          </w:tcPr>
          <w:p>
            <w:pPr>
              <w:spacing w:after="0"/>
              <w:rPr>
                <w:sz w:val="18"/>
                <w:szCs w:val="18"/>
                <w:color w:val="auto"/>
              </w:rPr>
            </w:pPr>
          </w:p>
        </w:tc>
        <w:tc>
          <w:tcPr>
            <w:tcW w:w="10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(28,383)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(89,833)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115,459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(79,234)</w:t>
            </w:r>
          </w:p>
        </w:tc>
        <w:tc>
          <w:tcPr>
            <w:tcW w:w="0" w:type="dxa"/>
            <w:vAlign w:val="bottom"/>
          </w:tcPr>
          <w:p>
            <w:pPr>
              <w:spacing w:after="0"/>
              <w:rPr>
                <w:sz w:val="1"/>
                <w:szCs w:val="1"/>
                <w:color w:val="auto"/>
              </w:rPr>
            </w:pP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4,891,294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4,111,270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0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w w:val="89"/>
              </w:rPr>
              <w:t>(2,552,507)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(2,013,053)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(262,649)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Business acquisitions and investments</w:t>
            </w:r>
          </w:p>
        </w:tc>
        <w:tc>
          <w:tcPr>
            <w:tcW w:w="80" w:type="dxa"/>
            <w:vAlign w:val="bottom"/>
          </w:tcPr>
          <w:p>
            <w:pPr>
              <w:spacing w:after="0"/>
              <w:rPr>
                <w:sz w:val="18"/>
                <w:szCs w:val="18"/>
                <w:color w:val="auto"/>
              </w:rPr>
            </w:pPr>
          </w:p>
        </w:tc>
        <w:tc>
          <w:tcPr>
            <w:tcW w:w="10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(345,164)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of investments,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(416,558)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(170,694)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(193,972)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9"/>
              </w:rPr>
              <w:t>(3,747,572)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(3,050,040)</w:t>
            </w:r>
          </w:p>
        </w:tc>
        <w:tc>
          <w:tcPr>
            <w:tcW w:w="0" w:type="dxa"/>
            <w:vAlign w:val="bottom"/>
          </w:tcPr>
          <w:p>
            <w:pPr>
              <w:spacing w:after="0"/>
              <w:rPr>
                <w:sz w:val="1"/>
                <w:szCs w:val="1"/>
                <w:color w:val="auto"/>
              </w:rPr>
            </w:pPr>
          </w:p>
        </w:tc>
      </w:tr>
      <w:tr>
        <w:trPr>
          <w:trHeight w:val="222"/>
        </w:trPr>
        <w:tc>
          <w:tcPr>
            <w:tcW w:w="912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(712,467)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107,632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164,453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Stock option tax benefits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109,293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repurchase plan</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9"/>
              </w:rPr>
              <w:t>(1,664,811)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1,052,203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 of long-term debt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(223,913)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Net decrease in short-term debt</w:t>
            </w:r>
          </w:p>
        </w:tc>
        <w:tc>
          <w:tcPr>
            <w:tcW w:w="80" w:type="dxa"/>
            <w:vAlign w:val="bottom"/>
          </w:tcPr>
          <w:p>
            <w:pPr>
              <w:spacing w:after="0"/>
              <w:rPr>
                <w:sz w:val="18"/>
                <w:szCs w:val="18"/>
                <w:color w:val="auto"/>
              </w:rPr>
            </w:pPr>
          </w:p>
        </w:tc>
        <w:tc>
          <w:tcPr>
            <w:tcW w:w="10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(48,602)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(128,475)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9"/>
              </w:rPr>
              <w:t>(1,216,212)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(1,069,059)</w:t>
            </w:r>
          </w:p>
        </w:tc>
        <w:tc>
          <w:tcPr>
            <w:tcW w:w="0" w:type="dxa"/>
            <w:vAlign w:val="bottom"/>
          </w:tcPr>
          <w:p>
            <w:pPr>
              <w:spacing w:after="0"/>
              <w:rPr>
                <w:sz w:val="1"/>
                <w:szCs w:val="1"/>
                <w:color w:val="auto"/>
              </w:rPr>
            </w:pP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Cash flow from discontinued operations—operating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63,382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before translation effect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(9,108)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80" w:type="dxa"/>
            <w:vAlign w:val="bottom"/>
          </w:tcPr>
          <w:p>
            <w:pPr>
              <w:spacing w:after="0"/>
              <w:rPr>
                <w:sz w:val="18"/>
                <w:szCs w:val="18"/>
                <w:color w:val="auto"/>
              </w:rPr>
            </w:pPr>
          </w:p>
        </w:tc>
        <w:tc>
          <w:tcPr>
            <w:tcW w:w="10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(372)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197,233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20" w:type="dxa"/>
            <w:vAlign w:val="bottom"/>
            <w:gridSpan w:val="3"/>
          </w:tcPr>
          <w:p>
            <w:pPr>
              <w:spacing w:after="0"/>
              <w:rPr>
                <w:sz w:val="20"/>
                <w:szCs w:val="20"/>
                <w:color w:val="auto"/>
              </w:rPr>
            </w:pPr>
            <w:r>
              <w:rPr>
                <w:rFonts w:ascii="Arial" w:cs="Arial" w:eastAsia="Arial" w:hAnsi="Arial"/>
                <w:sz w:val="18"/>
                <w:szCs w:val="18"/>
                <w:color w:val="auto"/>
              </w:rPr>
              <w:t>CASH, END OF PERIOD</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187,753</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multiclient seismic data costs.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Net of the effect of business acquisitions.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Accumulated Other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00" w:type="dxa"/>
            <w:vAlign w:val="bottom"/>
          </w:tcPr>
          <w:p>
            <w:pPr>
              <w:spacing w:after="0"/>
              <w:rPr>
                <w:sz w:val="14"/>
                <w:szCs w:val="14"/>
                <w:color w:val="auto"/>
              </w:rPr>
            </w:pPr>
          </w:p>
        </w:tc>
        <w:tc>
          <w:tcPr>
            <w:tcW w:w="178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right"/>
              <w:ind w:right="52"/>
              <w:spacing w:after="0"/>
              <w:rPr>
                <w:sz w:val="20"/>
                <w:szCs w:val="20"/>
                <w:color w:val="auto"/>
              </w:rPr>
            </w:pPr>
            <w:r>
              <w:rPr>
                <w:rFonts w:ascii="Arial" w:cs="Arial" w:eastAsia="Arial" w:hAnsi="Arial"/>
                <w:sz w:val="14"/>
                <w:szCs w:val="14"/>
                <w:b w:val="1"/>
                <w:bCs w:val="1"/>
                <w:color w:val="auto"/>
                <w:w w:val="86"/>
              </w:rPr>
              <w:t>Comprehensive Income (Loss)</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8"/>
              </w:rPr>
              <w:t>Retained</w:t>
            </w:r>
          </w:p>
        </w:tc>
        <w:tc>
          <w:tcPr>
            <w:tcW w:w="8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Marked to</w:t>
            </w:r>
          </w:p>
        </w:tc>
        <w:tc>
          <w:tcPr>
            <w:tcW w:w="120" w:type="dxa"/>
            <w:vAlign w:val="bottom"/>
          </w:tcPr>
          <w:p>
            <w:pPr>
              <w:spacing w:after="0"/>
              <w:rPr>
                <w:sz w:val="12"/>
                <w:szCs w:val="12"/>
                <w:color w:val="auto"/>
              </w:rPr>
            </w:pPr>
          </w:p>
        </w:tc>
        <w:tc>
          <w:tcPr>
            <w:tcW w:w="134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87"/>
              </w:rPr>
              <w:t>Deferred Employee</w:t>
            </w:r>
          </w:p>
        </w:tc>
        <w:tc>
          <w:tcPr>
            <w:tcW w:w="120" w:type="dxa"/>
            <w:vAlign w:val="bottom"/>
          </w:tcPr>
          <w:p>
            <w:pPr>
              <w:spacing w:after="0"/>
              <w:rPr>
                <w:sz w:val="12"/>
                <w:szCs w:val="12"/>
                <w:color w:val="auto"/>
              </w:rPr>
            </w:pPr>
          </w:p>
        </w:tc>
        <w:tc>
          <w:tcPr>
            <w:tcW w:w="100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90"/>
              </w:rPr>
              <w:t>Translation</w:t>
            </w:r>
          </w:p>
        </w:tc>
        <w:tc>
          <w:tcPr>
            <w:tcW w:w="106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87"/>
              </w:rPr>
              <w:t>Comprehensive</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Issued</w:t>
            </w: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In Treasury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Market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Benefits Liabilities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Adjustment</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4"/>
              </w:rPr>
              <w:t>Income (Loss)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6"/>
          </w:tcPr>
          <w:p>
            <w:pPr>
              <w:jc w:val="right"/>
              <w:ind w:right="900"/>
              <w:spacing w:after="0" w:line="142" w:lineRule="exact"/>
              <w:rPr>
                <w:sz w:val="20"/>
                <w:szCs w:val="20"/>
                <w:color w:val="auto"/>
              </w:rPr>
            </w:pPr>
            <w:r>
              <w:rPr>
                <w:rFonts w:ascii="Arial" w:cs="Arial" w:eastAsia="Arial" w:hAnsi="Arial"/>
                <w:sz w:val="14"/>
                <w:szCs w:val="14"/>
                <w:b w:val="1"/>
                <w:bCs w:val="1"/>
                <w:color w:val="auto"/>
                <w:w w:val="88"/>
              </w:rPr>
              <w:t>(Stated in thousands)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2008</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$ 4,136,363</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(3,549,243)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$ 15,461,767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31,627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(383,741)</w:t>
            </w:r>
          </w:p>
        </w:tc>
        <w:tc>
          <w:tcPr>
            <w:tcW w:w="28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(820,885)</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4,284,661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4,284,661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(87,015)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(87,015)</w:t>
            </w:r>
          </w:p>
        </w:tc>
        <w:tc>
          <w:tcPr>
            <w:tcW w:w="0" w:type="dxa"/>
            <w:vAlign w:val="bottom"/>
          </w:tcPr>
          <w:p>
            <w:pPr>
              <w:spacing w:after="0"/>
              <w:rPr>
                <w:sz w:val="1"/>
                <w:szCs w:val="1"/>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Translation adjustment</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87,484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87,484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 net of tax</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(9,350)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(9,350)</w:t>
            </w:r>
          </w:p>
        </w:tc>
        <w:tc>
          <w:tcPr>
            <w:tcW w:w="0" w:type="dxa"/>
            <w:vAlign w:val="bottom"/>
          </w:tcPr>
          <w:p>
            <w:pPr>
              <w:spacing w:after="0"/>
              <w:rPr>
                <w:sz w:val="1"/>
                <w:szCs w:val="1"/>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Amortization of actuarial net loss, net of tax</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19,077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19,077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37,628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Dividends declared ($0.63 per share)</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(754,936)</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plan</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(1,664,811)</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Proceeds from employee stock purchase plan</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115,389</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56,773</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shares sold to optionees, less shares exchanged</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22,256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142,197</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Shares granted to directors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1,156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453</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cost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126,035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Shares issued on conversion of debentures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84,477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351,586</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benefits on stock options</w:t>
            </w: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109,293</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line="155" w:lineRule="exact"/>
              <w:rPr>
                <w:sz w:val="20"/>
                <w:szCs w:val="20"/>
                <w:color w:val="auto"/>
              </w:rPr>
            </w:pPr>
            <w:r>
              <w:rPr>
                <w:rFonts w:ascii="Arial" w:cs="Arial" w:eastAsia="Arial" w:hAnsi="Arial"/>
                <w:sz w:val="14"/>
                <w:szCs w:val="14"/>
                <w:color w:val="auto"/>
              </w:rPr>
              <w:t>Balance, September 30, 2008</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83"/>
              </w:rPr>
              <w:t>$ 4,594,484</w:t>
            </w:r>
          </w:p>
        </w:tc>
        <w:tc>
          <w:tcPr>
            <w:tcW w:w="26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9"/>
              </w:rPr>
              <w:t>(4,663,045)</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7"/>
              </w:rPr>
              <w:t>$ 18,991,492</w:t>
            </w:r>
          </w:p>
        </w:tc>
        <w:tc>
          <w:tcPr>
            <w:tcW w:w="28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32"/>
              <w:spacing w:after="0" w:line="155" w:lineRule="exact"/>
              <w:rPr>
                <w:sz w:val="20"/>
                <w:szCs w:val="20"/>
                <w:color w:val="auto"/>
              </w:rPr>
            </w:pPr>
            <w:r>
              <w:rPr>
                <w:rFonts w:ascii="Arial" w:cs="Arial" w:eastAsia="Arial" w:hAnsi="Arial"/>
                <w:sz w:val="14"/>
                <w:szCs w:val="14"/>
                <w:color w:val="auto"/>
              </w:rPr>
              <w:t>(55,388)</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(336,386)</w:t>
            </w:r>
          </w:p>
        </w:tc>
        <w:tc>
          <w:tcPr>
            <w:tcW w:w="280" w:type="dxa"/>
            <w:vAlign w:val="bottom"/>
            <w:gridSpan w:val="2"/>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(733,401)</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4,332,485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Issued</w:t>
            </w:r>
          </w:p>
        </w:tc>
        <w:tc>
          <w:tcPr>
            <w:tcW w:w="220" w:type="dxa"/>
            <w:vAlign w:val="bottom"/>
          </w:tcPr>
          <w:p>
            <w:pPr>
              <w:spacing w:after="0"/>
              <w:rPr>
                <w:sz w:val="14"/>
                <w:szCs w:val="14"/>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In Treasury</w:t>
            </w:r>
          </w:p>
        </w:tc>
        <w:tc>
          <w:tcPr>
            <w:tcW w:w="300" w:type="dxa"/>
            <w:vAlign w:val="bottom"/>
          </w:tcPr>
          <w:p>
            <w:pPr>
              <w:spacing w:after="0"/>
              <w:rPr>
                <w:sz w:val="14"/>
                <w:szCs w:val="14"/>
                <w:color w:val="auto"/>
              </w:rPr>
            </w:pPr>
          </w:p>
        </w:tc>
        <w:tc>
          <w:tcPr>
            <w:tcW w:w="13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2008</w:t>
            </w:r>
          </w:p>
        </w:tc>
        <w:tc>
          <w:tcPr>
            <w:tcW w:w="1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1,334,212,164</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(138,595,840)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1,195,616,324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5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1,995,661</w:t>
            </w:r>
          </w:p>
        </w:tc>
        <w:tc>
          <w:tcPr>
            <w:tcW w:w="1320" w:type="dxa"/>
            <w:vAlign w:val="bottom"/>
          </w:tcPr>
          <w:p>
            <w:pPr>
              <w:jc w:val="right"/>
              <w:spacing w:after="0"/>
              <w:rPr>
                <w:sz w:val="20"/>
                <w:szCs w:val="20"/>
                <w:color w:val="auto"/>
              </w:rPr>
            </w:pPr>
            <w:r>
              <w:rPr>
                <w:rFonts w:ascii="Arial" w:cs="Arial" w:eastAsia="Arial" w:hAnsi="Arial"/>
                <w:sz w:val="18"/>
                <w:szCs w:val="18"/>
                <w:color w:val="auto"/>
              </w:rPr>
              <w:t>1,995,661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plan</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(18,364,662)</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(18,364,662)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15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5,067,295</w:t>
            </w:r>
          </w:p>
        </w:tc>
        <w:tc>
          <w:tcPr>
            <w:tcW w:w="1320" w:type="dxa"/>
            <w:vAlign w:val="bottom"/>
          </w:tcPr>
          <w:p>
            <w:pPr>
              <w:jc w:val="right"/>
              <w:spacing w:after="0"/>
              <w:rPr>
                <w:sz w:val="20"/>
                <w:szCs w:val="20"/>
                <w:color w:val="auto"/>
              </w:rPr>
            </w:pPr>
            <w:r>
              <w:rPr>
                <w:rFonts w:ascii="Arial" w:cs="Arial" w:eastAsia="Arial" w:hAnsi="Arial"/>
                <w:sz w:val="18"/>
                <w:szCs w:val="18"/>
                <w:color w:val="auto"/>
              </w:rPr>
              <w:t>5,067,295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16,000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Shares issued on conversion of debentures</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11,837,442</w:t>
            </w:r>
          </w:p>
        </w:tc>
        <w:tc>
          <w:tcPr>
            <w:tcW w:w="1320" w:type="dxa"/>
            <w:vAlign w:val="bottom"/>
          </w:tcPr>
          <w:p>
            <w:pPr>
              <w:jc w:val="right"/>
              <w:spacing w:after="0"/>
              <w:rPr>
                <w:sz w:val="20"/>
                <w:szCs w:val="20"/>
                <w:color w:val="auto"/>
              </w:rPr>
            </w:pPr>
            <w:r>
              <w:rPr>
                <w:rFonts w:ascii="Arial" w:cs="Arial" w:eastAsia="Arial" w:hAnsi="Arial"/>
                <w:sz w:val="18"/>
                <w:szCs w:val="18"/>
                <w:color w:val="auto"/>
              </w:rPr>
              <w:t>11,837,442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2008</w:t>
            </w:r>
          </w:p>
        </w:tc>
        <w:tc>
          <w:tcPr>
            <w:tcW w:w="1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5"/>
              </w:rPr>
              <w:t>1,334,212,164</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(138,044,104)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1,196,168,060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nine-month period ended September 30, 2008 are not necessarily indicative of the results that may be expected for the full year ending December 31, 2008. The December 31, 2007 balance sheet information has been derived from the audited 2007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2007, filed with the Securities and Exchange Commission on February 13, 2008.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In December 2007, the Financial Accounting Standards Board (“FASB”) issued SFAS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SFAS 141(R) establishes principles and requirements for how an acquirer in a business combination recognizes and measures the assets acquired, liabilities assumed, and any noncontrolling interest (previously referred to as minority interest) in the acquiree. The provisions of SFAS 141(R) are effective for business combinations occurring on or after January 1, 2009.</w:t>
      </w:r>
    </w:p>
    <w:p>
      <w:pPr>
        <w:spacing w:after="0" w:line="143"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 xml:space="preserve">In December 2007, the FASB issued SFAS 160,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 Amendment of ARB No. 51</w:t>
      </w:r>
      <w:r>
        <w:rPr>
          <w:rFonts w:ascii="Arial" w:cs="Arial" w:eastAsia="Arial" w:hAnsi="Arial"/>
          <w:sz w:val="16"/>
          <w:szCs w:val="16"/>
          <w:color w:val="auto"/>
        </w:rPr>
        <w:t xml:space="preserve"> (“SFAS 160”)</w:t>
      </w:r>
      <w:r>
        <w:rPr>
          <w:rFonts w:ascii="Arial" w:cs="Arial" w:eastAsia="Arial" w:hAnsi="Arial"/>
          <w:sz w:val="16"/>
          <w:szCs w:val="16"/>
          <w:i w:val="1"/>
          <w:iCs w:val="1"/>
          <w:color w:val="auto"/>
        </w:rPr>
        <w:t>.</w:t>
      </w:r>
      <w:r>
        <w:rPr>
          <w:rFonts w:ascii="Arial" w:cs="Arial" w:eastAsia="Arial" w:hAnsi="Arial"/>
          <w:sz w:val="16"/>
          <w:szCs w:val="16"/>
          <w:color w:val="auto"/>
        </w:rPr>
        <w:t xml:space="preserve"> This statement amends ARB 51 to establish accounting and reporting standards for the noncontrolling interest in a subsidiary and for the loss of control of a subsidiary. Upon its adoption on January 1, 2009, noncontrolling interests will be classified as equity in the Schlumberger financial statements.</w:t>
      </w:r>
    </w:p>
    <w:p>
      <w:pPr>
        <w:spacing w:after="0" w:line="10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SFAS 160 also changes the way the consolidated income statement is presented by requiring net income to include the net income for both the parent and the noncontrolling interest, with disclosure of both amounts on the consolidated statement of income. The calculation of earnings per share will continue to be based on income amounts attributable to the parent. The provisions of this standard must be applied retrospectively upon adoption.</w:t>
      </w:r>
    </w:p>
    <w:p>
      <w:pPr>
        <w:spacing w:after="0" w:line="22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earnings per share from continuing operations to diluted earnings per share from continuing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Income from</w:t>
            </w: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90"/>
              </w:rPr>
              <w:t>Income from</w:t>
            </w:r>
          </w:p>
        </w:tc>
        <w:tc>
          <w:tcPr>
            <w:tcW w:w="820" w:type="dxa"/>
            <w:vAlign w:val="bottom"/>
          </w:tcPr>
          <w:p>
            <w:pPr>
              <w:jc w:val="center"/>
              <w:ind w:right="1"/>
              <w:spacing w:after="0" w:line="12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Earnings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Continuing</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2"/>
              </w:rPr>
              <w:t>per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Continuing</w:t>
            </w:r>
          </w:p>
        </w:tc>
        <w:tc>
          <w:tcPr>
            <w:tcW w:w="8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161"/>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Operations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Share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Operations</w:t>
            </w:r>
          </w:p>
        </w:tc>
        <w:tc>
          <w:tcPr>
            <w:tcW w:w="820" w:type="dxa"/>
            <w:vAlign w:val="bottom"/>
          </w:tcPr>
          <w:p>
            <w:pPr>
              <w:jc w:val="center"/>
              <w:ind w:right="21"/>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6"/>
              </w:rPr>
              <w:t>in</w:t>
            </w:r>
          </w:p>
        </w:tc>
        <w:tc>
          <w:tcPr>
            <w:tcW w:w="6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220" w:type="dxa"/>
            <w:vAlign w:val="bottom"/>
            <w:vMerge w:val="continue"/>
          </w:tcPr>
          <w:p>
            <w:pPr>
              <w:spacing w:after="0"/>
              <w:rPr>
                <w:sz w:val="12"/>
                <w:szCs w:val="12"/>
                <w:color w:val="auto"/>
              </w:rPr>
            </w:pPr>
          </w:p>
        </w:tc>
        <w:tc>
          <w:tcPr>
            <w:tcW w:w="6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1"/>
              </w:rPr>
              <w:t>thousands</w:t>
            </w:r>
          </w:p>
        </w:tc>
        <w:tc>
          <w:tcPr>
            <w:tcW w:w="15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83"/>
              </w:rPr>
              <w:t>except per share amounts)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1,526,362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1,198,823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1,353,997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1,194,175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rPr>
              <w:t>Assumed conversion of debentures</w:t>
            </w: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2,150</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8,925</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5,204</w:t>
            </w:r>
          </w:p>
        </w:tc>
        <w:tc>
          <w:tcPr>
            <w:tcW w:w="8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24,669</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Unvested restricted stock</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1,528,512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1,225,112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1,359,201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1,243,808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19"/>
              <w:spacing w:after="0"/>
              <w:rPr>
                <w:sz w:val="20"/>
                <w:szCs w:val="20"/>
                <w:color w:val="auto"/>
              </w:rPr>
            </w:pPr>
            <w:r>
              <w:rPr>
                <w:rFonts w:ascii="Arial" w:cs="Arial" w:eastAsia="Arial" w:hAnsi="Arial"/>
                <w:sz w:val="18"/>
                <w:szCs w:val="18"/>
                <w:color w:val="auto"/>
                <w:w w:val="79"/>
              </w:rPr>
              <w:t>8</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Income from</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Income from</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Continuing</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2"/>
              </w:rPr>
              <w:t>per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Continuing</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161"/>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Operations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Share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Operations</w:t>
            </w:r>
          </w:p>
        </w:tc>
        <w:tc>
          <w:tcPr>
            <w:tcW w:w="820" w:type="dxa"/>
            <w:vAlign w:val="bottom"/>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6"/>
              </w:rPr>
              <w:t>in</w:t>
            </w:r>
          </w:p>
        </w:tc>
        <w:tc>
          <w:tcPr>
            <w:tcW w:w="6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220" w:type="dxa"/>
            <w:vAlign w:val="bottom"/>
            <w:vMerge w:val="continue"/>
          </w:tcPr>
          <w:p>
            <w:pPr>
              <w:spacing w:after="0"/>
              <w:rPr>
                <w:sz w:val="12"/>
                <w:szCs w:val="12"/>
                <w:color w:val="auto"/>
              </w:rPr>
            </w:pPr>
          </w:p>
        </w:tc>
        <w:tc>
          <w:tcPr>
            <w:tcW w:w="6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1"/>
              </w:rPr>
              <w:t>thousands</w:t>
            </w:r>
          </w:p>
        </w:tc>
        <w:tc>
          <w:tcPr>
            <w:tcW w:w="15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83"/>
              </w:rPr>
              <w:t>except per share amounts)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4,246,811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1,196,660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3,793,303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1,185,624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rPr>
              <w:t>Assumed conversion of debentures</w:t>
            </w: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9,596</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14,624</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18,969</w:t>
            </w:r>
          </w:p>
        </w:tc>
        <w:tc>
          <w:tcPr>
            <w:tcW w:w="8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30,042</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Unvested restricted stock</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4,256,407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1,228,579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3,812,272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1,238,675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During the first nine months of 2008, the $353 million outstanding 1.5% Series A Convertible Debentures due June 1, 2023 and $83 million of the 2.125% Series B Convertible Debentures due June 1, 2023 were converted into 11.8 million shares of Schlumberger common stock.</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were as follows:</w:t>
      </w:r>
    </w:p>
    <w:p>
      <w:pPr>
        <w:spacing w:after="0" w:line="168" w:lineRule="exact"/>
        <w:rPr>
          <w:sz w:val="20"/>
          <w:szCs w:val="20"/>
          <w:color w:val="auto"/>
        </w:rPr>
      </w:pPr>
    </w:p>
    <w:p>
      <w:pPr>
        <w:ind w:left="9480"/>
        <w:spacing w:after="0"/>
        <w:tabs>
          <w:tab w:leader="none" w:pos="1056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0</wp:posOffset>
            </wp:positionV>
            <wp:extent cx="3086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0</wp:posOffset>
            </wp:positionV>
            <wp:extent cx="317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ind w:left="9620"/>
        <w:spacing w:after="0"/>
        <w:rPr>
          <w:sz w:val="20"/>
          <w:szCs w:val="20"/>
          <w:color w:val="auto"/>
        </w:rPr>
      </w:pPr>
      <w:r>
        <w:rPr>
          <w:rFonts w:ascii="Arial" w:cs="Arial" w:eastAsia="Arial" w:hAnsi="Arial"/>
          <w:sz w:val="14"/>
          <w:szCs w:val="14"/>
          <w:b w:val="1"/>
          <w:bCs w:val="1"/>
          <w:color w:val="auto"/>
        </w:rPr>
        <w:t>(Stated in millions)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760" w:type="dxa"/>
            <w:vAlign w:val="bottom"/>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060" w:type="dxa"/>
            <w:vAlign w:val="bottom"/>
          </w:tcPr>
          <w:p>
            <w:pPr>
              <w:spacing w:after="0"/>
              <w:rPr>
                <w:sz w:val="20"/>
                <w:szCs w:val="20"/>
                <w:color w:val="auto"/>
              </w:rPr>
            </w:pPr>
            <w:r>
              <w:rPr>
                <w:rFonts w:ascii="Arial" w:cs="Arial" w:eastAsia="Arial" w:hAnsi="Arial"/>
                <w:sz w:val="18"/>
                <w:szCs w:val="18"/>
                <w:color w:val="auto"/>
              </w:rPr>
              <w:t>Nine months</w:t>
            </w:r>
          </w:p>
        </w:tc>
        <w:tc>
          <w:tcPr>
            <w:tcW w:w="4760" w:type="dxa"/>
            <w:vAlign w:val="bottom"/>
          </w:tcPr>
          <w:p>
            <w:pPr>
              <w:jc w:val="right"/>
              <w:ind w:right="332"/>
              <w:spacing w:after="0"/>
              <w:rPr>
                <w:sz w:val="20"/>
                <w:szCs w:val="20"/>
                <w:color w:val="auto"/>
              </w:rPr>
            </w:pPr>
            <w:r>
              <w:rPr>
                <w:rFonts w:ascii="Arial" w:cs="Arial" w:eastAsia="Arial" w:hAnsi="Arial"/>
                <w:sz w:val="18"/>
                <w:szCs w:val="18"/>
                <w:b w:val="1"/>
                <w:bCs w:val="1"/>
                <w:color w:val="auto"/>
              </w:rPr>
              <w:t>1.2</w:t>
            </w: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r>
    </w:tbl>
    <w:p>
      <w:pPr>
        <w:spacing w:after="0" w:line="25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first nine months of 2008, Schlumberger made certain acquisitions and minority interest investments, none of which were significant on an individual basis, for an aggregate amount of $345 million in cash.</w:t>
      </w:r>
    </w:p>
    <w:p>
      <w:pPr>
        <w:spacing w:after="0" w:line="24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232"/>
              <w:spacing w:after="0"/>
              <w:rPr>
                <w:sz w:val="20"/>
                <w:szCs w:val="20"/>
                <w:color w:val="auto"/>
              </w:rPr>
            </w:pPr>
            <w:r>
              <w:rPr>
                <w:rFonts w:ascii="Arial" w:cs="Arial" w:eastAsia="Arial" w:hAnsi="Arial"/>
                <w:sz w:val="14"/>
                <w:szCs w:val="14"/>
                <w:b w:val="1"/>
                <w:bCs w:val="1"/>
                <w:color w:val="auto"/>
                <w:w w:val="85"/>
              </w:rPr>
              <w:t>Sept. 30</w:t>
            </w:r>
          </w:p>
        </w:tc>
        <w:tc>
          <w:tcPr>
            <w:tcW w:w="10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w w:val="97"/>
              </w:rPr>
              <w:t>Dec.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280" w:type="dxa"/>
            <w:vAlign w:val="bottom"/>
            <w:gridSpan w:val="2"/>
          </w:tcPr>
          <w:p>
            <w:pPr>
              <w:spacing w:after="0"/>
              <w:rPr>
                <w:sz w:val="14"/>
                <w:szCs w:val="14"/>
                <w:color w:val="auto"/>
              </w:rPr>
            </w:pPr>
          </w:p>
        </w:tc>
        <w:tc>
          <w:tcPr>
            <w:tcW w:w="420" w:type="dxa"/>
            <w:vAlign w:val="bottom"/>
            <w:tcBorders>
              <w:bottom w:val="single" w:sz="8" w:color="auto"/>
            </w:tcBorders>
          </w:tcPr>
          <w:p>
            <w:pPr>
              <w:jc w:val="center"/>
              <w:ind w:left="46"/>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960" w:type="dxa"/>
            <w:vAlign w:val="bottom"/>
            <w:gridSpan w:val="3"/>
          </w:tcPr>
          <w:p>
            <w:pPr>
              <w:jc w:val="right"/>
              <w:ind w:right="107"/>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6120" w:type="dxa"/>
            <w:vAlign w:val="bottom"/>
            <w:gridSpan w:val="5"/>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$ 1,585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Work in process</w:t>
            </w:r>
          </w:p>
        </w:tc>
        <w:tc>
          <w:tcPr>
            <w:tcW w:w="6120" w:type="dxa"/>
            <w:vAlign w:val="bottom"/>
            <w:gridSpan w:val="5"/>
          </w:tcPr>
          <w:p>
            <w:pPr>
              <w:jc w:val="right"/>
              <w:ind w:right="252"/>
              <w:spacing w:after="0"/>
              <w:rPr>
                <w:sz w:val="20"/>
                <w:szCs w:val="20"/>
                <w:color w:val="auto"/>
              </w:rPr>
            </w:pPr>
            <w:r>
              <w:rPr>
                <w:rFonts w:ascii="Arial" w:cs="Arial" w:eastAsia="Arial" w:hAnsi="Arial"/>
                <w:sz w:val="18"/>
                <w:szCs w:val="18"/>
                <w:b w:val="1"/>
                <w:bCs w:val="1"/>
                <w:color w:val="auto"/>
              </w:rPr>
              <w:t>147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280" w:type="dxa"/>
            <w:vAlign w:val="bottom"/>
            <w:gridSpan w:val="2"/>
            <w:shd w:val="clear" w:color="auto" w:fill="CCEEFF"/>
          </w:tcPr>
          <w:p>
            <w:pPr>
              <w:spacing w:after="0"/>
              <w:rPr>
                <w:sz w:val="18"/>
                <w:szCs w:val="18"/>
                <w:color w:val="auto"/>
              </w:rPr>
            </w:pPr>
          </w:p>
        </w:tc>
        <w:tc>
          <w:tcPr>
            <w:tcW w:w="8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146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$ 1,878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39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Fixed Assets</w:t>
            </w:r>
          </w:p>
        </w:tc>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0" w:type="dxa"/>
            <w:vAlign w:val="bottom"/>
            <w:vMerge w:val="continue"/>
          </w:tcPr>
          <w:p>
            <w:pPr>
              <w:spacing w:after="0"/>
              <w:rPr>
                <w:sz w:val="24"/>
                <w:szCs w:val="24"/>
                <w:color w:val="auto"/>
              </w:rPr>
            </w:pPr>
          </w:p>
        </w:tc>
        <w:tc>
          <w:tcPr>
            <w:tcW w:w="3900" w:type="dxa"/>
            <w:vAlign w:val="bottom"/>
            <w:gridSpan w:val="2"/>
            <w:vMerge w:val="continue"/>
          </w:tcPr>
          <w:p>
            <w:pPr>
              <w:spacing w:after="0"/>
              <w:rPr>
                <w:sz w:val="24"/>
                <w:szCs w:val="24"/>
                <w:color w:val="auto"/>
              </w:rPr>
            </w:pPr>
          </w:p>
        </w:tc>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0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4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w w:val="96"/>
              </w:rPr>
              <w:t>Sept. 30</w:t>
            </w:r>
          </w:p>
        </w:tc>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center"/>
              <w:ind w:left="6"/>
              <w:spacing w:after="0" w:line="142" w:lineRule="exact"/>
              <w:rPr>
                <w:sz w:val="20"/>
                <w:szCs w:val="20"/>
                <w:color w:val="auto"/>
              </w:rPr>
            </w:pPr>
            <w:r>
              <w:rPr>
                <w:rFonts w:ascii="Arial" w:cs="Arial" w:eastAsia="Arial" w:hAnsi="Arial"/>
                <w:sz w:val="14"/>
                <w:szCs w:val="14"/>
                <w:b w:val="1"/>
                <w:bCs w:val="1"/>
                <w:color w:val="auto"/>
                <w:w w:val="71"/>
              </w:rPr>
              <w:t>(Stated</w:t>
            </w:r>
          </w:p>
        </w:tc>
        <w:tc>
          <w:tcPr>
            <w:tcW w:w="1060" w:type="dxa"/>
            <w:vAlign w:val="bottom"/>
            <w:gridSpan w:val="4"/>
          </w:tcPr>
          <w:p>
            <w:pPr>
              <w:jc w:val="right"/>
              <w:ind w:right="227"/>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5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$ 19,474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$ 17,345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508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10,261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5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9,213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8,008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080" w:type="dxa"/>
            <w:vAlign w:val="bottom"/>
            <w:vMerge w:val="restart"/>
          </w:tcPr>
          <w:p>
            <w:pPr>
              <w:jc w:val="right"/>
              <w:ind w:right="3432"/>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relating to fixed assets were as follows:</w:t>
      </w:r>
    </w:p>
    <w:p>
      <w:pPr>
        <w:spacing w:after="0" w:line="207" w:lineRule="exact"/>
        <w:rPr>
          <w:sz w:val="20"/>
          <w:szCs w:val="20"/>
          <w:color w:val="auto"/>
        </w:rPr>
      </w:pPr>
    </w:p>
    <w:p>
      <w:pPr>
        <w:ind w:left="9620"/>
        <w:spacing w:after="0"/>
        <w:tabs>
          <w:tab w:leader="none" w:pos="1054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0</wp:posOffset>
            </wp:positionV>
            <wp:extent cx="325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6617335</wp:posOffset>
            </wp:positionH>
            <wp:positionV relativeFrom="paragraph">
              <wp:posOffset>0</wp:posOffset>
            </wp:positionV>
            <wp:extent cx="3429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9680"/>
        <w:spacing w:after="0"/>
        <w:rPr>
          <w:sz w:val="20"/>
          <w:szCs w:val="20"/>
          <w:color w:val="auto"/>
        </w:rPr>
      </w:pPr>
      <w:r>
        <w:rPr>
          <w:rFonts w:ascii="Arial" w:cs="Arial" w:eastAsia="Arial" w:hAnsi="Arial"/>
          <w:sz w:val="14"/>
          <w:szCs w:val="14"/>
          <w:b w:val="1"/>
          <w:bCs w:val="1"/>
          <w:color w:val="auto"/>
        </w:rPr>
        <w:t>(Stated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80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b w:val="1"/>
                <w:bCs w:val="1"/>
                <w:color w:val="auto"/>
              </w:rPr>
              <w:t>$  485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8"/>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Nine Months</w:t>
            </w:r>
          </w:p>
        </w:tc>
        <w:tc>
          <w:tcPr>
            <w:tcW w:w="2800" w:type="dxa"/>
            <w:vAlign w:val="bottom"/>
            <w:gridSpan w:val="2"/>
          </w:tcPr>
          <w:p>
            <w:pPr>
              <w:jc w:val="right"/>
              <w:ind w:right="142"/>
              <w:spacing w:after="0"/>
              <w:rPr>
                <w:sz w:val="20"/>
                <w:szCs w:val="20"/>
                <w:color w:val="auto"/>
              </w:rPr>
            </w:pPr>
            <w:r>
              <w:rPr>
                <w:rFonts w:ascii="Arial" w:cs="Arial" w:eastAsia="Arial" w:hAnsi="Arial"/>
                <w:sz w:val="18"/>
                <w:szCs w:val="18"/>
                <w:b w:val="1"/>
                <w:bCs w:val="1"/>
                <w:color w:val="auto"/>
              </w:rPr>
              <w:t>$ 1,394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8"/>
              </w:rPr>
              <w:t>1,108</w:t>
            </w:r>
          </w:p>
        </w:tc>
      </w:tr>
      <w:tr>
        <w:trPr>
          <w:trHeight w:val="485"/>
        </w:trPr>
        <w:tc>
          <w:tcPr>
            <w:tcW w:w="300" w:type="dxa"/>
            <w:vAlign w:val="bottom"/>
          </w:tcPr>
          <w:p>
            <w:pPr>
              <w:spacing w:after="0"/>
              <w:rPr>
                <w:sz w:val="20"/>
                <w:szCs w:val="20"/>
                <w:color w:val="auto"/>
              </w:rPr>
            </w:pPr>
            <w:r>
              <w:rPr>
                <w:rFonts w:ascii="Arial" w:cs="Arial" w:eastAsia="Arial" w:hAnsi="Arial"/>
                <w:sz w:val="18"/>
                <w:szCs w:val="18"/>
                <w:b w:val="1"/>
                <w:bCs w:val="1"/>
                <w:color w:val="auto"/>
              </w:rPr>
              <w:t>6.</w:t>
            </w:r>
          </w:p>
        </w:tc>
        <w:tc>
          <w:tcPr>
            <w:tcW w:w="7120" w:type="dxa"/>
            <w:vAlign w:val="bottom"/>
            <w:gridSpan w:val="2"/>
          </w:tcPr>
          <w:p>
            <w:pPr>
              <w:ind w:left="160"/>
              <w:spacing w:after="0"/>
              <w:rPr>
                <w:sz w:val="20"/>
                <w:szCs w:val="20"/>
                <w:color w:val="auto"/>
              </w:rPr>
            </w:pPr>
            <w:r>
              <w:rPr>
                <w:rFonts w:ascii="Arial" w:cs="Arial" w:eastAsia="Arial" w:hAnsi="Arial"/>
                <w:sz w:val="18"/>
                <w:szCs w:val="18"/>
                <w:b w:val="1"/>
                <w:bCs w:val="1"/>
                <w:color w:val="auto"/>
              </w:rPr>
              <w:t>Multiclient Seismic Data</w:t>
            </w:r>
          </w:p>
        </w:tc>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7420" w:type="dxa"/>
            <w:vAlign w:val="bottom"/>
            <w:gridSpan w:val="3"/>
          </w:tcPr>
          <w:p>
            <w:pPr>
              <w:spacing w:after="0"/>
              <w:rPr>
                <w:sz w:val="20"/>
                <w:szCs w:val="20"/>
                <w:color w:val="auto"/>
              </w:rPr>
            </w:pPr>
            <w:r>
              <w:rPr>
                <w:rFonts w:ascii="Arial" w:cs="Arial" w:eastAsia="Arial" w:hAnsi="Arial"/>
                <w:sz w:val="18"/>
                <w:szCs w:val="18"/>
                <w:color w:val="auto"/>
              </w:rPr>
              <w:t>The change in the carrying amount of multiclient seismic data is as follows:</w:t>
            </w:r>
          </w:p>
        </w:tc>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(Stated in millions)</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280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6"/>
              </w:rPr>
              <w:t>182</w:t>
            </w:r>
          </w:p>
        </w:tc>
        <w:tc>
          <w:tcPr>
            <w:tcW w:w="6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Capitalized in period</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center"/>
              <w:ind w:left="12"/>
              <w:spacing w:after="0"/>
              <w:rPr>
                <w:sz w:val="20"/>
                <w:szCs w:val="20"/>
                <w:color w:val="auto"/>
              </w:rPr>
            </w:pPr>
            <w:r>
              <w:rPr>
                <w:rFonts w:ascii="Arial" w:cs="Arial" w:eastAsia="Arial" w:hAnsi="Arial"/>
                <w:sz w:val="18"/>
                <w:szCs w:val="18"/>
                <w:color w:val="auto"/>
                <w:w w:val="86"/>
              </w:rPr>
              <w:t>263</w:t>
            </w:r>
          </w:p>
        </w:tc>
        <w:tc>
          <w:tcPr>
            <w:tcW w:w="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Charged to cost of goods sold &amp; services</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(168)</w:t>
            </w:r>
          </w:p>
        </w:tc>
      </w:tr>
      <w:tr>
        <w:trPr>
          <w:trHeight w:val="222"/>
        </w:trPr>
        <w:tc>
          <w:tcPr>
            <w:tcW w:w="300" w:type="dxa"/>
            <w:vAlign w:val="bottom"/>
          </w:tcPr>
          <w:p>
            <w:pPr>
              <w:spacing w:after="0"/>
              <w:rPr>
                <w:sz w:val="19"/>
                <w:szCs w:val="19"/>
                <w:color w:val="auto"/>
              </w:rPr>
            </w:pPr>
          </w:p>
        </w:tc>
        <w:tc>
          <w:tcPr>
            <w:tcW w:w="7120" w:type="dxa"/>
            <w:vAlign w:val="bottom"/>
            <w:gridSpan w:val="2"/>
          </w:tcPr>
          <w:p>
            <w:pPr>
              <w:ind w:left="160"/>
              <w:spacing w:after="0"/>
              <w:rPr>
                <w:sz w:val="20"/>
                <w:szCs w:val="20"/>
                <w:color w:val="auto"/>
              </w:rPr>
            </w:pPr>
            <w:r>
              <w:rPr>
                <w:rFonts w:ascii="Arial" w:cs="Arial" w:eastAsia="Arial" w:hAnsi="Arial"/>
                <w:sz w:val="18"/>
                <w:szCs w:val="18"/>
                <w:color w:val="auto"/>
              </w:rPr>
              <w:t>Balance at September 30, 2008</w:t>
            </w:r>
          </w:p>
        </w:tc>
        <w:tc>
          <w:tcPr>
            <w:tcW w:w="23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center"/>
              <w:ind w:left="12"/>
              <w:spacing w:after="0"/>
              <w:rPr>
                <w:sz w:val="20"/>
                <w:szCs w:val="20"/>
                <w:color w:val="auto"/>
              </w:rPr>
            </w:pPr>
            <w:r>
              <w:rPr>
                <w:rFonts w:ascii="Arial" w:cs="Arial" w:eastAsia="Arial" w:hAnsi="Arial"/>
                <w:sz w:val="18"/>
                <w:szCs w:val="18"/>
                <w:color w:val="auto"/>
                <w:w w:val="86"/>
              </w:rPr>
              <w:t>277</w:t>
            </w:r>
          </w:p>
        </w:tc>
        <w:tc>
          <w:tcPr>
            <w:tcW w:w="6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for the nine months ended September 30, 2008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6"/>
              </w:rPr>
              <w:t>Oilfield</w:t>
            </w:r>
          </w:p>
        </w:tc>
        <w:tc>
          <w:tcPr>
            <w:tcW w:w="420" w:type="dxa"/>
            <w:vAlign w:val="bottom"/>
          </w:tcPr>
          <w:p>
            <w:pPr>
              <w:spacing w:after="0"/>
              <w:rPr>
                <w:sz w:val="14"/>
                <w:szCs w:val="14"/>
                <w:color w:val="auto"/>
              </w:rPr>
            </w:pPr>
          </w:p>
        </w:tc>
        <w:tc>
          <w:tcPr>
            <w:tcW w:w="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Western</w:t>
            </w:r>
          </w:p>
        </w:tc>
        <w:tc>
          <w:tcPr>
            <w:tcW w:w="540" w:type="dxa"/>
            <w:vAlign w:val="bottom"/>
          </w:tcPr>
          <w:p>
            <w:pPr>
              <w:spacing w:after="0"/>
              <w:rPr>
                <w:sz w:val="14"/>
                <w:szCs w:val="14"/>
                <w:color w:val="auto"/>
              </w:rPr>
            </w:pPr>
          </w:p>
        </w:tc>
      </w:tr>
      <w:tr>
        <w:trPr>
          <w:trHeight w:val="161"/>
        </w:trPr>
        <w:tc>
          <w:tcPr>
            <w:tcW w:w="808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Services</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79"/>
              </w:rPr>
              <w:t>Geco</w:t>
            </w:r>
          </w:p>
        </w:tc>
        <w:tc>
          <w:tcPr>
            <w:tcW w:w="420" w:type="dxa"/>
            <w:vAlign w:val="bottom"/>
          </w:tcPr>
          <w:p>
            <w:pPr>
              <w:spacing w:after="0"/>
              <w:rPr>
                <w:sz w:val="14"/>
                <w:szCs w:val="14"/>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Total</w:t>
            </w:r>
          </w:p>
        </w:tc>
      </w:tr>
      <w:tr>
        <w:trPr>
          <w:trHeight w:val="142"/>
        </w:trPr>
        <w:tc>
          <w:tcPr>
            <w:tcW w:w="8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(Stated in millions)</w:t>
            </w:r>
          </w:p>
        </w:tc>
        <w:tc>
          <w:tcPr>
            <w:tcW w:w="540" w:type="dxa"/>
            <w:vAlign w:val="bottom"/>
          </w:tcPr>
          <w:p>
            <w:pPr>
              <w:spacing w:after="0"/>
              <w:rPr>
                <w:sz w:val="12"/>
                <w:szCs w:val="12"/>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$ 4,185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$ 5,142</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Additions</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58</w:t>
            </w: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Balance at September 30, 2008</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$ 4,280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1,015</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$ 5,295</w:t>
            </w:r>
          </w:p>
        </w:tc>
      </w:tr>
      <w:tr>
        <w:trPr>
          <w:trHeight w:val="20"/>
        </w:trPr>
        <w:tc>
          <w:tcPr>
            <w:tcW w:w="80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Intangible assets principally comprise software, technology and customer relationships. The gross book value and accumulated amortization of intangible assets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9"/>
              </w:rPr>
              <w:t>Sept. 30, 2008</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 31, 2007</w:t>
            </w: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500" w:type="dxa"/>
            <w:vAlign w:val="bottom"/>
          </w:tcPr>
          <w:p>
            <w:pPr>
              <w:spacing w:after="0"/>
              <w:rPr>
                <w:sz w:val="11"/>
                <w:szCs w:val="11"/>
                <w:color w:val="auto"/>
              </w:rPr>
            </w:pPr>
          </w:p>
        </w:tc>
        <w:tc>
          <w:tcPr>
            <w:tcW w:w="5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8"/>
              </w:rPr>
              <w:t>Gross</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Book</w:t>
            </w:r>
          </w:p>
        </w:tc>
        <w:tc>
          <w:tcPr>
            <w:tcW w:w="22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Book</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Book</w:t>
            </w:r>
          </w:p>
        </w:tc>
        <w:tc>
          <w:tcPr>
            <w:tcW w:w="5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00" w:type="dxa"/>
            <w:vAlign w:val="bottom"/>
          </w:tcPr>
          <w:p>
            <w:pPr>
              <w:spacing w:after="0"/>
              <w:rPr>
                <w:sz w:val="12"/>
                <w:szCs w:val="12"/>
                <w:color w:val="auto"/>
              </w:rPr>
            </w:pPr>
          </w:p>
        </w:tc>
        <w:tc>
          <w:tcPr>
            <w:tcW w:w="3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Book</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500" w:type="dxa"/>
            <w:vAlign w:val="bottom"/>
          </w:tcPr>
          <w:p>
            <w:pPr>
              <w:spacing w:after="0"/>
              <w:rPr>
                <w:sz w:val="14"/>
                <w:szCs w:val="14"/>
                <w:color w:val="auto"/>
              </w:rPr>
            </w:pPr>
          </w:p>
        </w:tc>
        <w:tc>
          <w:tcPr>
            <w:tcW w:w="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380" w:type="dxa"/>
            <w:vAlign w:val="bottom"/>
            <w:gridSpan w:val="4"/>
          </w:tcPr>
          <w:p>
            <w:pPr>
              <w:jc w:val="right"/>
              <w:ind w:right="118"/>
              <w:spacing w:after="0" w:line="142" w:lineRule="exact"/>
              <w:rPr>
                <w:sz w:val="20"/>
                <w:szCs w:val="20"/>
                <w:color w:val="auto"/>
              </w:rPr>
            </w:pPr>
            <w:r>
              <w:rPr>
                <w:rFonts w:ascii="Arial" w:cs="Arial" w:eastAsia="Arial" w:hAnsi="Arial"/>
                <w:sz w:val="14"/>
                <w:szCs w:val="14"/>
                <w:b w:val="1"/>
                <w:bCs w:val="1"/>
                <w:color w:val="auto"/>
                <w:w w:val="92"/>
              </w:rPr>
              <w:t>(Stated in millions)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343</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$ 115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Technology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469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110</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359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437</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362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41</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79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1,294</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432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862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1,260</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3"/>
              </w:rPr>
              <w:t>2008</w:t>
            </w: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3"/>
              </w:rPr>
              <w:t>2007</w:t>
            </w:r>
          </w:p>
        </w:tc>
      </w:tr>
      <w:tr>
        <w:trPr>
          <w:trHeight w:val="142"/>
        </w:trPr>
        <w:tc>
          <w:tcPr>
            <w:tcW w:w="49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4"/>
          </w:tcPr>
          <w:p>
            <w:pPr>
              <w:ind w:left="200"/>
              <w:spacing w:after="0" w:line="142" w:lineRule="exact"/>
              <w:rPr>
                <w:sz w:val="20"/>
                <w:szCs w:val="20"/>
                <w:color w:val="auto"/>
              </w:rPr>
            </w:pPr>
            <w:r>
              <w:rPr>
                <w:rFonts w:ascii="Arial" w:cs="Arial" w:eastAsia="Arial" w:hAnsi="Arial"/>
                <w:sz w:val="14"/>
                <w:szCs w:val="14"/>
                <w:b w:val="1"/>
                <w:bCs w:val="1"/>
                <w:color w:val="auto"/>
              </w:rPr>
              <w:t>(Stated in millions)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8"/>
        </w:trPr>
        <w:tc>
          <w:tcPr>
            <w:tcW w:w="4900" w:type="dxa"/>
            <w:vAlign w:val="bottom"/>
          </w:tcPr>
          <w:p>
            <w:pPr>
              <w:spacing w:after="0"/>
              <w:rPr>
                <w:sz w:val="20"/>
                <w:szCs w:val="20"/>
                <w:color w:val="auto"/>
              </w:rPr>
            </w:pPr>
            <w:r>
              <w:rPr>
                <w:rFonts w:ascii="Arial" w:cs="Arial" w:eastAsia="Arial" w:hAnsi="Arial"/>
                <w:sz w:val="18"/>
                <w:szCs w:val="18"/>
                <w:color w:val="auto"/>
              </w:rPr>
              <w:t>Nine Months</w:t>
            </w:r>
          </w:p>
        </w:tc>
        <w:tc>
          <w:tcPr>
            <w:tcW w:w="4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12 years.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Based on the net book value of intangible assets at September 30, 2008, amortization charged to income for the subsequent five years is estimated to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remainder of 2008—$33 million; 2009—$103 million; 2010—$94 million; 2011—$86 million; 2012—$74 million and 2013—$63 million.</w:t>
      </w:r>
    </w:p>
    <w:p>
      <w:pPr>
        <w:spacing w:after="0" w:line="28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Schlumberger has three types of stock-based compensation programs: stock options, restricted stock and a discounted stock purchase plan (“DSPP”).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stock-based compensation expense recognized in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9"/>
          </w:tcPr>
          <w:p>
            <w:pPr>
              <w:jc w:val="right"/>
              <w:ind w:right="668"/>
              <w:spacing w:after="0"/>
              <w:rPr>
                <w:sz w:val="20"/>
                <w:szCs w:val="20"/>
                <w:color w:val="auto"/>
              </w:rPr>
            </w:pPr>
            <w:r>
              <w:rPr>
                <w:rFonts w:ascii="Arial" w:cs="Arial" w:eastAsia="Arial" w:hAnsi="Arial"/>
                <w:sz w:val="14"/>
                <w:szCs w:val="14"/>
                <w:b w:val="1"/>
                <w:bCs w:val="1"/>
                <w:color w:val="auto"/>
              </w:rPr>
              <w:t>Third Quarter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w w:val="95"/>
              </w:rPr>
              <w:t>Nine Months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9"/>
          </w:tcPr>
          <w:p>
            <w:pPr>
              <w:jc w:val="right"/>
              <w:ind w:right="640"/>
              <w:spacing w:after="0" w:line="142" w:lineRule="exact"/>
              <w:rPr>
                <w:sz w:val="20"/>
                <w:szCs w:val="20"/>
                <w:color w:val="auto"/>
              </w:rPr>
            </w:pPr>
            <w:r>
              <w:rPr>
                <w:rFonts w:ascii="Arial" w:cs="Arial" w:eastAsia="Arial" w:hAnsi="Arial"/>
                <w:sz w:val="14"/>
                <w:szCs w:val="14"/>
                <w:b w:val="1"/>
                <w:bCs w:val="1"/>
                <w:color w:val="auto"/>
                <w:w w:val="89"/>
              </w:rPr>
              <w:t>(Stated in millions)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84</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Restricted stock</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b w:val="1"/>
                <w:bCs w:val="1"/>
                <w:color w:val="auto"/>
              </w:rPr>
              <w:t>21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DSPP</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$ 126</w:t>
            </w:r>
          </w:p>
        </w:tc>
        <w:tc>
          <w:tcPr>
            <w:tcW w:w="480" w:type="dxa"/>
            <w:vAlign w:val="bottom"/>
            <w:vMerge w:val="continue"/>
          </w:tcPr>
          <w:p>
            <w:pPr>
              <w:spacing w:after="0"/>
              <w:rPr>
                <w:sz w:val="19"/>
                <w:szCs w:val="19"/>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$ 102</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Income Tax</w:t>
            </w: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4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40" w:type="dxa"/>
            <w:vAlign w:val="bottom"/>
            <w:gridSpan w:val="2"/>
          </w:tcPr>
          <w:p>
            <w:pPr>
              <w:spacing w:after="0"/>
              <w:rPr>
                <w:sz w:val="20"/>
                <w:szCs w:val="20"/>
                <w:color w:val="auto"/>
              </w:rPr>
            </w:pPr>
            <w:r>
              <w:rPr>
                <w:rFonts w:ascii="Arial" w:cs="Arial" w:eastAsia="Arial" w:hAnsi="Arial"/>
                <w:sz w:val="18"/>
                <w:szCs w:val="18"/>
                <w:color w:val="auto"/>
                <w:w w:val="89"/>
              </w:rPr>
              <w:t>Pretax book income from continuing operations subject to US and non-US income taxes was as follows: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9"/>
          </w:tcPr>
          <w:p>
            <w:pPr>
              <w:jc w:val="right"/>
              <w:ind w:right="608"/>
              <w:spacing w:after="0"/>
              <w:rPr>
                <w:sz w:val="20"/>
                <w:szCs w:val="20"/>
                <w:color w:val="auto"/>
              </w:rPr>
            </w:pPr>
            <w:r>
              <w:rPr>
                <w:rFonts w:ascii="Arial" w:cs="Arial" w:eastAsia="Arial" w:hAnsi="Arial"/>
                <w:sz w:val="14"/>
                <w:szCs w:val="14"/>
                <w:b w:val="1"/>
                <w:bCs w:val="1"/>
                <w:color w:val="auto"/>
              </w:rPr>
              <w:t>Third Quarter</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9"/>
              </w:rPr>
              <w:t>Nine Months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2007</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bottom w:val="single" w:sz="8" w:color="auto"/>
            </w:tcBorders>
            <w:gridSpan w:val="3"/>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(Stated</w:t>
            </w:r>
          </w:p>
        </w:tc>
        <w:tc>
          <w:tcPr>
            <w:tcW w:w="900" w:type="dxa"/>
            <w:vAlign w:val="bottom"/>
            <w:gridSpan w:val="6"/>
          </w:tcPr>
          <w:p>
            <w:pPr>
              <w:jc w:val="right"/>
              <w:ind w:right="72"/>
              <w:spacing w:after="0" w:line="142"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5"/>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$ 1,117</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$ 1,321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Outside United States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1,575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1,348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4,260</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tcBorders>
              <w:left w:val="single" w:sz="8" w:color="auto"/>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8"/>
              </w:rPr>
              <w:t>1,958</w:t>
            </w:r>
          </w:p>
        </w:tc>
        <w:tc>
          <w:tcPr>
            <w:tcW w:w="1000" w:type="dxa"/>
            <w:vAlign w:val="bottom"/>
            <w:gridSpan w:val="5"/>
            <w:shd w:val="clear" w:color="auto" w:fill="CCEEFF"/>
          </w:tcPr>
          <w:p>
            <w:pPr>
              <w:jc w:val="right"/>
              <w:ind w:right="192"/>
              <w:spacing w:after="0"/>
              <w:rPr>
                <w:sz w:val="20"/>
                <w:szCs w:val="20"/>
                <w:color w:val="auto"/>
              </w:rPr>
            </w:pPr>
            <w:r>
              <w:rPr>
                <w:rFonts w:ascii="Arial" w:cs="Arial" w:eastAsia="Arial" w:hAnsi="Arial"/>
                <w:sz w:val="18"/>
                <w:szCs w:val="18"/>
                <w:color w:val="auto"/>
              </w:rPr>
              <w:t>$ 1,710</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5"/>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$ 5,377</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$ 4,884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net deferred tax assets were as follows:</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4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85"/>
              </w:rPr>
              <w:t>Sept. 30</w:t>
            </w:r>
          </w:p>
        </w:tc>
        <w:tc>
          <w:tcPr>
            <w:tcW w:w="540" w:type="dxa"/>
            <w:vAlign w:val="bottom"/>
            <w:gridSpan w:val="4"/>
          </w:tcPr>
          <w:p>
            <w:pPr>
              <w:ind w:left="60"/>
              <w:spacing w:after="0"/>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w w:val="87"/>
              </w:rPr>
              <w:t>(Stated in millions)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and other long-term benefits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120" w:type="dxa"/>
            <w:vAlign w:val="bottom"/>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Current employee benefits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Fixed assets, inventory and other, net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20" w:type="dxa"/>
            <w:vAlign w:val="bottom"/>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rPr>
              <w:t>411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397</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jc w:val="right"/>
              <w:ind w:right="155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deferred tax assets at September 30, 2008 and December 31, 2007 are net of valuation allowances relating to net operating losses in certain countries of $195 million and $214 million, respectively. The deferred tax assets presented above are also net of valuation allowances relating to a capital loss carryforward of $138 million at September 30, 2008 ($144 million at December 31, 2007) which expires in 2009 and 2010, and a foreign tax credit carryforward of $49 million, at September 30, 2008 and $55 million at December 31, 2007, which expires in 2009 through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consolidated income tax expense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Third Quarter</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08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2008</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r>
      <w:tr>
        <w:trPr>
          <w:trHeight w:val="142"/>
        </w:trPr>
        <w:tc>
          <w:tcPr>
            <w:tcW w:w="7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tcPr>
          <w:p>
            <w:pPr>
              <w:jc w:val="right"/>
              <w:ind w:right="640"/>
              <w:spacing w:after="0" w:line="142" w:lineRule="exact"/>
              <w:rPr>
                <w:sz w:val="20"/>
                <w:szCs w:val="20"/>
                <w:color w:val="auto"/>
              </w:rPr>
            </w:pPr>
            <w:r>
              <w:rPr>
                <w:rFonts w:ascii="Arial" w:cs="Arial" w:eastAsia="Arial" w:hAnsi="Arial"/>
                <w:sz w:val="14"/>
                <w:szCs w:val="14"/>
                <w:b w:val="1"/>
                <w:bCs w:val="1"/>
                <w:color w:val="auto"/>
                <w:w w:val="95"/>
              </w:rPr>
              <w:t>(Stated in millions)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United States—Federal</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120</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18"/>
                <w:szCs w:val="18"/>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States—State</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r>
      <w:tr>
        <w:trPr>
          <w:trHeight w:val="223"/>
        </w:trPr>
        <w:tc>
          <w:tcPr>
            <w:tcW w:w="7080" w:type="dxa"/>
            <w:vAlign w:val="bottom"/>
          </w:tcPr>
          <w:p>
            <w:pPr>
              <w:ind w:left="440"/>
              <w:spacing w:after="0"/>
              <w:rPr>
                <w:sz w:val="20"/>
                <w:szCs w:val="20"/>
                <w:color w:val="auto"/>
              </w:rPr>
            </w:pPr>
            <w:r>
              <w:rPr>
                <w:rFonts w:ascii="Arial" w:cs="Arial" w:eastAsia="Arial" w:hAnsi="Arial"/>
                <w:sz w:val="18"/>
                <w:szCs w:val="18"/>
                <w:color w:val="auto"/>
              </w:rPr>
              <w:t>Outside United States</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280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743</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60" w:type="dxa"/>
            <w:vAlign w:val="bottom"/>
          </w:tcPr>
          <w:p>
            <w:pPr>
              <w:spacing w:after="0"/>
              <w:rPr>
                <w:sz w:val="19"/>
                <w:szCs w:val="19"/>
                <w:color w:val="auto"/>
              </w:rPr>
            </w:pPr>
          </w:p>
        </w:tc>
      </w:tr>
      <w:tr>
        <w:trPr>
          <w:trHeight w:val="216"/>
        </w:trPr>
        <w:tc>
          <w:tcPr>
            <w:tcW w:w="7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414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313</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88"/>
              </w:rPr>
              <w:t>1,105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1,072</w:t>
            </w:r>
          </w:p>
        </w:tc>
        <w:tc>
          <w:tcPr>
            <w:tcW w:w="60" w:type="dxa"/>
            <w:vAlign w:val="bottom"/>
            <w:shd w:val="clear" w:color="auto" w:fill="CCEEFF"/>
          </w:tcPr>
          <w:p>
            <w:pPr>
              <w:spacing w:after="0"/>
              <w:rPr>
                <w:sz w:val="18"/>
                <w:szCs w:val="18"/>
                <w:color w:val="auto"/>
              </w:rPr>
            </w:pP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United States—State</w:t>
            </w:r>
          </w:p>
        </w:tc>
        <w:tc>
          <w:tcPr>
            <w:tcW w:w="100" w:type="dxa"/>
            <w:vAlign w:val="bottom"/>
          </w:tcPr>
          <w:p>
            <w:pPr>
              <w:spacing w:after="0"/>
              <w:rPr>
                <w:sz w:val="18"/>
                <w:szCs w:val="18"/>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Outside United States</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Consolidated taxes on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418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356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1,104</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1,091</w:t>
            </w:r>
          </w:p>
        </w:tc>
        <w:tc>
          <w:tcPr>
            <w:tcW w:w="6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tax rate of 35% to the consolidated effective income tax rate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Third Quarter</w:t>
            </w:r>
          </w:p>
        </w:tc>
        <w:tc>
          <w:tcPr>
            <w:tcW w:w="3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Nine Months</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2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7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7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124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35%</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w:t>
            </w:r>
          </w:p>
        </w:tc>
        <w:tc>
          <w:tcPr>
            <w:tcW w:w="11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US state income taxes</w:t>
            </w:r>
          </w:p>
        </w:tc>
        <w:tc>
          <w:tcPr>
            <w:tcW w:w="12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1</w:t>
            </w:r>
          </w:p>
        </w:tc>
        <w:tc>
          <w:tcPr>
            <w:tcW w:w="1100" w:type="dxa"/>
            <w:vAlign w:val="bottom"/>
            <w:gridSpan w:val="2"/>
          </w:tcPr>
          <w:p>
            <w:pPr>
              <w:jc w:val="right"/>
              <w:ind w:right="76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792"/>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Non US income taxed at different rates</w:t>
            </w:r>
          </w:p>
        </w:tc>
        <w:tc>
          <w:tcPr>
            <w:tcW w:w="1240" w:type="dxa"/>
            <w:vAlign w:val="bottom"/>
            <w:tcBorders>
              <w:right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(12)</w:t>
            </w: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b w:val="1"/>
                <w:bCs w:val="1"/>
                <w:color w:val="auto"/>
              </w:rPr>
              <w:t>(12)</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Effect of equity method investment</w:t>
            </w:r>
          </w:p>
        </w:tc>
        <w:tc>
          <w:tcPr>
            <w:tcW w:w="12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(1)</w:t>
            </w: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632"/>
              <w:spacing w:after="0"/>
              <w:rPr>
                <w:sz w:val="20"/>
                <w:szCs w:val="20"/>
                <w:color w:val="auto"/>
              </w:rPr>
            </w:pPr>
            <w:r>
              <w:rPr>
                <w:rFonts w:ascii="Arial" w:cs="Arial" w:eastAsia="Arial" w:hAnsi="Arial"/>
                <w:sz w:val="18"/>
                <w:szCs w:val="18"/>
                <w:b w:val="1"/>
                <w:bCs w:val="1"/>
                <w:color w:val="auto"/>
              </w:rPr>
              <w:t>(1)</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40" w:type="dxa"/>
            <w:vAlign w:val="bottom"/>
            <w:tcBorders>
              <w:right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(2)</w:t>
            </w: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b w:val="1"/>
                <w:bCs w:val="1"/>
                <w:color w:val="auto"/>
              </w:rPr>
              <w:t>(1)</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4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21%</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116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rPr>
              <w:t>21%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July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DOJ and is conducting its own investigation with respect to these services.</w:t>
      </w:r>
    </w:p>
    <w:p>
      <w:pPr>
        <w:spacing w:after="0" w:line="143"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Schlumberger and its subsidiaries are parties to various other legal proceedings from time to time. A liability is accrued when a loss is both probable and can be reasonably estimated. At this time the ultimate dispositions of these proceedings are not determinable and therefore, it is not possible to estimate the amount of loss or range of possible losses that might result from an adverse judgment or settlement in any of these matters. However, in the opinion of management, any liability that might ensue would not be material in relation to Schlumberger’s consolidated liquidity, financial position or future results of operations.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business segments: Oilfield Services and WesternGeco.</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4"/>
                <w:szCs w:val="14"/>
                <w:b w:val="1"/>
                <w:bCs w:val="1"/>
                <w:color w:val="auto"/>
              </w:rPr>
              <w:t>THIRD QUARTER 2008</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rPr>
              <w:t xml:space="preserve">THIRD QUARTER 2007 </w:t>
            </w:r>
            <w:r>
              <w:rPr>
                <w:rFonts w:ascii="Arial" w:cs="Arial" w:eastAsia="Arial" w:hAnsi="Arial"/>
                <w:sz w:val="22"/>
                <w:szCs w:val="22"/>
                <w:b w:val="1"/>
                <w:bCs w:val="1"/>
                <w:color w:val="auto"/>
                <w:vertAlign w:val="superscript"/>
              </w:rPr>
              <w:t>(1)</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Income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Income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Tax</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Tax</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before tax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Revenue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4"/>
                <w:szCs w:val="14"/>
                <w:color w:val="auto"/>
              </w:rPr>
            </w:pPr>
          </w:p>
        </w:tc>
        <w:tc>
          <w:tcPr>
            <w:tcW w:w="6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&amp; MI</w:t>
            </w: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Revenue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(Stated</w:t>
            </w:r>
          </w:p>
        </w:tc>
        <w:tc>
          <w:tcPr>
            <w:tcW w:w="2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millions)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North America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$1,300</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Europe/CIS/Africa</w:t>
            </w:r>
          </w:p>
        </w:tc>
        <w:tc>
          <w:tcPr>
            <w:tcW w:w="500" w:type="dxa"/>
            <w:vAlign w:val="bottom"/>
          </w:tcPr>
          <w:p>
            <w:pPr>
              <w:jc w:val="right"/>
              <w:spacing w:after="0"/>
              <w:rPr>
                <w:sz w:val="20"/>
                <w:szCs w:val="20"/>
                <w:color w:val="auto"/>
              </w:rPr>
            </w:pPr>
            <w:r>
              <w:rPr>
                <w:rFonts w:ascii="Arial" w:cs="Arial" w:eastAsia="Arial" w:hAnsi="Arial"/>
                <w:sz w:val="18"/>
                <w:szCs w:val="18"/>
                <w:color w:val="auto"/>
              </w:rPr>
              <w:t>2,165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Elims/Other</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(6)</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1,363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1,214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WesternGeco</w:t>
            </w: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gridSpan w:val="3"/>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Elims &amp;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7,259</w:t>
            </w:r>
          </w:p>
        </w:tc>
        <w:tc>
          <w:tcPr>
            <w:tcW w:w="280" w:type="dxa"/>
            <w:vAlign w:val="bottom"/>
            <w:gridSpan w:val="2"/>
          </w:tcPr>
          <w:p>
            <w:pPr>
              <w:ind w:left="200"/>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1,552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5,926</w:t>
            </w:r>
          </w:p>
        </w:tc>
        <w:tc>
          <w:tcPr>
            <w:tcW w:w="180" w:type="dxa"/>
            <w:vAlign w:val="bottom"/>
            <w:gridSpan w:val="2"/>
          </w:tcPr>
          <w:p>
            <w:pPr>
              <w:ind w:left="100"/>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1,376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line="211"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2"/>
                <w:szCs w:val="22"/>
                <w:color w:val="auto"/>
                <w:vertAlign w:val="superscript"/>
              </w:rPr>
              <w:t>(2)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(3)</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6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January 1, 2008, a component of the Middle East &amp; Asia Area was reallocated to the Europe/CIS/Africa Area. Prior period data has been reclassified to conform to the current organizational structure.</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interest income included in the segment results ($3 million in 2008; $1 million in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($9 million in 2008; $2 million in 2007).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9"/>
          </w:tcPr>
          <w:p>
            <w:pPr>
              <w:jc w:val="right"/>
              <w:ind w:right="540"/>
              <w:spacing w:after="0"/>
              <w:rPr>
                <w:sz w:val="20"/>
                <w:szCs w:val="20"/>
                <w:color w:val="auto"/>
              </w:rPr>
            </w:pPr>
            <w:r>
              <w:rPr>
                <w:rFonts w:ascii="Arial" w:cs="Arial" w:eastAsia="Arial" w:hAnsi="Arial"/>
                <w:sz w:val="14"/>
                <w:szCs w:val="14"/>
                <w:b w:val="1"/>
                <w:bCs w:val="1"/>
                <w:color w:val="auto"/>
              </w:rPr>
              <w:t>NINE MONTHS 2008</w:t>
            </w: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4"/>
                <w:szCs w:val="14"/>
                <w:b w:val="1"/>
                <w:bCs w:val="1"/>
                <w:color w:val="auto"/>
                <w:w w:val="94"/>
              </w:rPr>
              <w:t xml:space="preserve">NINE MONTHS 2007 </w:t>
            </w:r>
            <w:r>
              <w:rPr>
                <w:rFonts w:ascii="Arial" w:cs="Arial" w:eastAsia="Arial" w:hAnsi="Arial"/>
                <w:sz w:val="22"/>
                <w:szCs w:val="22"/>
                <w:b w:val="1"/>
                <w:bCs w:val="1"/>
                <w:color w:val="auto"/>
                <w:w w:val="94"/>
                <w:vertAlign w:val="superscript"/>
              </w:rPr>
              <w:t>(1)</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Income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Income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1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100" w:type="dxa"/>
            <w:vAlign w:val="bottom"/>
          </w:tcPr>
          <w:p>
            <w:pPr>
              <w:spacing w:after="0"/>
              <w:rPr>
                <w:sz w:val="12"/>
                <w:szCs w:val="12"/>
                <w:color w:val="auto"/>
              </w:rPr>
            </w:pPr>
          </w:p>
        </w:tc>
        <w:tc>
          <w:tcPr>
            <w:tcW w:w="6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9"/>
              </w:rPr>
              <w:t>Tax</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8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Minority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9"/>
              </w:rPr>
              <w:t>Tax</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before tax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&amp; MI</w:t>
            </w:r>
          </w:p>
        </w:tc>
        <w:tc>
          <w:tcPr>
            <w:tcW w:w="100" w:type="dxa"/>
            <w:vAlign w:val="bottom"/>
          </w:tcPr>
          <w:p>
            <w:pPr>
              <w:spacing w:after="0"/>
              <w:rPr>
                <w:sz w:val="14"/>
                <w:szCs w:val="14"/>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Interest</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4"/>
                <w:szCs w:val="14"/>
                <w:color w:val="auto"/>
              </w:rPr>
            </w:pPr>
          </w:p>
        </w:tc>
        <w:tc>
          <w:tcPr>
            <w:tcW w:w="70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&amp; MI</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&amp; MI</w:t>
            </w:r>
          </w:p>
        </w:tc>
        <w:tc>
          <w:tcPr>
            <w:tcW w:w="8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(Stated</w:t>
            </w:r>
          </w:p>
        </w:tc>
        <w:tc>
          <w:tcPr>
            <w:tcW w:w="2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in</w:t>
            </w:r>
          </w:p>
        </w:tc>
        <w:tc>
          <w:tcPr>
            <w:tcW w:w="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7"/>
              </w:rPr>
              <w:t>millions)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420"/>
              <w:spacing w:after="0"/>
              <w:rPr>
                <w:sz w:val="20"/>
                <w:szCs w:val="20"/>
                <w:color w:val="auto"/>
              </w:rPr>
            </w:pPr>
            <w:r>
              <w:rPr>
                <w:rFonts w:ascii="Arial" w:cs="Arial" w:eastAsia="Arial" w:hAnsi="Arial"/>
                <w:sz w:val="18"/>
                <w:szCs w:val="18"/>
                <w:color w:val="auto"/>
              </w:rPr>
              <w:t>North America</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4,357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689</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1,024</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4,012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809</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420"/>
              <w:spacing w:after="0"/>
              <w:rPr>
                <w:sz w:val="20"/>
                <w:szCs w:val="20"/>
                <w:color w:val="auto"/>
              </w:rPr>
            </w:pPr>
            <w:r>
              <w:rPr>
                <w:rFonts w:ascii="Arial" w:cs="Arial" w:eastAsia="Arial" w:hAnsi="Arial"/>
                <w:sz w:val="18"/>
                <w:szCs w:val="18"/>
                <w:color w:val="auto"/>
              </w:rPr>
              <w:t>Europe/CIS/Africa</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6,132</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1,372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1,149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1,104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420"/>
              <w:spacing w:after="0"/>
              <w:rPr>
                <w:sz w:val="20"/>
                <w:szCs w:val="20"/>
                <w:color w:val="auto"/>
              </w:rPr>
            </w:pPr>
            <w:r>
              <w:rPr>
                <w:rFonts w:ascii="Arial" w:cs="Arial" w:eastAsia="Arial" w:hAnsi="Arial"/>
                <w:sz w:val="18"/>
                <w:szCs w:val="18"/>
                <w:color w:val="auto"/>
              </w:rPr>
              <w:t>Elims/Other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18,027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3,908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14,862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3,516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WesternGeco</w:t>
            </w: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40" w:type="dxa"/>
            <w:vAlign w:val="bottom"/>
            <w:gridSpan w:val="3"/>
            <w:vMerge w:val="continue"/>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2,239</w:t>
            </w:r>
          </w:p>
        </w:tc>
        <w:tc>
          <w:tcPr>
            <w:tcW w:w="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Elims &amp; Other</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20,295</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4,327</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1,104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17,029</w:t>
            </w: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3,880</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line="211"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2"/>
                <w:szCs w:val="22"/>
                <w:color w:val="auto"/>
                <w:vertAlign w:val="superscript"/>
              </w:rPr>
              <w:t>(2)</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(3)</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1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6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January 1, 2008, a component of the Middle East &amp; Asia Area was reallocated to the Europe/CIS/Africa Area. Prior period data has been reclassified to conform to the current organizational structure.</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interest income included in the segment results ($6 million in 2008; $2 million in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($23 million in 2008; $4 million in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US plans included the following components: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10"/>
          </w:tcPr>
          <w:p>
            <w:pPr>
              <w:jc w:val="right"/>
              <w:ind w:right="352"/>
              <w:spacing w:after="0"/>
              <w:rPr>
                <w:sz w:val="20"/>
                <w:szCs w:val="20"/>
                <w:color w:val="auto"/>
              </w:rPr>
            </w:pPr>
            <w:r>
              <w:rPr>
                <w:rFonts w:ascii="Arial" w:cs="Arial" w:eastAsia="Arial" w:hAnsi="Arial"/>
                <w:sz w:val="14"/>
                <w:szCs w:val="14"/>
                <w:b w:val="1"/>
                <w:bCs w:val="1"/>
                <w:color w:val="auto"/>
                <w:w w:val="93"/>
              </w:rPr>
              <w:t>Third Quarter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gridSpan w:val="2"/>
          </w:tcPr>
          <w:p>
            <w:pPr>
              <w:spacing w:after="0"/>
              <w:rPr>
                <w:sz w:val="12"/>
                <w:szCs w:val="12"/>
                <w:color w:val="auto"/>
              </w:rPr>
            </w:pPr>
          </w:p>
        </w:tc>
        <w:tc>
          <w:tcPr>
            <w:tcW w:w="3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13"/>
          </w:tcPr>
          <w:p>
            <w:pPr>
              <w:jc w:val="right"/>
              <w:ind w:right="560"/>
              <w:spacing w:after="0" w:line="142" w:lineRule="exact"/>
              <w:rPr>
                <w:sz w:val="20"/>
                <w:szCs w:val="20"/>
                <w:color w:val="auto"/>
              </w:rPr>
            </w:pPr>
            <w:r>
              <w:rPr>
                <w:rFonts w:ascii="Arial" w:cs="Arial" w:eastAsia="Arial" w:hAnsi="Arial"/>
                <w:sz w:val="14"/>
                <w:szCs w:val="14"/>
                <w:b w:val="1"/>
                <w:bCs w:val="1"/>
                <w:color w:val="auto"/>
                <w:w w:val="87"/>
              </w:rPr>
              <w:t>(Stated in millions)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114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$ 13</w:t>
            </w:r>
          </w:p>
        </w:tc>
        <w:tc>
          <w:tcPr>
            <w:tcW w:w="8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9"/>
              </w:rPr>
              <w:t>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14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92"/>
              <w:spacing w:after="0"/>
              <w:rPr>
                <w:sz w:val="20"/>
                <w:szCs w:val="20"/>
                <w:color w:val="auto"/>
              </w:rPr>
            </w:pPr>
            <w:r>
              <w:rPr>
                <w:rFonts w:ascii="Arial" w:cs="Arial" w:eastAsia="Arial" w:hAnsi="Arial"/>
                <w:sz w:val="18"/>
                <w:szCs w:val="18"/>
                <w:color w:val="auto"/>
                <w:w w:val="89"/>
              </w:rPr>
              <w:t>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14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w:t>
            </w:r>
          </w:p>
        </w:tc>
        <w:tc>
          <w:tcPr>
            <w:tcW w:w="8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6"/>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5"/>
              </w:rPr>
              <w:t>(121)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14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9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6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Net pension cost</w:t>
            </w:r>
          </w:p>
        </w:tc>
        <w:tc>
          <w:tcPr>
            <w:tcW w:w="6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4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$ 10</w:t>
            </w:r>
          </w:p>
        </w:tc>
        <w:tc>
          <w:tcPr>
            <w:tcW w:w="1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gridSpan w:val="2"/>
          </w:tcPr>
          <w:p>
            <w:pPr>
              <w:jc w:val="right"/>
              <w:ind w:right="92"/>
              <w:spacing w:after="0"/>
              <w:rPr>
                <w:sz w:val="20"/>
                <w:szCs w:val="20"/>
                <w:color w:val="auto"/>
              </w:rPr>
            </w:pPr>
            <w:r>
              <w:rPr>
                <w:rFonts w:ascii="Arial" w:cs="Arial" w:eastAsia="Arial" w:hAnsi="Arial"/>
                <w:sz w:val="18"/>
                <w:szCs w:val="18"/>
                <w:color w:val="auto"/>
                <w:w w:val="89"/>
              </w:rPr>
              <w:t>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gridSpan w:val="3"/>
          </w:tcPr>
          <w:p>
            <w:pPr>
              <w:jc w:val="right"/>
              <w:spacing w:after="0"/>
              <w:rPr>
                <w:sz w:val="20"/>
                <w:szCs w:val="20"/>
                <w:color w:val="auto"/>
              </w:rPr>
            </w:pPr>
            <w:r>
              <w:rPr>
                <w:rFonts w:ascii="Arial" w:cs="Arial" w:eastAsia="Arial" w:hAnsi="Arial"/>
                <w:sz w:val="18"/>
                <w:szCs w:val="18"/>
                <w:b w:val="1"/>
                <w:bCs w:val="1"/>
                <w:color w:val="auto"/>
              </w:rPr>
              <w:t>35</w:t>
            </w:r>
          </w:p>
        </w:tc>
        <w:tc>
          <w:tcPr>
            <w:tcW w:w="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Net pension cost for the Schlumberger UK plan included the following components:</w:t>
            </w: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6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7"/>
          </w:tcPr>
          <w:p>
            <w:pPr>
              <w:jc w:val="right"/>
              <w:spacing w:after="0"/>
              <w:rPr>
                <w:sz w:val="20"/>
                <w:szCs w:val="20"/>
                <w:color w:val="auto"/>
              </w:rPr>
            </w:pPr>
            <w:r>
              <w:rPr>
                <w:rFonts w:ascii="Arial" w:cs="Arial" w:eastAsia="Arial" w:hAnsi="Arial"/>
                <w:sz w:val="14"/>
                <w:szCs w:val="14"/>
                <w:b w:val="1"/>
                <w:bCs w:val="1"/>
                <w:color w:val="auto"/>
                <w:w w:val="96"/>
              </w:rPr>
              <w:t>Third Quarter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2008</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71"/>
              </w:rPr>
              <w:t>(Stated</w:t>
            </w:r>
          </w:p>
        </w:tc>
        <w:tc>
          <w:tcPr>
            <w:tcW w:w="720" w:type="dxa"/>
            <w:vAlign w:val="bottom"/>
            <w:gridSpan w:val="7"/>
          </w:tcPr>
          <w:p>
            <w:pPr>
              <w:jc w:val="right"/>
              <w:ind w:right="2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122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$ 26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rPr>
              <w:t>45</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87"/>
              </w:rPr>
              <w:t>(20)</w:t>
            </w:r>
          </w:p>
        </w:tc>
        <w:tc>
          <w:tcPr>
            <w:tcW w:w="8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(60)</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Amortization of net loss &amp; other</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66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122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$ 21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w w:val="97"/>
              </w:rPr>
              <w:t>Net postretirement benefit cost for the Schlumberger US plans included the following components:</w:t>
            </w: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6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10"/>
          </w:tcPr>
          <w:p>
            <w:pPr>
              <w:jc w:val="right"/>
              <w:ind w:right="192"/>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9"/>
              </w:rPr>
              <w:t>Nine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76"/>
              </w:rPr>
              <w:t>2008</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1"/>
              </w:rPr>
              <w:t>(Stated</w:t>
            </w:r>
          </w:p>
        </w:tc>
        <w:tc>
          <w:tcPr>
            <w:tcW w:w="820" w:type="dxa"/>
            <w:vAlign w:val="bottom"/>
            <w:gridSpan w:val="8"/>
          </w:tcPr>
          <w:p>
            <w:pPr>
              <w:jc w:val="right"/>
              <w:ind w:right="60"/>
              <w:spacing w:after="0" w:line="142" w:lineRule="exact"/>
              <w:rPr>
                <w:sz w:val="20"/>
                <w:szCs w:val="20"/>
                <w:color w:val="auto"/>
              </w:rPr>
            </w:pPr>
            <w:r>
              <w:rPr>
                <w:rFonts w:ascii="Arial" w:cs="Arial" w:eastAsia="Arial" w:hAnsi="Arial"/>
                <w:sz w:val="14"/>
                <w:szCs w:val="14"/>
                <w:b w:val="1"/>
                <w:bCs w:val="1"/>
                <w:color w:val="auto"/>
              </w:rPr>
              <w:t>in millions)</w:t>
            </w:r>
          </w:p>
        </w:tc>
        <w:tc>
          <w:tcPr>
            <w:tcW w:w="4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11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$ 5</w:t>
            </w:r>
          </w:p>
        </w:tc>
        <w:tc>
          <w:tcPr>
            <w:tcW w:w="8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1140" w:type="dxa"/>
            <w:vAlign w:val="bottom"/>
            <w:gridSpan w:val="5"/>
          </w:tcPr>
          <w:p>
            <w:pPr>
              <w:jc w:val="right"/>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2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1140" w:type="dxa"/>
            <w:vAlign w:val="bottom"/>
            <w:gridSpan w:val="5"/>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860" w:type="dxa"/>
            <w:vAlign w:val="bottom"/>
            <w:gridSpan w:val="3"/>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Net postretirement benefit cost</w:t>
            </w:r>
          </w:p>
        </w:tc>
        <w:tc>
          <w:tcPr>
            <w:tcW w:w="8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4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w w:val="74"/>
              </w:rPr>
              <w:t>$ 13</w:t>
            </w:r>
          </w:p>
        </w:tc>
        <w:tc>
          <w:tcPr>
            <w:tcW w:w="80" w:type="dxa"/>
            <w:vAlign w:val="bottom"/>
            <w:vMerge w:val="continue"/>
          </w:tcPr>
          <w:p>
            <w:pPr>
              <w:spacing w:after="0"/>
              <w:rPr>
                <w:sz w:val="19"/>
                <w:szCs w:val="19"/>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b w:val="1"/>
                <w:bCs w:val="1"/>
                <w:color w:val="auto"/>
                <w:w w:val="85"/>
              </w:rPr>
              <w:t>$ 41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$ 40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the first quarter of 2008, Schlumberger recorded an after-tax gain of $38 million relating to a previously disposed of business that was accounted for as a discontinued operation.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940" w:type="dxa"/>
            <w:vAlign w:val="bottom"/>
            <w:gridSpan w:val="7"/>
          </w:tcPr>
          <w:p>
            <w:pPr>
              <w:ind w:left="20"/>
              <w:spacing w:after="0"/>
              <w:rPr>
                <w:sz w:val="20"/>
                <w:szCs w:val="20"/>
                <w:color w:val="auto"/>
              </w:rPr>
            </w:pPr>
            <w:r>
              <w:rPr>
                <w:rFonts w:ascii="Arial" w:cs="Arial" w:eastAsia="Arial" w:hAnsi="Arial"/>
                <w:sz w:val="18"/>
                <w:szCs w:val="18"/>
                <w:b w:val="1"/>
                <w:bCs w:val="1"/>
                <w:color w:val="auto"/>
                <w:w w:val="89"/>
              </w:rPr>
              <w:t>Management’s Discussion and Analysis of Financial Condition and Results of Operations.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97"/>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BUSINESS REVIEW</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53"/>
        </w:trPr>
        <w:tc>
          <w:tcPr>
            <w:tcW w:w="10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Third Quarter</w:t>
            </w:r>
          </w:p>
        </w:tc>
        <w:tc>
          <w:tcPr>
            <w:tcW w:w="5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Nine Months</w:t>
            </w: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10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2007</w:t>
            </w:r>
          </w:p>
        </w:tc>
        <w:tc>
          <w:tcPr>
            <w:tcW w:w="32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2007</w:t>
            </w: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220" w:type="dxa"/>
            <w:vAlign w:val="bottom"/>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1060" w:type="dxa"/>
            <w:vAlign w:val="bottom"/>
            <w:gridSpan w:val="4"/>
          </w:tcPr>
          <w:p>
            <w:pPr>
              <w:jc w:val="right"/>
              <w:ind w:right="216"/>
              <w:spacing w:after="0" w:line="142"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Revenue</w:t>
            </w:r>
          </w:p>
        </w:tc>
        <w:tc>
          <w:tcPr>
            <w:tcW w:w="5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6,356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5,128</w:t>
            </w:r>
          </w:p>
        </w:tc>
        <w:tc>
          <w:tcPr>
            <w:tcW w:w="320" w:type="dxa"/>
            <w:vAlign w:val="bottom"/>
          </w:tcPr>
          <w:p>
            <w:pPr>
              <w:spacing w:after="0"/>
              <w:rPr>
                <w:sz w:val="18"/>
                <w:szCs w:val="18"/>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rPr>
              <w:t>24%</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7"/>
              </w:rPr>
              <w:t>18,027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14,862</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1,699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4,905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322"/>
        </w:trPr>
        <w:tc>
          <w:tcPr>
            <w:tcW w:w="1020" w:type="dxa"/>
            <w:vAlign w:val="bottom"/>
          </w:tcPr>
          <w:p>
            <w:pPr>
              <w:spacing w:after="0"/>
              <w:rPr>
                <w:sz w:val="20"/>
                <w:szCs w:val="20"/>
                <w:color w:val="auto"/>
              </w:rPr>
            </w:pPr>
            <w:r>
              <w:rPr>
                <w:rFonts w:ascii="Arial" w:cs="Arial" w:eastAsia="Arial" w:hAnsi="Arial"/>
                <w:sz w:val="18"/>
                <w:szCs w:val="18"/>
                <w:b w:val="1"/>
                <w:bCs w:val="1"/>
                <w:color w:val="auto"/>
                <w:w w:val="86"/>
              </w:rPr>
              <w:t>WesternGeco</w:t>
            </w: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8"/>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2,239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28"/>
        </w:trPr>
        <w:tc>
          <w:tcPr>
            <w:tcW w:w="6320" w:type="dxa"/>
            <w:vAlign w:val="bottom"/>
            <w:gridSpan w:val="2"/>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355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306</w:t>
            </w:r>
          </w:p>
        </w:tc>
        <w:tc>
          <w:tcPr>
            <w:tcW w:w="320" w:type="dxa"/>
            <w:vAlign w:val="bottom"/>
          </w:tcPr>
          <w:p>
            <w:pPr>
              <w:spacing w:after="0"/>
              <w:rPr>
                <w:sz w:val="19"/>
                <w:szCs w:val="19"/>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rPr>
              <w:t>16%</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748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789</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r>
    </w:tbl>
    <w:p>
      <w:pPr>
        <w:spacing w:after="0" w:line="14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Pretax operating income represents the business segments’ income before taxes and minority interest. The pretax operating income excludes corporate expenses, interest income, interest expense, amortization of certain intangible assets, interest on postretirement medical benefits and stock-based compensation costs as these items are not allocated to the segments.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2008 Compared to Third Quarter 2007</w:t>
      </w:r>
    </w:p>
    <w:p>
      <w:pPr>
        <w:spacing w:after="0" w:line="17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Revenue for the third quarter of 2008 was $7.26 billion versus $5.93 billion in the same period last year. Income before income taxes and minority interest was $1.96 billion for the three-month period ended September 30, 2008 compared to $1.71 billion for the same period in 2007. Net income was $1.53 billion—an increase of 7% sequentially and 13% year-on-year. Diluted earnings-per-share was $1.25 versus $1.16 in the previous quarter, and $1.09 in the third quarter of 2007. The overall impact of the hurricane season on Schlumberger third-quarter 2008 earnings was estimated at $0.04 per share. Without this effect, diluted earnings-per-share would have been $1.29.</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recent rapid deterioration in credit markets will undoubtedly have an effect on Schlumberger’s activity though it is anticipated this will largely be limited to North America and in some emerging exploration markets overseas. The strengthening production of North American natural gas has also led a number of customers to reduce spending early.</w:t>
      </w:r>
    </w:p>
    <w:p>
      <w:pPr>
        <w:spacing w:after="0" w:line="14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At the present time, the rate at which the world economy will slow has become increasingly uncertain. Schlumberger has always maintained that the one event that could slow the rate of increase in worldwide exploration and production spending would be a reduction in the demand for oil caused by a severe global recession. At the moment, it is still too soon to predict to what extent current events will affect overall activity in 2009, but a slowing in the rate of increase of customer spending is anticipated.</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However, Schlumberger believes the weakness of the current supply base, the age of the production profile and the decrease in reserve replacement are such that any significant drop in exploration and production investment would rapidly provoke an even stronger recovery.</w:t>
      </w:r>
    </w:p>
    <w:p>
      <w:pPr>
        <w:spacing w:after="0" w:line="20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Third-quarter revenue of $6.36 billion was 5% higher sequentially and 24% higher year-on-year.</w:t>
      </w:r>
    </w:p>
    <w:p>
      <w:pPr>
        <w:spacing w:after="0" w:line="17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Sequential revenue increases were recorded across all Areas led by the Canada, Mexico/Central America, US land Central, Peru/Colombia/Ecuador and Russian GeoMarkets. In addition, double-digit growth rates were achieved in the US land North, Libya, Caspian, Brunei/Malaysia/Philippines and Qatar GeoMarkets. Among the Technologies, growth was strongest in Well Services, Wireline and Drilling &amp; Measurements.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Year-on-year, revenue grew across all Areas and Technologies. The most significant geographical increases were in the Mexico/Central America, Russian, US land Central and North Sea GeoMarkets. The consolidation of Framo Engineering AS (Framo) also contributed to the growth. Schlumberger acquired an additional 5.5% in Framo in November 2007 to take its holding to a majority 52.75%.</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Third-quarter pretax operating income of $1.70 billion was flat sequentially but 13% higher year-on-year. Pretax operating margin decreased sequentially from 28.1% to 26.7%. Sequentially, pretax operating income growth was experienced from stronger demand for Well Services and Wireline technologies in Canada following the spring break-up; increased operating leverage in Russia; and increased higher-margin services in Peru/Colombia/Ecuador. However, this growth was offset by the hurricane-related effects in the US; an increased mix of low-margin third-party managed services for Integrated Project Management (IPM) in Mexico/Central America; and reduced high-technology services in the Gulf and North Sea GeoMarkets.</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Year-on-year pretax operating income growth was primarily a result of higher activity levels and an overall more favorable revenue mix in Europe/CIS/Africa, Middle East &amp; Asia and Latin America. These increases were partially offset by a decrease in North America as the positive impact of increased activity was offset mostly by cost inflation.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 of $1.5 billion increased 4% sequentially and 15% year-on-year. Pretax operating income of $317 million decreased 8% sequentially and 9% year-on-year.</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Canada recorded strong sequential growth with the rapid recovery in rig count following spring break-up, resulting in robust demand for Well Services, Wireline and Drilling &amp; Measurements technologies. The US land GeoMarkets experienced growth on a more favorable mix of Well Services, Drilling &amp; Measurements and Wireline services. These increases were partially offset by a sharp reduction in activity in the US Gulf of Mexico due to Hurricanes Gustav and Ike and a slow-down in Alaska for seasonal rig and infrastructure maintenance.</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year-on-year revenue growth was led by the US land Central and West GeoMarkets on strong activity increases that resulted in robust demand for Wireline, Drilling &amp; Measurements and Well Services technologies. The Canada GeoMarket also recorded growth primarily in Well Services technologies while the US Gulf of Mexico GeoMarket increased on improved pricing and higher Completion Systems product sales. These increases were partially offset by a decrease in Alaska due to reduced exploration-related services and Well Services activity.</w:t>
      </w:r>
    </w:p>
    <w:p>
      <w:pPr>
        <w:spacing w:after="0" w:line="14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Pretax operating margin decreased sequentially from 23.9% to 21.1% primarily as a result of the overall impact of the Gulf of Mexico hurricane season and the slow-down in Alaska. This impact was partially offset by a sharp margin improvement in Canada on increased activity and efficiency.</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Year-on-year, pretax operating margin decreased from 26.9% to 21.1% as the positive impact of the increased activity levels was insufficient to offset the impact of cost inflation across the Area.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Revenue of $1.14 billion was 8% higher sequentially and increased 32% year-on-year. Pretax operating income of $230 million decreased 5% sequentially but increased 13% year-on-year.</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Sequential revenue growth was led by Mexico/Central America driven primarily by increased IPM activity and by Peru/Colombia/Ecuador on strong activity for Wireline and Drilling &amp; Measurements services. In addition, the Brazil GeoMarket contributed to growth through robust demand for exploration-related technologies as well as through higher Schlumberger Information Solutions (SIS) software sales.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Year-on-year revenue growth was recorded across the Area. The Mexico/Central America and Peru/Colombia/Ecuador GeoMarkets increased primarily due to higher IPM activity while the Venezuela/Trinidad &amp; Tobago GeoMarket grew on strong demand for Well Services, Drilling &amp; Measurements and Wireline technologies. The Brazil GeoMarket increased on strong demand for exploration-related services in addition to higher SIS and Completion Systems sales. Argentina/Bolivia/Chile recorded growth on increased demand for Well Services technologies and higher Artificial Lift sales.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Pretax operating margin declined sequentially from 23.0% to 20.1% as the increased demand for high-technology Wireline and Drilling &amp; Measurements services in Peru/Colombia/Ecuador and Brazil was insufficient to offset an increased mix of low-margin third-party managed services in IPM projects in the Mexico/Central America GeoMarket. Cost inflation across the Area also contributed to the margin decline.</w:t>
      </w:r>
    </w:p>
    <w:p>
      <w:pPr>
        <w:spacing w:after="0" w:line="140"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Year-on-year, pretax operating margin decreased from 23.7% to 20.1% as the positive impact of increased activity levels in the Peru/Colombia/Ecuador and Brazil GeoMarkets were offset by less favorable revenue mixes in the Mexico/Central America and Venezuela/Trinidad &amp; Tobago GeoMarkets and by cost inflation across the Area.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 of $2.17 billion increased 5% sequentially and 28% year-on-year. Pretax operating income of $628 million increased 8% sequentially and 27% year-on-year.</w:t>
      </w:r>
    </w:p>
    <w:p>
      <w:pPr>
        <w:spacing w:after="0" w:line="13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Sequentially, revenue growth was led by the Russian GeoMarkets with the summer seasonal offshore exploration campaigns in the East and strong demand for Well Services technologies in the North and South while the Caspian GeoMarket experienced a sharp rise in activity resulting in strong demand for exploration-related technologies. Libya revenue increased in both exploration- and development-related activities that led to robust demand for Wireline, Drilling &amp; Measurements and Well Services technologies, and the West &amp; South Africa GeoMarket recorded exploration-related growth for Wireline and Well Testing services. Framo technologies also contributed to growth. These increases, however, were partially offset by a decrease in both exploration and development rig activity in the North Sea GeoMarket that resulted in reduced demand for Wireline, Drilling &amp; Measurements and Well Testing services.</w:t>
      </w:r>
    </w:p>
    <w:p>
      <w:pPr>
        <w:spacing w:after="0" w:line="12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Year-on-year, revenue growth was also led by the Russian GeoMarkets on increased demand for Drilling &amp; Measurements, Well Services, Wireline and Well Testing services coupled with higher IPM activity. The North Sea, West &amp; South Africa, Caspian and Continental Europe GeoMarkets recorded growth on increased exploration and development activity that led to robust demand for Wireline, Drilling &amp; Measurements and Well Services technologies. The consolidation of Framo also contributed to the growth.</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Pretax operating margin increased sequentially from 28.2% to 29.0% primarily due to higher activity coupled with the more favorable mix of exploration-related services in Russia. This increase was partially offset by the less favorable activity mix in the North Sea.</w:t>
      </w:r>
    </w:p>
    <w:p>
      <w:pPr>
        <w:spacing w:after="0" w:line="1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Year-on-year, pretax operating margin was essentially flat as improvements in the Russian, North Sea and Caspian GeoMarkets resulting from a stronger and more favorable activity mix were offset by reductions in Libya due to a more competitive pricing environment and in the North Africa and Continental Europe GeoMarkets primarily due to cost inflation.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Revenue of $1.49 billion was 4% higher sequentially and 22% higher year-on-year. Pretax operating income of $530 million increased 1% sequentially and 21% year-on-year.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Sequentially, the Brunei/Malaysia/Philippines GeoMarket grew on strong Completions product sales as well as on increased exploration activity that resulted in robust demand for Wireline and Well Testing services. The East Mediterranean, Qatar, Arabian and India GeoMarkets experienced growth from a more favorable mix of services. These increases were partially offset by a decrease in the Gulf GeoMarket due to a general shift from drilling to workover activity that resulted in sharply lower Wireline services.</w:t>
      </w:r>
    </w:p>
    <w:p>
      <w:pPr>
        <w:spacing w:after="0" w:line="143"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Year-on-year revenue growth was recorded across the Area led by the Arabian, Australia/Papua New Guinea, East Mediterranean, Qatar and Brunei/Malaysia/Philippines GeoMarkets. Among the Technologies, growth was strongest for Drilling &amp; Measurements, Wireline, Well Testing and Well Services.</w:t>
      </w:r>
    </w:p>
    <w:p>
      <w:pPr>
        <w:spacing w:after="0" w:line="14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Pretax operating margin moderated sequentially from 36.3% to 35.5% as the positive impact of high-technology services primarily in the Qatar and India GeoMarkets was insufficient to offset the combined effects of a less favorable revenue mix in Indonesia and the shift to lower-margin workover activity in the Gulf.</w:t>
      </w:r>
    </w:p>
    <w:p>
      <w:pPr>
        <w:spacing w:after="0" w:line="140" w:lineRule="exact"/>
        <w:rPr>
          <w:sz w:val="20"/>
          <w:szCs w:val="20"/>
          <w:color w:val="auto"/>
        </w:rPr>
      </w:pPr>
    </w:p>
    <w:p>
      <w:pPr>
        <w:jc w:val="both"/>
        <w:ind w:right="720"/>
        <w:spacing w:after="0" w:line="306" w:lineRule="auto"/>
        <w:rPr>
          <w:sz w:val="20"/>
          <w:szCs w:val="20"/>
          <w:color w:val="auto"/>
        </w:rPr>
      </w:pPr>
      <w:r>
        <w:rPr>
          <w:rFonts w:ascii="Arial" w:cs="Arial" w:eastAsia="Arial" w:hAnsi="Arial"/>
          <w:sz w:val="16"/>
          <w:szCs w:val="16"/>
          <w:color w:val="auto"/>
        </w:rPr>
        <w:t>Year-on-year, pretax operating margin was essentially flat as increases in the Qatar GeoMarket due to a more favorable revenue mix and in the Arabian GeoMarket resulting from improved pricing for Well Testing services and higher margin Completions System sales were offset by decreases in the Gulf GeoMarket due to shift to lower-margin workover activity and in the Indonesia GeoMarket primarily as a result of cost inflation.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Third-quarter revenue of $892 million increased 33% sequentially and 12% year-on-year. Pretax operating income of $355 million was 81% higher sequentially and increased 16% year-on-year.</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Sequentially, Marine revenue increased sharply on strong activity in the North Sea and the transfer of three vessels from multi-client to proprietary surveys during the quarter. Multiclient revenue grew due to increased sales in North America, Latin America and Europe. Data Processing also recorded higher revenue primarily in Europe, North America and India. However, these increases were partially offset by a decrease in Land revenue on reduced activity and contract completions in North Africa and Latin America.</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Year-on-year, Multiclient recorded growth on increased sales, most notably in Asia, Europe and Africa. Marine increased mostly due to higher pricing while Data Processing grew on stronger activity in India, Latin America and Europe. These increases were offset by a decrease in Land on the reduced activity and contract completions in North Africa and Latin America.</w:t>
      </w:r>
    </w:p>
    <w:p>
      <w:pPr>
        <w:spacing w:after="0" w:line="14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Pretax operating margin increased sequentially from 29.2% to 39.8% mainly due to increased Marine activity with seasonally stronger pricing and to Multiclient as a result of the increased sales and more favorable margin mix. These increases were partially offset by lower Land operating income resulting from the impact of reduced crew utilization and contract completions.</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Year-on-year, pretax operating margin increased from 38.6% to 39.8% primarily due to the increased level of sales coupled with a more favorable margin mix in Multiclient. Marine and Data Processing pretax operating margins declined mostly as the result of cost inflation while Land decreased due to the lower level of activity.</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Nine Months 2008 Compared to Nine Months 2007</w:t>
      </w:r>
    </w:p>
    <w:p>
      <w:pPr>
        <w:spacing w:after="0" w:line="1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Nine-month revenue for the period ended September 30, 2008 was $20.29 billion versus $17.03 billion for the same period last year. Income before income taxes and minority interest was $5.38 billion for the first nine months of 2008 compared to $4.88 billion for the first nine months of 2007.</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Nine-month revenue of $18.03 billion was 21% higher compared to the same period last year. All Areas recorded growth, most notably in the Mexico/Central America, Russian, North Sea, West &amp; South Africa, Arabian and US land GeoMarkets. The consolidation of Framo also contributed to the increase.</w:t>
      </w:r>
    </w:p>
    <w:p>
      <w:pPr>
        <w:spacing w:after="0" w:line="8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Pretax operating margin decreased from 29.8% to 27.2% primarily due to reduced pricing for well stimulation services in the US land GeoMarkets, a higher mix of low-margin third party managed services in the Mexico/Central America GeoMarket and cost inflation across all Areas.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Revenue of $4.36 billion grew 9% versus the same period last year. Growth was led by the US land Central GeoMarket primarily on increased gas shale activity and by the Canada GeoMarket as the result of extended winter drilling activity and record high activity following the spring break-up in the current year. The US land West GeoMarket increased on stronger rig activity coupled with higher Artificial Lift sales while the US Gulf of Mexico GeoMarket grew on increased deepwater activity. These increases were partially offset by a decrease in the US land North GeoMarket due to adverse weather conditions.</w:t>
      </w:r>
    </w:p>
    <w:p>
      <w:pPr>
        <w:spacing w:after="0" w:line="1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Pretax operating margin decreased from 29.9% to 23.5% mostly as the result of lower pricing for well stimulation services in the US land GeoMarkets and cost inflation across the Area.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Revenue of $3.12 billion was 33% higher than the same period last year. All GeoMarkets recorded double-digit growth, most notably in Mexico/Central America and Peru/Colombia/Ecuador on strong IPM activity in addition to increased demand for conventional services. Brazil grew on a surge in offshore activity while the Venezuela/Trinidad &amp; Tobago recorded strong rig-less activity and increased demand for SIS products and services. Argentina/Bolivia/Chile revenue increased on robust demand for Drilling &amp; Measurements and Well Services technologies as well as Artificial Lift products.</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Pretax operating margin decreased from 23.2% to 21.1% primarily as the result of a higher mix of low-margin third party managed services in the Mexico/Central America GeoMarket and cost inflation across the Area.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Revenue of $6.13 billion increased 27% versus the same period last year. Growth was led by the Russian GeoMarkets on stronger exploration activity and increased demand for Well Services technologies. The North Sea and West &amp; South Africa GeoMarkets grew on increased exploration-related services as well as strong demand for Well Services technologies while the Continental Europe GeoMarket increased due to strong drilling-related and IPM activities. The consolidation of Framo also contributed to the increase.</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Pretax operating magin decreased from 28.8% to 27.9% as improved revenue mix in Russia and in the North Sea GeoMarkets were offset by decreased margins in most other GeoMarkets and by the effect of the consolidation of Framo.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of $4.26 billion was 21% higher than the same period last year, most notably in the Arabian GeoMarket on strong growth across the Technologies; in the Australia/Papua New Guinea GeoMarket on increased offshore exploration-related services; in the China/Japan/Korea on strong drilling-related services and higher SIS and Artificial lift services and product sales; and in the East Mediterranean and Gulf GeoMarkets.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Pretax operating margin increased slightly from 35.1% to 35.6% primarily due to the higher level of activity coupled with a more favorable revenue mix.</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WESTERNGECO</w:t>
      </w:r>
    </w:p>
    <w:p>
      <w:pPr>
        <w:spacing w:after="0" w:line="9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Nine-month revenue of $2.24 billion was 3% higher than the same period last year. Marine revenue increased as the result of higher pricing and the addition of one vessel to the fleet while Data Processing revenue grew on increased activity. These increases were partially offset by a decrease in Multiclient on lower late sales in North America, and in Land due to reduced activity and contract completions.</w:t>
      </w:r>
    </w:p>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Pretax operating margin decreased from 36.4% to 33.4% primarily as the result of the impact of lower Multiclient late sales in North America and the reduced Land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&amp; Other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Interest &amp; other income consisted of the following for the third quarter and nine months ended September 30, 2008 and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6"/>
          </w:tcPr>
          <w:p>
            <w:pPr>
              <w:ind w:left="40"/>
              <w:spacing w:after="0"/>
              <w:rPr>
                <w:sz w:val="20"/>
                <w:szCs w:val="20"/>
                <w:color w:val="auto"/>
              </w:rPr>
            </w:pPr>
            <w:r>
              <w:rPr>
                <w:rFonts w:ascii="Arial" w:cs="Arial" w:eastAsia="Arial" w:hAnsi="Arial"/>
                <w:sz w:val="14"/>
                <w:szCs w:val="14"/>
                <w:b w:val="1"/>
                <w:bCs w:val="1"/>
                <w:color w:val="auto"/>
              </w:rPr>
              <w:t>Third Quarter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ind w:left="100"/>
              <w:spacing w:after="0"/>
              <w:rPr>
                <w:sz w:val="20"/>
                <w:szCs w:val="20"/>
                <w:color w:val="auto"/>
              </w:rPr>
            </w:pPr>
            <w:r>
              <w:rPr>
                <w:rFonts w:ascii="Arial" w:cs="Arial" w:eastAsia="Arial" w:hAnsi="Arial"/>
                <w:sz w:val="14"/>
                <w:szCs w:val="14"/>
                <w:b w:val="1"/>
                <w:bCs w:val="1"/>
                <w:color w:val="auto"/>
              </w:rPr>
              <w:t>Nine Months</w:t>
            </w:r>
          </w:p>
        </w:tc>
      </w:tr>
      <w:tr>
        <w:trPr>
          <w:trHeight w:val="142"/>
        </w:trPr>
        <w:tc>
          <w:tcPr>
            <w:tcW w:w="60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(Stated</w:t>
            </w:r>
          </w:p>
        </w:tc>
        <w:tc>
          <w:tcPr>
            <w:tcW w:w="3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w:t>
            </w:r>
          </w:p>
        </w:tc>
        <w:tc>
          <w:tcPr>
            <w:tcW w:w="40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w w:val="76"/>
              </w:rPr>
              <w:t>millions)</w:t>
            </w:r>
          </w:p>
        </w:tc>
        <w:tc>
          <w:tcPr>
            <w:tcW w:w="3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$ 114</w:t>
            </w:r>
          </w:p>
        </w:tc>
        <w:tc>
          <w:tcPr>
            <w:tcW w:w="20" w:type="dxa"/>
            <w:vAlign w:val="bottom"/>
          </w:tcPr>
          <w:p>
            <w:pPr>
              <w:spacing w:after="0"/>
              <w:rPr>
                <w:sz w:val="18"/>
                <w:szCs w:val="18"/>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2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212</w:t>
            </w:r>
          </w:p>
        </w:tc>
        <w:tc>
          <w:tcPr>
            <w:tcW w:w="3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r>
      <w:tr>
        <w:trPr>
          <w:trHeight w:val="216"/>
        </w:trPr>
        <w:tc>
          <w:tcPr>
            <w:tcW w:w="600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3"/>
              </w:rPr>
              <w:t>108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3"/>
              </w:rPr>
              <w:t>306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$ 289</w:t>
            </w:r>
          </w:p>
        </w:tc>
        <w:tc>
          <w:tcPr>
            <w:tcW w:w="2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Equity in Net Earnings of Affiliated Companies</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increase in net earnings of affiliated companies was primarily due to the results of the MI-SWACO drilling fluids joint venture that Schlumberger operates with Smith International,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Gross margin was 31.6% and 34.1% in the third quarter of 2008 and 2007, and 31.3% and 33.9% in the nine-month periods ended September 30, 2008 and 2007, respectively. The decrease in gross margin was primarily driven by pricing decreases for certain land well-stimulation related activities in the US, the impact of cost inflation, and an increased mix of low-margin IPM project activity in the Mexico/Central America GeoMarket.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 Research &amp; engineering, Marketing and General &amp; administrative expenses for the third quarter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 and 2007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0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Third Quarter</w:t>
            </w:r>
          </w:p>
        </w:tc>
        <w:tc>
          <w:tcPr>
            <w:tcW w:w="1100" w:type="dxa"/>
            <w:vAlign w:val="bottom"/>
            <w:gridSpan w:val="3"/>
          </w:tcPr>
          <w:p>
            <w:pPr>
              <w:ind w:left="340"/>
              <w:spacing w:after="0"/>
              <w:rPr>
                <w:sz w:val="20"/>
                <w:szCs w:val="20"/>
                <w:color w:val="auto"/>
              </w:rPr>
            </w:pPr>
            <w:r>
              <w:rPr>
                <w:rFonts w:ascii="Arial" w:cs="Arial" w:eastAsia="Arial" w:hAnsi="Arial"/>
                <w:sz w:val="14"/>
                <w:szCs w:val="14"/>
                <w:b w:val="1"/>
                <w:bCs w:val="1"/>
                <w:color w:val="auto"/>
                <w:w w:val="88"/>
              </w:rPr>
              <w:t>Nine Months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Research &amp; engineering</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2.9%</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2.9%</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Marketing</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0.3%</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0.4%</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0.4%</w:t>
            </w: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2.1%</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2.1%</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Research and engineering expenditures, by business segment for the third quarter and nine months ended September 30, 2008 and 2007,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Third Quarter</w:t>
            </w:r>
          </w:p>
        </w:tc>
        <w:tc>
          <w:tcPr>
            <w:tcW w:w="180" w:type="dxa"/>
            <w:vAlign w:val="bottom"/>
          </w:tcPr>
          <w:p>
            <w:pPr>
              <w:spacing w:after="0"/>
              <w:rPr>
                <w:sz w:val="14"/>
                <w:szCs w:val="14"/>
                <w:color w:val="auto"/>
              </w:rPr>
            </w:pPr>
          </w:p>
        </w:tc>
        <w:tc>
          <w:tcPr>
            <w:tcW w:w="114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Nine Months</w:t>
            </w:r>
          </w:p>
        </w:tc>
      </w:tr>
      <w:tr>
        <w:trPr>
          <w:trHeight w:val="142"/>
        </w:trPr>
        <w:tc>
          <w:tcPr>
            <w:tcW w:w="8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top w:val="single" w:sz="8" w:color="auto"/>
            </w:tcBorders>
          </w:tcPr>
          <w:p>
            <w:pPr>
              <w:jc w:val="right"/>
              <w:ind w:right="5"/>
              <w:spacing w:after="0" w:line="142" w:lineRule="exact"/>
              <w:rPr>
                <w:sz w:val="20"/>
                <w:szCs w:val="20"/>
                <w:color w:val="auto"/>
              </w:rPr>
            </w:pPr>
            <w:r>
              <w:rPr>
                <w:rFonts w:ascii="Arial" w:cs="Arial" w:eastAsia="Arial" w:hAnsi="Arial"/>
                <w:sz w:val="14"/>
                <w:szCs w:val="14"/>
                <w:b w:val="1"/>
                <w:bCs w:val="1"/>
                <w:color w:val="auto"/>
                <w:w w:val="96"/>
              </w:rPr>
              <w:t>2008</w:t>
            </w: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r>
      <w:tr>
        <w:trPr>
          <w:trHeight w:val="142"/>
        </w:trPr>
        <w:tc>
          <w:tcPr>
            <w:tcW w:w="8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(Stated</w:t>
            </w:r>
          </w:p>
        </w:tc>
        <w:tc>
          <w:tcPr>
            <w:tcW w:w="3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72"/>
              </w:rPr>
              <w:t>millions)</w:t>
            </w:r>
          </w:p>
        </w:tc>
        <w:tc>
          <w:tcPr>
            <w:tcW w:w="3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8"/>
              </w:rPr>
              <w:t>$ 177</w:t>
            </w:r>
          </w:p>
        </w:tc>
        <w:tc>
          <w:tcPr>
            <w:tcW w:w="8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$ 151</w:t>
            </w: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$ 500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$ 429</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WesternGeco</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28</w:t>
            </w:r>
          </w:p>
        </w:tc>
        <w:tc>
          <w:tcPr>
            <w:tcW w:w="880" w:type="dxa"/>
            <w:vAlign w:val="bottom"/>
            <w:gridSpan w:val="3"/>
          </w:tcPr>
          <w:p>
            <w:pPr>
              <w:jc w:val="right"/>
              <w:ind w:right="92"/>
              <w:spacing w:after="0"/>
              <w:rPr>
                <w:sz w:val="20"/>
                <w:szCs w:val="20"/>
                <w:color w:val="auto"/>
              </w:rPr>
            </w:pPr>
            <w:r>
              <w:rPr>
                <w:rFonts w:ascii="Arial" w:cs="Arial" w:eastAsia="Arial" w:hAnsi="Arial"/>
                <w:sz w:val="18"/>
                <w:szCs w:val="18"/>
                <w:color w:val="auto"/>
              </w:rPr>
              <w:t>36</w:t>
            </w:r>
          </w:p>
        </w:tc>
        <w:tc>
          <w:tcPr>
            <w:tcW w:w="9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86</w:t>
            </w:r>
          </w:p>
        </w:tc>
        <w:tc>
          <w:tcPr>
            <w:tcW w:w="4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3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$ 208</w:t>
            </w:r>
          </w:p>
        </w:tc>
        <w:tc>
          <w:tcPr>
            <w:tcW w:w="20" w:type="dxa"/>
            <w:vAlign w:val="bottom"/>
          </w:tcPr>
          <w:p>
            <w:pPr>
              <w:spacing w:after="0"/>
              <w:rPr>
                <w:sz w:val="19"/>
                <w:szCs w:val="19"/>
                <w:color w:val="auto"/>
              </w:rPr>
            </w:pPr>
          </w:p>
        </w:tc>
        <w:tc>
          <w:tcPr>
            <w:tcW w:w="880" w:type="dxa"/>
            <w:vAlign w:val="bottom"/>
            <w:gridSpan w:val="3"/>
          </w:tcPr>
          <w:p>
            <w:pPr>
              <w:jc w:val="right"/>
              <w:ind w:right="92"/>
              <w:spacing w:after="0"/>
              <w:rPr>
                <w:sz w:val="20"/>
                <w:szCs w:val="20"/>
                <w:color w:val="auto"/>
              </w:rPr>
            </w:pPr>
            <w:r>
              <w:rPr>
                <w:rFonts w:ascii="Arial" w:cs="Arial" w:eastAsia="Arial" w:hAnsi="Arial"/>
                <w:sz w:val="18"/>
                <w:szCs w:val="18"/>
                <w:color w:val="auto"/>
              </w:rPr>
              <w:t>$ 190</w:t>
            </w: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$ 597</w:t>
            </w: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$ 532</w:t>
            </w:r>
          </w:p>
        </w:tc>
      </w:tr>
      <w:tr>
        <w:trPr>
          <w:trHeight w:val="20"/>
        </w:trPr>
        <w:tc>
          <w:tcPr>
            <w:tcW w:w="8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effective tax rate for the third quarter of 2008 was 21.4% compared to 20.8% for the same period in 2007. This increase was primarily attributable to WesternGeco as a result of increased multiclient and marine activity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higher tax jurisdictions. The effective tax rate for the nine months ended September 30, 2008 was 20.5% compared to 22.3% in the same period of the prior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decrease was primarily attributable to the geographic mix of earnings in Oilfield Services which had a lower proportion of pretax earnings in North America.</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 Details of Net Debt follow: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Sept. 30</w:t>
            </w: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Sept.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5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4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$(1,857)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ind w:left="440"/>
              <w:spacing w:after="0"/>
              <w:rPr>
                <w:sz w:val="20"/>
                <w:szCs w:val="20"/>
                <w:color w:val="auto"/>
              </w:rPr>
            </w:pPr>
            <w:r>
              <w:rPr>
                <w:rFonts w:ascii="Arial" w:cs="Arial" w:eastAsia="Arial" w:hAnsi="Arial"/>
                <w:sz w:val="18"/>
                <w:szCs w:val="18"/>
                <w:color w:val="auto"/>
              </w:rPr>
              <w:t>Net income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4,285</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(178)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ind w:left="44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1,656</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Increase in working capital</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(918)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ind w:left="440"/>
              <w:spacing w:after="0"/>
              <w:rPr>
                <w:sz w:val="20"/>
                <w:szCs w:val="20"/>
                <w:color w:val="auto"/>
              </w:rPr>
            </w:pPr>
            <w:r>
              <w:rPr>
                <w:rFonts w:ascii="Arial" w:cs="Arial" w:eastAsia="Arial" w:hAnsi="Arial"/>
                <w:sz w:val="18"/>
                <w:szCs w:val="18"/>
                <w:color w:val="auto"/>
              </w:rPr>
              <w:t>US pension plan contribution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ind w:left="440"/>
              <w:spacing w:after="0" w:line="21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2"/>
                <w:szCs w:val="22"/>
                <w:color w:val="auto"/>
                <w:vertAlign w:val="superscript"/>
              </w:rPr>
              <w:t>(1)</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(2,815)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ind w:left="440"/>
              <w:spacing w:after="0"/>
              <w:rPr>
                <w:sz w:val="20"/>
                <w:szCs w:val="20"/>
                <w:color w:val="auto"/>
              </w:rPr>
            </w:pPr>
            <w:r>
              <w:rPr>
                <w:rFonts w:ascii="Arial" w:cs="Arial" w:eastAsia="Arial" w:hAnsi="Arial"/>
                <w:sz w:val="18"/>
                <w:szCs w:val="18"/>
                <w:color w:val="auto"/>
              </w:rPr>
              <w:t>Business acquisitions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(345)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ind w:left="440"/>
              <w:spacing w:after="0"/>
              <w:rPr>
                <w:sz w:val="20"/>
                <w:szCs w:val="20"/>
                <w:color w:val="auto"/>
              </w:rPr>
            </w:pPr>
            <w:r>
              <w:rPr>
                <w:rFonts w:ascii="Arial" w:cs="Arial" w:eastAsia="Arial" w:hAnsi="Arial"/>
                <w:sz w:val="18"/>
                <w:szCs w:val="18"/>
                <w:color w:val="auto"/>
              </w:rPr>
              <w:t>Proceeds from employee stock plans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272</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Stock repurchase program</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(1,665)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ind w:left="440"/>
              <w:spacing w:after="0"/>
              <w:rPr>
                <w:sz w:val="20"/>
                <w:szCs w:val="20"/>
                <w:color w:val="auto"/>
              </w:rPr>
            </w:pPr>
            <w:r>
              <w:rPr>
                <w:rFonts w:ascii="Arial" w:cs="Arial" w:eastAsia="Arial" w:hAnsi="Arial"/>
                <w:sz w:val="18"/>
                <w:szCs w:val="18"/>
                <w:color w:val="auto"/>
              </w:rPr>
              <w:t>Conversion of debentures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436</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Translation effect on Net Debt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58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ind w:left="440"/>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5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(1,735)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(1,683)</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gridSpan w:val="2"/>
          </w:tcPr>
          <w:p>
            <w:pPr>
              <w:spacing w:after="0"/>
              <w:rPr>
                <w:sz w:val="8"/>
                <w:szCs w:val="8"/>
                <w:color w:val="auto"/>
              </w:rPr>
            </w:pPr>
          </w:p>
        </w:tc>
        <w:tc>
          <w:tcPr>
            <w:tcW w:w="8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220" w:type="dxa"/>
            <w:vAlign w:val="bottom"/>
            <w:gridSpan w:val="4"/>
          </w:tcPr>
          <w:p>
            <w:pPr>
              <w:spacing w:after="0"/>
              <w:rPr>
                <w:sz w:val="20"/>
                <w:szCs w:val="20"/>
                <w:color w:val="auto"/>
              </w:rPr>
            </w:pPr>
            <w:r>
              <w:rPr>
                <w:rFonts w:ascii="Arial" w:cs="Arial" w:eastAsia="Arial" w:hAnsi="Arial"/>
                <w:sz w:val="18"/>
                <w:szCs w:val="18"/>
                <w:color w:val="auto"/>
              </w:rPr>
              <w:t>(1)   Includes Multiclient seismic data costs.</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9"/>
              </w:rPr>
              <w:t>Sept. 30</w:t>
            </w:r>
          </w:p>
        </w:tc>
        <w:tc>
          <w:tcPr>
            <w:tcW w:w="400" w:type="dxa"/>
            <w:vAlign w:val="bottom"/>
          </w:tcPr>
          <w:p>
            <w:pPr>
              <w:spacing w:after="0"/>
              <w:rPr>
                <w:sz w:val="24"/>
                <w:szCs w:val="24"/>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Sept. 30</w:t>
            </w: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Components of Net Debt</w:t>
            </w:r>
          </w:p>
        </w:tc>
        <w:tc>
          <w:tcPr>
            <w:tcW w:w="4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5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87"/>
              </w:rPr>
              <w:t>(Stated in millions)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188</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162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Short-term investments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3,305</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3,076</w:t>
            </w:r>
          </w:p>
        </w:tc>
        <w:tc>
          <w:tcPr>
            <w:tcW w:w="560" w:type="dxa"/>
            <w:vAlign w:val="bottom"/>
          </w:tcPr>
          <w:p>
            <w:pPr>
              <w:jc w:val="right"/>
              <w:spacing w:after="0"/>
              <w:rPr>
                <w:sz w:val="20"/>
                <w:szCs w:val="20"/>
                <w:color w:val="auto"/>
              </w:rPr>
            </w:pPr>
            <w:r>
              <w:rPr>
                <w:rFonts w:ascii="Arial" w:cs="Arial" w:eastAsia="Arial" w:hAnsi="Arial"/>
                <w:sz w:val="18"/>
                <w:szCs w:val="18"/>
                <w:color w:val="auto"/>
              </w:rPr>
              <w:t>2,972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511</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383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Bank loans and current portion of long-term debt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(2,211)</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(771)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(333)</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(934)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Other long-term debt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(3,195)</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(3,599)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(1,735)</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nine months of 2008 and 2007 included:</w:t>
      </w:r>
    </w:p>
    <w:p>
      <w:pPr>
        <w:spacing w:after="0" w:line="90" w:lineRule="exact"/>
        <w:rPr>
          <w:sz w:val="20"/>
          <w:szCs w:val="20"/>
          <w:color w:val="auto"/>
        </w:rPr>
      </w:pPr>
    </w:p>
    <w:p>
      <w:pPr>
        <w:ind w:left="900" w:right="24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September 2008, Schlumberger Finance B.V. issued €500 million 5.25% Guaranteed Notes due 2013. Schlumberger entered into agreements to swap these Euro notes for US dollars on the date of issue until maturity, effectively making this a US dollar denominated debt on which Schlumberger Finance B.V. will pay interest in US dollars at a rate of 4.7425%.</w:t>
      </w:r>
    </w:p>
    <w:p>
      <w:pPr>
        <w:spacing w:after="0" w:line="59"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first nine months of 2008, the $353 million of outstanding 1.5% Series A Convertible Debentures due June 1, 2023 were converted by holders into 9.8 million shares of Schlumberger common stock. In addition, $83 million of the 2.125% Series B Convertible Debentures due June 1, 2023 were converted by holders into 2.1 million shares of Schlumberger common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94"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April 20, 2006, the Board of Directors of Schlumberger approved a share repurchase program of up to 40 million shares of its common stock to be acquired in the open market before April 2010, subject to market conditions. This program was completed during the second quarter of 2008. On April 17, 2008, the Board of Directors of Schlumberger approved an $8 billion share repurchase program for shares of its common stock to be acquired in the open market before December 31, 2011, of which $780 million have been repurchased as of September 30, 2008. The following table summarizes the activity under these share repurchase programs during the nine months ended September 30, 2008 and 2007, respectively:</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672"/>
              <w:spacing w:after="0"/>
              <w:rPr>
                <w:sz w:val="20"/>
                <w:szCs w:val="20"/>
                <w:color w:val="auto"/>
              </w:rPr>
            </w:pPr>
            <w:r>
              <w:rPr>
                <w:rFonts w:ascii="Arial" w:cs="Arial" w:eastAsia="Arial" w:hAnsi="Arial"/>
                <w:sz w:val="14"/>
                <w:szCs w:val="14"/>
                <w:b w:val="1"/>
                <w:bCs w:val="1"/>
                <w:color w:val="auto"/>
                <w:w w:val="84"/>
              </w:rPr>
              <w:t>Total cost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4"/>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30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672"/>
              <w:spacing w:after="0" w:line="149" w:lineRule="exact"/>
              <w:rPr>
                <w:sz w:val="20"/>
                <w:szCs w:val="20"/>
                <w:color w:val="auto"/>
              </w:rPr>
            </w:pPr>
            <w:r>
              <w:rPr>
                <w:rFonts w:ascii="Arial" w:cs="Arial" w:eastAsia="Arial" w:hAnsi="Arial"/>
                <w:sz w:val="14"/>
                <w:szCs w:val="14"/>
                <w:b w:val="1"/>
                <w:bCs w:val="1"/>
                <w:color w:val="auto"/>
                <w:w w:val="83"/>
              </w:rPr>
              <w:t>of shares</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7"/>
              </w:rPr>
              <w:t>price paid</w:t>
            </w:r>
          </w:p>
        </w:tc>
      </w:tr>
      <w:tr>
        <w:trPr>
          <w:trHeight w:val="161"/>
        </w:trPr>
        <w:tc>
          <w:tcPr>
            <w:tcW w:w="30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4"/>
              </w:rPr>
              <w:t>purchased</w:t>
            </w:r>
          </w:p>
        </w:tc>
        <w:tc>
          <w:tcPr>
            <w:tcW w:w="6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5"/>
              </w:rPr>
              <w:t>per share</w:t>
            </w:r>
          </w:p>
        </w:tc>
      </w:tr>
      <w:tr>
        <w:trPr>
          <w:trHeight w:val="142"/>
        </w:trPr>
        <w:tc>
          <w:tcPr>
            <w:tcW w:w="30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ind w:left="460"/>
              <w:spacing w:after="0"/>
              <w:rPr>
                <w:sz w:val="20"/>
                <w:szCs w:val="20"/>
                <w:color w:val="auto"/>
              </w:rPr>
            </w:pPr>
            <w:r>
              <w:rPr>
                <w:rFonts w:ascii="Arial" w:cs="Arial" w:eastAsia="Arial" w:hAnsi="Arial"/>
                <w:sz w:val="12"/>
                <w:szCs w:val="12"/>
                <w:b w:val="1"/>
                <w:bCs w:val="1"/>
                <w:color w:val="auto"/>
                <w:w w:val="73"/>
              </w:rPr>
              <w:t>(Stated</w:t>
            </w:r>
          </w:p>
        </w:tc>
        <w:tc>
          <w:tcPr>
            <w:tcW w:w="1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in thousands, except per</w:t>
            </w:r>
          </w:p>
        </w:tc>
        <w:tc>
          <w:tcPr>
            <w:tcW w:w="1460" w:type="dxa"/>
            <w:vAlign w:val="bottom"/>
            <w:gridSpan w:val="3"/>
          </w:tcPr>
          <w:p>
            <w:pPr>
              <w:jc w:val="right"/>
              <w:ind w:right="504"/>
              <w:spacing w:after="0" w:line="142" w:lineRule="exact"/>
              <w:rPr>
                <w:sz w:val="20"/>
                <w:szCs w:val="20"/>
                <w:color w:val="auto"/>
              </w:rPr>
            </w:pPr>
            <w:r>
              <w:rPr>
                <w:rFonts w:ascii="Arial" w:cs="Arial" w:eastAsia="Arial" w:hAnsi="Arial"/>
                <w:sz w:val="14"/>
                <w:szCs w:val="14"/>
                <w:b w:val="1"/>
                <w:bCs w:val="1"/>
                <w:color w:val="auto"/>
                <w:w w:val="82"/>
              </w:rPr>
              <w:t>share amounts)</w:t>
            </w:r>
          </w:p>
        </w:tc>
      </w:tr>
      <w:tr>
        <w:trPr>
          <w:trHeight w:val="216"/>
        </w:trPr>
        <w:tc>
          <w:tcPr>
            <w:tcW w:w="3020" w:type="dxa"/>
            <w:vAlign w:val="bottom"/>
            <w:shd w:val="clear" w:color="auto" w:fill="CCEEFF"/>
          </w:tcPr>
          <w:p>
            <w:pPr>
              <w:jc w:val="right"/>
              <w:ind w:right="2572"/>
              <w:spacing w:after="0"/>
              <w:rPr>
                <w:sz w:val="20"/>
                <w:szCs w:val="20"/>
                <w:color w:val="auto"/>
              </w:rPr>
            </w:pPr>
            <w:r>
              <w:rPr>
                <w:rFonts w:ascii="Arial" w:cs="Arial" w:eastAsia="Arial" w:hAnsi="Arial"/>
                <w:sz w:val="18"/>
                <w:szCs w:val="18"/>
                <w:color w:val="auto"/>
                <w:w w:val="84"/>
              </w:rPr>
              <w:t>2008</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97"/>
              </w:rPr>
              <w:t>1,664,811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18,364.7</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w:t>
            </w:r>
          </w:p>
        </w:tc>
      </w:tr>
      <w:tr>
        <w:trPr>
          <w:trHeight w:val="222"/>
        </w:trPr>
        <w:tc>
          <w:tcPr>
            <w:tcW w:w="3020" w:type="dxa"/>
            <w:vAlign w:val="bottom"/>
          </w:tcPr>
          <w:p>
            <w:pPr>
              <w:jc w:val="right"/>
              <w:ind w:right="2572"/>
              <w:spacing w:after="0"/>
              <w:rPr>
                <w:sz w:val="20"/>
                <w:szCs w:val="20"/>
                <w:color w:val="auto"/>
              </w:rPr>
            </w:pPr>
            <w:r>
              <w:rPr>
                <w:rFonts w:ascii="Arial" w:cs="Arial" w:eastAsia="Arial" w:hAnsi="Arial"/>
                <w:sz w:val="18"/>
                <w:szCs w:val="18"/>
                <w:color w:val="auto"/>
                <w:w w:val="84"/>
              </w:rPr>
              <w:t>2007</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52"/>
              <w:spacing w:after="0"/>
              <w:rPr>
                <w:sz w:val="20"/>
                <w:szCs w:val="20"/>
                <w:color w:val="auto"/>
              </w:rPr>
            </w:pPr>
            <w:r>
              <w:rPr>
                <w:rFonts w:ascii="Arial" w:cs="Arial" w:eastAsia="Arial" w:hAnsi="Arial"/>
                <w:sz w:val="18"/>
                <w:szCs w:val="18"/>
                <w:color w:val="auto"/>
              </w:rPr>
              <w:t>797,804</w:t>
            </w:r>
          </w:p>
        </w:tc>
        <w:tc>
          <w:tcPr>
            <w:tcW w:w="920" w:type="dxa"/>
            <w:vAlign w:val="bottom"/>
          </w:tcPr>
          <w:p>
            <w:pPr>
              <w:jc w:val="right"/>
              <w:spacing w:after="0"/>
              <w:rPr>
                <w:sz w:val="20"/>
                <w:szCs w:val="20"/>
                <w:color w:val="auto"/>
              </w:rPr>
            </w:pPr>
            <w:r>
              <w:rPr>
                <w:rFonts w:ascii="Arial" w:cs="Arial" w:eastAsia="Arial" w:hAnsi="Arial"/>
                <w:sz w:val="18"/>
                <w:szCs w:val="18"/>
                <w:color w:val="auto"/>
              </w:rPr>
              <w:t>10,511.7</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75.90</w:t>
            </w:r>
          </w:p>
        </w:tc>
      </w:tr>
    </w:tbl>
    <w:p>
      <w:pPr>
        <w:spacing w:after="0" w:line="66" w:lineRule="exact"/>
        <w:rPr>
          <w:sz w:val="20"/>
          <w:szCs w:val="20"/>
          <w:color w:val="auto"/>
        </w:rPr>
      </w:pPr>
    </w:p>
    <w:p>
      <w:pPr>
        <w:ind w:left="900" w:right="4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Dividends paid during the nine months ended September 30, 2008 and 2007 were $712 million and $562 million, respectively. On January 18, 2008, Schlumberger announced that its Board of Directors approved a 20% increase in the quarterly dividend to $0.21 per share, commencing with the dividend that was paid April 4, 2008.</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Cash flow provided by operations was $4.9 billion in the first nine months of 2008 compared to $4.1 billion in the first nine months of 2007. This improvement was primarily driven by the revenue and consequent net income increases experienced in the first nine months of 2008.</w:t>
      </w:r>
    </w:p>
    <w:p>
      <w:pPr>
        <w:spacing w:after="0" w:line="4"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expenditures, including multiclient seismic data costs, were $2.8 billion during the first nine months of 2008 compared to $2.2 billion during the first nine months of 2007. Capital expenditures, including multiclient seismic data costs, are expected to approach $3.9 billion for the full year 2008.</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September 30, 2008, Schlumberger had approximately $4.0 billion of cash and investments on hand. Wholly-owned subsidiaries of Schlumberger had separate committed debt facility agreements aggregating $4.0 billion with commercial banks, of which $2.1 billion was available and unused as of September 30, 2008.</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current portion long-term debt at September 30, 2008 has increased by $0.9 billion, to $1.6 billion, as compared to December 31, 2007. This increase is primarily attributable to the outstanding €400 million Guaranteed Floating Rate Notes due 2009 being reclassified from long-term debt to current in the current quarter due to their maturity in the next twelve months combined with $400 million of commercial paper borrowings being reclassified to current based on Schlumberger’s current intent to repay such amount in the fourth quarter of 2008.</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Schlumberger’s total outstanding debt at September 30, 2008 was $5.7 billion and included approximately $0.9 billion of commercial paper borrowings. The total outstanding debt increased approximately $0.3 billion as compared to December 31, 2007. This increase is primarily the result of the issuance of the previously mentioned €500 million 5.25% Guaranteed Notes due 2013 offset by the impact of approximately $0.4 billion of convertible debentures being converted into Schlumberger common stock during the nine months ended September 30,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This report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oil and natural gas demand and production growth; and capital expenditures. These statements are subject to risks and uncertainties, including, but not limited to, the global economy; changes in exploration and production spending by Schlumberger customers and changes in the level of oil and natural gas exploration and development; general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economic and business conditions in key regions of the world; political and economic uncertainty and socio-political unrest; project start-up costs and third-party service costs; operational and new equipment delays; seasonal factors and weather-related events; and other risks and uncertainties detailed in our most recent Form 10-K, this Form 10-Q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2007. Schlumberger’s exposure to market risk has not changed materially since December 31, 2007.</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September 30, 2008. Based on this evaluation, the CEO and the CFO have concluded that, as of September 30, 2008,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There has been no change in Schlumberger’s internal control over financial reporting that occurred during the quarter ended September 30, 2008 that has materially affected, or is reasonably likely to materially affect, Schlumberger’s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Item 1 is set forth under Note 11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There have been no material changes from the risk factors as previously disclosed in Part 1, Item 1A, of the Schlumberger Annual Report on Form 10-K for the fiscal year ended December 31, 2007.</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quarter ended September 30, 2008, Schlumberger issued 698,500 shares of its common stock upon conversion by holders of $27.9 million aggregate principal amount of its 2.125% Series B Convertible Debentures due June 1, 2023. Such shares were issued in transactions exempt from registration under Section 3(a)(9) of the Securities Act of 1933,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9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On April 17, 2008, the Board of Directors of Schlumberger approved an $8 billion share repurchase program for shares of Schlumberger common stock to be acquired in the open market before December 31, 2011 (the “2008 Program”). The 2008 Program commenced on May 30, 2008.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2008 Program for the three months ended September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Total number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Max. value of</w:t>
            </w:r>
          </w:p>
        </w:tc>
      </w:tr>
      <w:tr>
        <w:trPr>
          <w:trHeight w:val="149"/>
        </w:trPr>
        <w:tc>
          <w:tcPr>
            <w:tcW w:w="6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0"/>
              </w:rPr>
              <w:t>of shares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that</w:t>
            </w:r>
          </w:p>
        </w:tc>
      </w:tr>
      <w:tr>
        <w:trPr>
          <w:trHeight w:val="149"/>
        </w:trPr>
        <w:tc>
          <w:tcPr>
            <w:tcW w:w="6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1"/>
              </w:rPr>
              <w:t>purchased as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may yet be</w:t>
            </w:r>
          </w:p>
        </w:tc>
      </w:tr>
      <w:tr>
        <w:trPr>
          <w:trHeight w:val="149"/>
        </w:trPr>
        <w:tc>
          <w:tcPr>
            <w:tcW w:w="64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part of publicly</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purchased</w:t>
            </w:r>
          </w:p>
        </w:tc>
      </w:tr>
      <w:tr>
        <w:trPr>
          <w:trHeight w:val="149"/>
        </w:trPr>
        <w:tc>
          <w:tcPr>
            <w:tcW w:w="6460" w:type="dxa"/>
            <w:vAlign w:val="bottom"/>
          </w:tcPr>
          <w:p>
            <w:pPr>
              <w:spacing w:after="0"/>
              <w:rPr>
                <w:sz w:val="12"/>
                <w:szCs w:val="12"/>
                <w:color w:val="auto"/>
              </w:rPr>
            </w:pPr>
          </w:p>
        </w:tc>
        <w:tc>
          <w:tcPr>
            <w:tcW w:w="800" w:type="dxa"/>
            <w:vAlign w:val="bottom"/>
          </w:tcPr>
          <w:p>
            <w:pPr>
              <w:jc w:val="right"/>
              <w:ind w:right="61"/>
              <w:spacing w:after="0" w:line="149" w:lineRule="exact"/>
              <w:rPr>
                <w:sz w:val="20"/>
                <w:szCs w:val="20"/>
                <w:color w:val="auto"/>
              </w:rPr>
            </w:pPr>
            <w:r>
              <w:rPr>
                <w:rFonts w:ascii="Arial" w:cs="Arial" w:eastAsia="Arial" w:hAnsi="Arial"/>
                <w:sz w:val="14"/>
                <w:szCs w:val="14"/>
                <w:b w:val="1"/>
                <w:bCs w:val="1"/>
                <w:color w:val="auto"/>
              </w:rPr>
              <w:t>of shares</w:t>
            </w:r>
          </w:p>
        </w:tc>
        <w:tc>
          <w:tcPr>
            <w:tcW w:w="54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Average price</w:t>
            </w:r>
          </w:p>
        </w:tc>
        <w:tc>
          <w:tcPr>
            <w:tcW w:w="540" w:type="dxa"/>
            <w:vAlign w:val="bottom"/>
          </w:tcPr>
          <w:p>
            <w:pPr>
              <w:spacing w:after="0"/>
              <w:rPr>
                <w:sz w:val="12"/>
                <w:szCs w:val="12"/>
                <w:color w:val="auto"/>
              </w:rPr>
            </w:pPr>
          </w:p>
        </w:tc>
        <w:tc>
          <w:tcPr>
            <w:tcW w:w="14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announced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 the</w:t>
            </w:r>
          </w:p>
        </w:tc>
      </w:tr>
      <w:tr>
        <w:trPr>
          <w:trHeight w:val="161"/>
        </w:trPr>
        <w:tc>
          <w:tcPr>
            <w:tcW w:w="6460" w:type="dxa"/>
            <w:vAlign w:val="bottom"/>
          </w:tcPr>
          <w:p>
            <w:pPr>
              <w:spacing w:after="0"/>
              <w:rPr>
                <w:sz w:val="14"/>
                <w:szCs w:val="14"/>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5"/>
              </w:rPr>
              <w:t>purchased</w:t>
            </w:r>
          </w:p>
        </w:tc>
        <w:tc>
          <w:tcPr>
            <w:tcW w:w="54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paid per share</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program</w:t>
            </w:r>
          </w:p>
        </w:tc>
        <w:tc>
          <w:tcPr>
            <w:tcW w:w="5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w:t>
            </w:r>
          </w:p>
        </w:tc>
      </w:tr>
      <w:tr>
        <w:trPr>
          <w:trHeight w:val="142"/>
        </w:trPr>
        <w:tc>
          <w:tcPr>
            <w:tcW w:w="6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(Stated in thousands</w:t>
            </w:r>
          </w:p>
        </w:tc>
        <w:tc>
          <w:tcPr>
            <w:tcW w:w="5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w w:val="85"/>
              </w:rPr>
              <w:t>except</w:t>
            </w:r>
          </w:p>
        </w:tc>
        <w:tc>
          <w:tcPr>
            <w:tcW w:w="14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4"/>
              </w:rPr>
              <w:t>per share amounts)</w:t>
            </w:r>
          </w:p>
        </w:tc>
        <w:tc>
          <w:tcPr>
            <w:tcW w:w="800" w:type="dxa"/>
            <w:vAlign w:val="bottom"/>
          </w:tcPr>
          <w:p>
            <w:pPr>
              <w:spacing w:after="0"/>
              <w:rPr>
                <w:sz w:val="12"/>
                <w:szCs w:val="12"/>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July 1 through July 31, 2008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101.45</w:t>
            </w:r>
          </w:p>
        </w:tc>
        <w:tc>
          <w:tcPr>
            <w:tcW w:w="1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1,100.0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$7,653,647</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August 1 through August 31, 2008</w:t>
            </w:r>
          </w:p>
        </w:tc>
        <w:tc>
          <w:tcPr>
            <w:tcW w:w="800" w:type="dxa"/>
            <w:vAlign w:val="bottom"/>
          </w:tcPr>
          <w:p>
            <w:pPr>
              <w:jc w:val="right"/>
              <w:spacing w:after="0"/>
              <w:rPr>
                <w:sz w:val="20"/>
                <w:szCs w:val="20"/>
                <w:color w:val="auto"/>
              </w:rPr>
            </w:pPr>
            <w:r>
              <w:rPr>
                <w:rFonts w:ascii="Arial" w:cs="Arial" w:eastAsia="Arial" w:hAnsi="Arial"/>
                <w:sz w:val="18"/>
                <w:szCs w:val="18"/>
                <w:color w:val="auto"/>
              </w:rPr>
              <w:t>1,650.9</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94.47</w:t>
            </w:r>
          </w:p>
        </w:tc>
        <w:tc>
          <w:tcPr>
            <w:tcW w:w="1980" w:type="dxa"/>
            <w:vAlign w:val="bottom"/>
            <w:gridSpan w:val="3"/>
          </w:tcPr>
          <w:p>
            <w:pPr>
              <w:jc w:val="right"/>
              <w:ind w:right="540"/>
              <w:spacing w:after="0"/>
              <w:rPr>
                <w:sz w:val="20"/>
                <w:szCs w:val="20"/>
                <w:color w:val="auto"/>
              </w:rPr>
            </w:pPr>
            <w:r>
              <w:rPr>
                <w:rFonts w:ascii="Arial" w:cs="Arial" w:eastAsia="Arial" w:hAnsi="Arial"/>
                <w:sz w:val="18"/>
                <w:szCs w:val="18"/>
                <w:color w:val="auto"/>
              </w:rPr>
              <w:t>1,650.9</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$7,497,682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September 1 through September 30, 2008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3,213.8</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3,213.8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$7,219,745</w:t>
            </w:r>
          </w:p>
        </w:tc>
      </w:tr>
      <w:tr>
        <w:trPr>
          <w:trHeight w:val="20"/>
        </w:trPr>
        <w:tc>
          <w:tcPr>
            <w:tcW w:w="6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6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5,964.7</w:t>
            </w:r>
          </w:p>
        </w:tc>
        <w:tc>
          <w:tcPr>
            <w:tcW w:w="5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91.45</w:t>
            </w:r>
          </w:p>
        </w:tc>
        <w:tc>
          <w:tcPr>
            <w:tcW w:w="540" w:type="dxa"/>
            <w:vAlign w:val="bottom"/>
          </w:tcPr>
          <w:p>
            <w:pPr>
              <w:spacing w:after="0"/>
              <w:rPr>
                <w:sz w:val="19"/>
                <w:szCs w:val="19"/>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5,964.7</w:t>
            </w:r>
          </w:p>
        </w:tc>
        <w:tc>
          <w:tcPr>
            <w:tcW w:w="8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or tax withholding obligations. Schlumberger does not view these transactions as implicating the disclosure required under this Item, as thee number of shares of Schlumberger common stock received from optionholders is immaterial.</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Exhibit 3.1—Articles of Incorporation of Schlumberger Limited (Schlumberger N.V.) (incorporated by reference to Exhibit 3.1 to Schlumberger’s Quarterly Report on Form 10-Q for the fiscal quarter ended March 31, 2006).</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3.2—Amended and Restated Bylaws of Schlumberger Limited (Schlumberger N.V.) (incorporated by reference to Exhibit 3.1 to Schlumberger’s Current Report on Form 8-K filed on April 22, 2005).</w:t>
      </w:r>
    </w:p>
    <w:p>
      <w:pPr>
        <w:spacing w:after="0" w:line="132" w:lineRule="exact"/>
        <w:rPr>
          <w:sz w:val="20"/>
          <w:szCs w:val="20"/>
          <w:color w:val="auto"/>
        </w:rPr>
      </w:pPr>
    </w:p>
    <w:p>
      <w:pPr>
        <w:ind w:firstLine="8"/>
        <w:spacing w:after="0" w:line="268" w:lineRule="auto"/>
        <w:tabs>
          <w:tab w:leader="none" w:pos="1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 31.1—Certification of Chief Executive Officer pursuant to Rule 13a-14(a) of the Securities Exchange Act of 1934, as amended, as adopted pursuant to Section 302 of the Sarbanes-Oxley Act of 2002.</w:t>
      </w:r>
    </w:p>
    <w:p>
      <w:pPr>
        <w:spacing w:after="0" w:line="131" w:lineRule="exact"/>
        <w:rPr>
          <w:rFonts w:ascii="Arial" w:cs="Arial" w:eastAsia="Arial" w:hAnsi="Arial"/>
          <w:sz w:val="18"/>
          <w:szCs w:val="18"/>
          <w:color w:val="auto"/>
        </w:rPr>
      </w:pPr>
    </w:p>
    <w:p>
      <w:pPr>
        <w:ind w:right="60" w:firstLine="8"/>
        <w:spacing w:after="0" w:line="268" w:lineRule="auto"/>
        <w:tabs>
          <w:tab w:leader="none" w:pos="1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 31.2—Certification of Chief Financial Officer pursuant to Rule 13a-14(a) of the Securities Exchange Act of 1934, as amended, as adopted pursuant to Section 302 of the Sarbanes-Oxley Act of 2002.</w:t>
      </w:r>
    </w:p>
    <w:p>
      <w:pPr>
        <w:spacing w:after="0" w:line="132" w:lineRule="exact"/>
        <w:rPr>
          <w:sz w:val="20"/>
          <w:szCs w:val="20"/>
          <w:color w:val="auto"/>
        </w:rPr>
      </w:pPr>
    </w:p>
    <w:p>
      <w:pPr>
        <w:ind w:right="60" w:firstLine="8"/>
        <w:spacing w:after="0" w:line="268"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 32.1—Certification of Chief Executive Officer pursuant to 18 U.S.C. Section 1350, as adopted pursuant to Section 906 of the Sarbanes-Oxley Act of 2002.</w:t>
      </w:r>
    </w:p>
    <w:p>
      <w:pPr>
        <w:spacing w:after="0" w:line="131" w:lineRule="exact"/>
        <w:rPr>
          <w:rFonts w:ascii="Arial" w:cs="Arial" w:eastAsia="Arial" w:hAnsi="Arial"/>
          <w:sz w:val="18"/>
          <w:szCs w:val="18"/>
          <w:color w:val="auto"/>
        </w:rPr>
      </w:pPr>
    </w:p>
    <w:p>
      <w:pPr>
        <w:ind w:right="100" w:firstLine="8"/>
        <w:spacing w:after="0" w:line="268"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 32.2—Certification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Filed with this Form 10-Q.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Furnished with this Form 10-Q.</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(Registrant)</w:t>
            </w:r>
          </w:p>
        </w:tc>
      </w:tr>
      <w:tr>
        <w:trPr>
          <w:trHeight w:val="433"/>
        </w:trPr>
        <w:tc>
          <w:tcPr>
            <w:tcW w:w="5960" w:type="dxa"/>
            <w:vAlign w:val="bottom"/>
          </w:tcPr>
          <w:p>
            <w:pPr>
              <w:spacing w:after="0"/>
              <w:rPr>
                <w:sz w:val="20"/>
                <w:szCs w:val="20"/>
                <w:color w:val="auto"/>
              </w:rPr>
            </w:pPr>
            <w:r>
              <w:rPr>
                <w:rFonts w:ascii="Arial" w:cs="Arial" w:eastAsia="Arial" w:hAnsi="Arial"/>
                <w:sz w:val="18"/>
                <w:szCs w:val="18"/>
                <w:color w:val="auto"/>
              </w:rPr>
              <w:t>Date: October 22, 2008</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Howard Guild</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Howard Guild</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Accounting Officer and Duly Authorized Signatory</w:t>
            </w:r>
          </w:p>
        </w:tc>
      </w:tr>
    </w:tbl>
    <w:p>
      <w:pPr>
        <w:sectPr>
          <w:pgSz w:w="11900" w:h="16838" w:orient="portrait"/>
          <w:cols w:equalWidth="0" w:num="1">
            <w:col w:w="11420"/>
          </w:cols>
          <w:pgMar w:left="240" w:top="459"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90"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firstLine="464"/>
        <w:spacing w:after="0" w:line="259" w:lineRule="auto"/>
        <w:tabs>
          <w:tab w:leader="none" w:pos="63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2008</w:t>
      </w:r>
    </w:p>
    <w:p>
      <w:pPr>
        <w:spacing w:after="0" w:line="212" w:lineRule="exact"/>
        <w:rPr>
          <w:sz w:val="20"/>
          <w:szCs w:val="20"/>
          <w:color w:val="auto"/>
        </w:rPr>
      </w:pPr>
    </w:p>
    <w:p>
      <w:pPr>
        <w:ind w:left="8200"/>
        <w:spacing w:after="0"/>
        <w:tabs>
          <w:tab w:leader="none" w:pos="852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G</w:t>
      </w:r>
      <w:r>
        <w:rPr>
          <w:rFonts w:ascii="Arial" w:cs="Arial" w:eastAsia="Arial" w:hAnsi="Arial"/>
          <w:sz w:val="14"/>
          <w:szCs w:val="14"/>
          <w:color w:val="auto"/>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Andrew Gould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90"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firstLine="464"/>
        <w:spacing w:after="0" w:line="259" w:lineRule="auto"/>
        <w:tabs>
          <w:tab w:leader="none" w:pos="63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2008</w:t>
      </w:r>
    </w:p>
    <w:p>
      <w:pPr>
        <w:spacing w:after="0" w:line="212" w:lineRule="exact"/>
        <w:rPr>
          <w:sz w:val="20"/>
          <w:szCs w:val="20"/>
          <w:color w:val="auto"/>
        </w:rPr>
      </w:pPr>
    </w:p>
    <w:p>
      <w:pPr>
        <w:ind w:left="8360"/>
        <w:spacing w:after="0"/>
        <w:tabs>
          <w:tab w:leader="none" w:pos="8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IMON</w:t>
      </w:r>
      <w:r>
        <w:rPr>
          <w:rFonts w:ascii="Arial" w:cs="Arial" w:eastAsia="Arial" w:hAnsi="Arial"/>
          <w:sz w:val="16"/>
          <w:szCs w:val="16"/>
          <w:color w:val="auto"/>
        </w:rPr>
        <w:t xml:space="preserve"> A</w:t>
      </w:r>
      <w:r>
        <w:rPr>
          <w:rFonts w:ascii="Arial" w:cs="Arial" w:eastAsia="Arial" w:hAnsi="Arial"/>
          <w:sz w:val="13"/>
          <w:szCs w:val="13"/>
          <w:color w:val="auto"/>
        </w:rPr>
        <w:t>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Simon Ayat</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2008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Date: October 22, 2008</w:t>
            </w: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55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Andrew Gould</w:t>
            </w:r>
          </w:p>
        </w:tc>
      </w:tr>
      <w:tr>
        <w:trPr>
          <w:trHeight w:val="202"/>
        </w:trPr>
        <w:tc>
          <w:tcPr>
            <w:tcW w:w="5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Andrew Gould</w:t>
            </w:r>
          </w:p>
        </w:tc>
      </w:tr>
      <w:tr>
        <w:trPr>
          <w:trHeight w:val="222"/>
        </w:trPr>
        <w:tc>
          <w:tcPr>
            <w:tcW w:w="5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Chairman and Chief Executive Officer</w:t>
            </w:r>
          </w:p>
        </w:tc>
      </w:tr>
    </w:tbl>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2008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Date: October 22, 2008</w:t>
            </w: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55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Simon Ayat</w:t>
            </w:r>
          </w:p>
        </w:tc>
      </w:tr>
      <w:tr>
        <w:trPr>
          <w:trHeight w:val="202"/>
        </w:trPr>
        <w:tc>
          <w:tcPr>
            <w:tcW w:w="5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Simon Ayat</w:t>
            </w:r>
          </w:p>
        </w:tc>
      </w:tr>
      <w:tr>
        <w:trPr>
          <w:trHeight w:val="216"/>
        </w:trPr>
        <w:tc>
          <w:tcPr>
            <w:tcW w:w="5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Executive Vice President and Chief Financial</w:t>
            </w:r>
          </w:p>
        </w:tc>
      </w:tr>
      <w:tr>
        <w:trPr>
          <w:trHeight w:val="222"/>
        </w:trPr>
        <w:tc>
          <w:tcPr>
            <w:tcW w:w="5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Officer</w:t>
            </w:r>
          </w:p>
        </w:tc>
      </w:tr>
    </w:tbl>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decimal"/>
      <w:start w:val="7"/>
    </w:lvl>
  </w:abstractNum>
  <w:abstractNum w:abstractNumId="6">
    <w:nsid w:val="DED7263"/>
    <w:multiLevelType w:val="hybridMultilevel"/>
    <w:lvl w:ilvl="0">
      <w:lvlJc w:val="left"/>
      <w:lvlText w:val="%1."/>
      <w:numFmt w:val="decimal"/>
      <w:start w:val="8"/>
    </w:lvl>
  </w:abstractNum>
  <w:abstractNum w:abstractNumId="7">
    <w:nsid w:val="7FDCC233"/>
    <w:multiLevelType w:val="hybridMultilevel"/>
    <w:lvl w:ilvl="0">
      <w:lvlJc w:val="left"/>
      <w:lvlText w:val="%1."/>
      <w:numFmt w:val="decimal"/>
      <w:start w:val="9"/>
    </w:lvl>
  </w:abstractNum>
  <w:abstractNum w:abstractNumId="8">
    <w:nsid w:val="1BEFD79F"/>
    <w:multiLevelType w:val="hybridMultilevel"/>
    <w:lvl w:ilvl="0">
      <w:lvlJc w:val="left"/>
      <w:lvlText w:val="%1."/>
      <w:numFmt w:val="decimal"/>
      <w:start w:val="11"/>
    </w:lvl>
  </w:abstractNum>
  <w:abstractNum w:abstractNumId="9">
    <w:nsid w:val="41A7C4C9"/>
    <w:multiLevelType w:val="hybridMultilevel"/>
    <w:lvl w:ilvl="0">
      <w:lvlJc w:val="left"/>
      <w:lvlText w:val="%1."/>
      <w:numFmt w:val="decimal"/>
      <w:start w:val="12"/>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3"/>
    </w:lvl>
  </w:abstractNum>
  <w:abstractNum w:abstractNumId="13">
    <w:nsid w:val="519B500D"/>
    <w:multiLevelType w:val="hybridMultilevel"/>
    <w:lvl w:ilvl="0">
      <w:lvlJc w:val="left"/>
      <w:lvlText w:val="%1."/>
      <w:numFmt w:val="decimal"/>
      <w:start w:val="14"/>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2019-12-11T13:56:46Z</dcterms:created>
  <dcterms:modified xsi:type="dcterms:W3CDTF">2019-12-11T13:56:46Z</dcterms:modified>
</cp:coreProperties>
</file>