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40" w:type="dxa"/>
            <w:vAlign w:val="bottom"/>
          </w:tcPr>
          <w:p>
            <w:pPr>
              <w:ind w:left="40"/>
              <w:spacing w:after="0"/>
              <w:rPr>
                <w:sz w:val="20"/>
                <w:szCs w:val="20"/>
                <w:color w:val="auto"/>
              </w:rPr>
            </w:pPr>
            <w:r>
              <w:rPr>
                <w:rFonts w:ascii="Arial" w:cs="Arial" w:eastAsia="Arial" w:hAnsi="Arial"/>
                <w:sz w:val="22"/>
                <w:szCs w:val="22"/>
                <w:color w:val="auto"/>
              </w:rPr>
              <w:t>0001592739</w:t>
            </w:r>
          </w:p>
        </w:tc>
        <w:tc>
          <w:tcPr>
            <w:tcW w:w="35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49"/>
        </w:trPr>
        <w:tc>
          <w:tcPr>
            <w:tcW w:w="62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560" w:type="dxa"/>
            <w:vAlign w:val="bottom"/>
          </w:tcPr>
          <w:p>
            <w:pPr>
              <w:ind w:left="50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40" w:type="dxa"/>
            <w:vAlign w:val="bottom"/>
          </w:tcPr>
          <w:p>
            <w:pPr>
              <w:spacing w:after="0"/>
              <w:rPr>
                <w:sz w:val="24"/>
                <w:szCs w:val="24"/>
                <w:color w:val="auto"/>
              </w:rPr>
            </w:pPr>
          </w:p>
        </w:tc>
        <w:tc>
          <w:tcPr>
            <w:tcW w:w="3560" w:type="dxa"/>
            <w:vAlign w:val="bottom"/>
          </w:tcPr>
          <w:p>
            <w:pPr>
              <w:ind w:left="500"/>
              <w:spacing w:after="0"/>
              <w:rPr>
                <w:sz w:val="20"/>
                <w:szCs w:val="20"/>
                <w:color w:val="auto"/>
              </w:rPr>
            </w:pPr>
            <w:r>
              <w:rPr>
                <w:rFonts w:ascii="Arial" w:cs="Arial" w:eastAsia="Arial" w:hAnsi="Arial"/>
                <w:sz w:val="22"/>
                <w:szCs w:val="22"/>
                <w:color w:val="auto"/>
              </w:rPr>
              <w:t>7135132000</w:t>
            </w:r>
          </w:p>
        </w:tc>
      </w:tr>
      <w:tr>
        <w:trPr>
          <w:trHeight w:val="297"/>
        </w:trPr>
        <w:tc>
          <w:tcPr>
            <w:tcW w:w="6240" w:type="dxa"/>
            <w:vAlign w:val="bottom"/>
            <w:gridSpan w:val="2"/>
          </w:tcPr>
          <w:p>
            <w:pPr>
              <w:ind w:left="40"/>
              <w:spacing w:after="0"/>
              <w:rPr>
                <w:sz w:val="20"/>
                <w:szCs w:val="20"/>
                <w:color w:val="auto"/>
              </w:rPr>
            </w:pPr>
            <w:r>
              <w:rPr>
                <w:rFonts w:ascii="Arial" w:cs="Arial" w:eastAsia="Arial" w:hAnsi="Arial"/>
                <w:sz w:val="22"/>
                <w:szCs w:val="22"/>
                <w:color w:val="auto"/>
                <w:w w:val="96"/>
              </w:rPr>
              <w:t>Name of Person for Whose Account the Securities are To Be Sold</w:t>
            </w:r>
          </w:p>
        </w:tc>
        <w:tc>
          <w:tcPr>
            <w:tcW w:w="3560" w:type="dxa"/>
            <w:vAlign w:val="bottom"/>
          </w:tcPr>
          <w:p>
            <w:pPr>
              <w:ind w:left="500"/>
              <w:spacing w:after="0"/>
              <w:rPr>
                <w:sz w:val="20"/>
                <w:szCs w:val="20"/>
                <w:color w:val="auto"/>
              </w:rPr>
            </w:pPr>
            <w:r>
              <w:rPr>
                <w:rFonts w:ascii="Arial" w:cs="Arial" w:eastAsia="Arial" w:hAnsi="Arial"/>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6250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291687.50</w:t>
            </w:r>
          </w:p>
        </w:tc>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1425330904</w:t>
            </w:r>
          </w:p>
        </w:tc>
        <w:tc>
          <w:tcPr>
            <w:tcW w:w="1280" w:type="dxa"/>
            <w:vAlign w:val="bottom"/>
          </w:tcPr>
          <w:p>
            <w:pPr>
              <w:ind w:left="40"/>
              <w:spacing w:after="0"/>
              <w:rPr>
                <w:sz w:val="20"/>
                <w:szCs w:val="20"/>
                <w:color w:val="auto"/>
              </w:rPr>
            </w:pPr>
            <w:r>
              <w:rPr>
                <w:rFonts w:ascii="Arial" w:cs="Arial" w:eastAsia="Arial" w:hAnsi="Arial"/>
                <w:sz w:val="22"/>
                <w:szCs w:val="22"/>
                <w:color w:val="auto"/>
              </w:rPr>
              <w:t>06/26/2023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60" w:type="dxa"/>
            <w:vAlign w:val="bottom"/>
          </w:tcPr>
          <w:p>
            <w:pPr>
              <w:ind w:left="30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7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jc w:val="right"/>
              <w:ind w:right="32"/>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01/20/2023</w:t>
            </w:r>
          </w:p>
        </w:tc>
        <w:tc>
          <w:tcPr>
            <w:tcW w:w="1560" w:type="dxa"/>
            <w:vAlign w:val="bottom"/>
          </w:tcPr>
          <w:p>
            <w:pPr>
              <w:ind w:left="20"/>
              <w:spacing w:after="0"/>
              <w:rPr>
                <w:sz w:val="20"/>
                <w:szCs w:val="20"/>
                <w:color w:val="auto"/>
              </w:rPr>
            </w:pPr>
            <w:r>
              <w:rPr>
                <w:rFonts w:ascii="Arial" w:cs="Arial" w:eastAsia="Arial" w:hAnsi="Arial"/>
                <w:sz w:val="22"/>
                <w:szCs w:val="22"/>
                <w:color w:val="auto"/>
              </w:rPr>
              <w:t>Performance</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52"/>
              <w:spacing w:after="0"/>
              <w:rPr>
                <w:sz w:val="20"/>
                <w:szCs w:val="20"/>
                <w:color w:val="auto"/>
              </w:rPr>
            </w:pPr>
            <w:r>
              <w:rPr>
                <w:rFonts w:ascii="Arial" w:cs="Arial" w:eastAsia="Arial" w:hAnsi="Arial"/>
                <w:sz w:val="22"/>
                <w:szCs w:val="22"/>
                <w:color w:val="auto"/>
              </w:rPr>
              <w:t>6250</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01/20/2023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60" w:type="dxa"/>
            <w:vAlign w:val="bottom"/>
          </w:tcPr>
          <w:p>
            <w:pPr>
              <w:ind w:left="20"/>
              <w:spacing w:after="0"/>
              <w:rPr>
                <w:sz w:val="20"/>
                <w:szCs w:val="20"/>
                <w:color w:val="auto"/>
              </w:rPr>
            </w:pPr>
            <w:r>
              <w:rPr>
                <w:rFonts w:ascii="Arial" w:cs="Arial" w:eastAsia="Arial" w:hAnsi="Arial"/>
                <w:sz w:val="22"/>
                <w:szCs w:val="22"/>
                <w:color w:val="auto"/>
              </w:rPr>
              <w:t>Shares</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Stephane Biguet</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05/30/2023 6250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273125.00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Houston  TX  77056</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Stephane Biguet</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5599 San Felipe</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04/24/2023 6250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309750.00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Houston  TX  77056</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06/26/2023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11/11/2022</w:t>
      </w:r>
    </w:p>
    <w:p>
      <w:pPr>
        <w:spacing w:after="0" w:line="652" w:lineRule="exact"/>
        <w:rPr>
          <w:sz w:val="20"/>
          <w:szCs w:val="20"/>
          <w:color w:val="auto"/>
        </w:rPr>
      </w:pPr>
    </w:p>
    <w:p>
      <w:pPr>
        <w:sectPr>
          <w:pgSz w:w="11900" w:h="16838" w:orient="portrait"/>
          <w:cols w:equalWidth="0" w:num="2">
            <w:col w:w="4160" w:space="200"/>
            <w:col w:w="688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00" w:type="dxa"/>
            <w:vAlign w:val="bottom"/>
          </w:tcPr>
          <w:p>
            <w:pPr>
              <w:ind w:left="1740"/>
              <w:spacing w:after="0" w:line="246" w:lineRule="exact"/>
              <w:rPr>
                <w:sz w:val="20"/>
                <w:szCs w:val="20"/>
                <w:color w:val="auto"/>
              </w:rPr>
            </w:pPr>
            <w:r>
              <w:rPr>
                <w:rFonts w:ascii="Arial" w:cs="Arial" w:eastAsia="Arial" w:hAnsi="Arial"/>
                <w:sz w:val="22"/>
                <w:szCs w:val="22"/>
                <w:color w:val="auto"/>
                <w:w w:val="88"/>
              </w:rPr>
              <w:t>/s/ Jared Cook, as a duly authorized representative of Fidelity Brokerage</w:t>
            </w:r>
          </w:p>
        </w:tc>
        <w:tc>
          <w:tcPr>
            <w:tcW w:w="0" w:type="dxa"/>
            <w:vAlign w:val="bottom"/>
          </w:tcPr>
          <w:p>
            <w:pPr>
              <w:spacing w:after="0"/>
              <w:rPr>
                <w:sz w:val="1"/>
                <w:szCs w:val="1"/>
                <w:color w:val="auto"/>
              </w:rPr>
            </w:pPr>
          </w:p>
        </w:tc>
      </w:tr>
      <w:tr>
        <w:trPr>
          <w:trHeight w:val="153"/>
        </w:trPr>
        <w:tc>
          <w:tcPr>
            <w:tcW w:w="2580" w:type="dxa"/>
            <w:vAlign w:val="bottom"/>
            <w:vMerge w:val="continue"/>
          </w:tcPr>
          <w:p>
            <w:pPr>
              <w:spacing w:after="0"/>
              <w:rPr>
                <w:sz w:val="13"/>
                <w:szCs w:val="13"/>
                <w:color w:val="auto"/>
              </w:rPr>
            </w:pPr>
          </w:p>
        </w:tc>
        <w:tc>
          <w:tcPr>
            <w:tcW w:w="8000" w:type="dxa"/>
            <w:vAlign w:val="bottom"/>
            <w:vMerge w:val="restart"/>
          </w:tcPr>
          <w:p>
            <w:pPr>
              <w:ind w:left="1740"/>
              <w:spacing w:after="0"/>
              <w:rPr>
                <w:sz w:val="20"/>
                <w:szCs w:val="20"/>
                <w:color w:val="auto"/>
              </w:rPr>
            </w:pPr>
            <w:r>
              <w:rPr>
                <w:rFonts w:ascii="Arial" w:cs="Arial" w:eastAsia="Arial" w:hAnsi="Arial"/>
                <w:sz w:val="22"/>
                <w:szCs w:val="22"/>
                <w:color w:val="auto"/>
              </w:rPr>
              <w:t>Services LLC, as attorney-in-fact for Stephane Biguet</w:t>
            </w: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8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2023-06-26T12:55:08Z</dcterms:created>
  <dcterms:modified xsi:type="dcterms:W3CDTF">2023-06-26T12:55:08Z</dcterms:modified>
</cp:coreProperties>
</file>