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1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219"/>
        <w:spacing w:after="0" w:line="237" w:lineRule="auto"/>
        <w:rPr>
          <w:sz w:val="20"/>
          <w:szCs w:val="20"/>
          <w:color w:val="auto"/>
        </w:rPr>
      </w:pPr>
      <w:r>
        <w:rPr>
          <w:rFonts w:ascii="Courier New" w:cs="Courier New" w:eastAsia="Courier New" w:hAnsi="Courier New"/>
          <w:sz w:val="15"/>
          <w:szCs w:val="15"/>
          <w:color w:val="auto"/>
        </w:rPr>
        <w:t>Washington, D.C. 20549</w:t>
      </w:r>
    </w:p>
    <w:p>
      <w:pPr>
        <w:ind w:left="124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10-Q</w:t>
      </w:r>
    </w:p>
    <w:p>
      <w:pPr>
        <w:ind w:left="316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QUARTERLY REPORT UNDER SECTION 13 OR 15(d)</w:t>
      </w:r>
    </w:p>
    <w:p>
      <w:pPr>
        <w:jc w:val="center"/>
        <w:ind w:right="3219"/>
        <w:spacing w:after="0" w:line="237" w:lineRule="auto"/>
        <w:rPr>
          <w:sz w:val="20"/>
          <w:szCs w:val="20"/>
          <w:color w:val="auto"/>
        </w:rPr>
      </w:pPr>
      <w:r>
        <w:rPr>
          <w:rFonts w:ascii="Courier New" w:cs="Courier New" w:eastAsia="Courier New" w:hAnsi="Courier New"/>
          <w:sz w:val="15"/>
          <w:szCs w:val="15"/>
          <w:color w:val="auto"/>
        </w:rPr>
        <w:t>OF THE SECURITIES EXCHANGE ACT OF 1934</w:t>
      </w:r>
    </w:p>
    <w:p>
      <w:pPr>
        <w:spacing w:after="0" w:line="5" w:lineRule="exact"/>
        <w:rPr>
          <w:sz w:val="24"/>
          <w:szCs w:val="24"/>
          <w:color w:val="auto"/>
        </w:rPr>
      </w:pPr>
    </w:p>
    <w:p>
      <w:pPr>
        <w:ind w:left="5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561" w:right="1440" w:bottom="1440" w:gutter="0" w:footer="0" w:header="0"/>
        </w:sectPr>
      </w:pPr>
    </w:p>
    <w:p>
      <w:pPr>
        <w:spacing w:after="0" w:line="178" w:lineRule="exact"/>
        <w:rPr>
          <w:sz w:val="24"/>
          <w:szCs w:val="24"/>
          <w:color w:val="auto"/>
        </w:rPr>
      </w:pPr>
    </w:p>
    <w:p>
      <w:pPr>
        <w:ind w:right="1640"/>
        <w:spacing w:after="0" w:line="235" w:lineRule="auto"/>
        <w:rPr>
          <w:sz w:val="20"/>
          <w:szCs w:val="20"/>
          <w:color w:val="auto"/>
        </w:rPr>
      </w:pPr>
      <w:r>
        <w:rPr>
          <w:rFonts w:ascii="Courier New" w:cs="Courier New" w:eastAsia="Courier New" w:hAnsi="Courier New"/>
          <w:sz w:val="15"/>
          <w:szCs w:val="15"/>
          <w:color w:val="auto"/>
        </w:rPr>
        <w:t>For the Quarter ended: September 30, 2001 ------------------------------</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Commission file No.:</w:t>
      </w:r>
    </w:p>
    <w:p>
      <w:pPr>
        <w:ind w:left="340"/>
        <w:spacing w:after="0" w:line="237" w:lineRule="auto"/>
        <w:rPr>
          <w:sz w:val="20"/>
          <w:szCs w:val="20"/>
          <w:color w:val="auto"/>
        </w:rPr>
      </w:pPr>
      <w:r>
        <w:rPr>
          <w:rFonts w:ascii="Courier New" w:cs="Courier New" w:eastAsia="Courier New" w:hAnsi="Courier New"/>
          <w:sz w:val="15"/>
          <w:szCs w:val="15"/>
          <w:color w:val="auto"/>
        </w:rPr>
        <w:t>1-4601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4"/>
          <w:szCs w:val="24"/>
          <w:color w:val="auto"/>
        </w:rPr>
      </w:pPr>
    </w:p>
    <w:p>
      <w:pPr>
        <w:sectPr>
          <w:pgSz w:w="11900" w:h="16838" w:orient="portrait"/>
          <w:cols w:equalWidth="0" w:num="2">
            <w:col w:w="4280" w:space="720"/>
            <w:col w:w="5239"/>
          </w:cols>
          <w:pgMar w:left="220" w:top="561" w:right="1440" w:bottom="1440" w:gutter="0" w:footer="0" w:header="0"/>
          <w:type w:val="continuous"/>
        </w:sectPr>
      </w:pPr>
    </w:p>
    <w:p>
      <w:pPr>
        <w:ind w:left="2800"/>
        <w:spacing w:after="0"/>
        <w:rPr>
          <w:sz w:val="20"/>
          <w:szCs w:val="20"/>
          <w:color w:val="auto"/>
        </w:rPr>
      </w:pPr>
      <w:r>
        <w:rPr>
          <w:rFonts w:ascii="Courier New" w:cs="Courier New" w:eastAsia="Courier New" w:hAnsi="Courier New"/>
          <w:sz w:val="15"/>
          <w:szCs w:val="15"/>
          <w:color w:val="auto"/>
        </w:rPr>
        <w:t>SCHLUMBERGER N.V.</w:t>
      </w:r>
    </w:p>
    <w:p>
      <w:pPr>
        <w:ind w:left="2540"/>
        <w:spacing w:after="0" w:line="237" w:lineRule="auto"/>
        <w:rPr>
          <w:sz w:val="20"/>
          <w:szCs w:val="20"/>
          <w:color w:val="auto"/>
        </w:rPr>
      </w:pPr>
      <w:r>
        <w:rPr>
          <w:rFonts w:ascii="Courier New" w:cs="Courier New" w:eastAsia="Courier New" w:hAnsi="Courier New"/>
          <w:sz w:val="15"/>
          <w:szCs w:val="15"/>
          <w:color w:val="auto"/>
        </w:rPr>
        <w:t>(SCHLUMBERGER LIMITED)</w:t>
      </w:r>
    </w:p>
    <w:p>
      <w:pPr>
        <w:spacing w:after="0" w:line="5"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ind w:left="114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39"/>
          </w:cols>
          <w:pgMar w:left="220" w:top="561" w:right="1440" w:bottom="1440" w:gutter="0" w:footer="0" w:header="0"/>
          <w:type w:val="continuous"/>
        </w:sectPr>
      </w:pPr>
    </w:p>
    <w:p>
      <w:pPr>
        <w:spacing w:after="0" w:line="200" w:lineRule="exact"/>
        <w:rPr>
          <w:sz w:val="24"/>
          <w:szCs w:val="24"/>
          <w:color w:val="auto"/>
        </w:rPr>
      </w:pPr>
    </w:p>
    <w:p>
      <w:pPr>
        <w:spacing w:after="0" w:line="309" w:lineRule="exact"/>
        <w:rPr>
          <w:sz w:val="24"/>
          <w:szCs w:val="24"/>
          <w:color w:val="auto"/>
        </w:rPr>
      </w:pPr>
    </w:p>
    <w:p>
      <w:pPr>
        <w:ind w:right="1900" w:firstLine="525"/>
        <w:spacing w:after="0" w:line="235" w:lineRule="auto"/>
        <w:rPr>
          <w:sz w:val="20"/>
          <w:szCs w:val="20"/>
          <w:color w:val="auto"/>
        </w:rPr>
      </w:pPr>
      <w:r>
        <w:rPr>
          <w:rFonts w:ascii="Courier New" w:cs="Courier New" w:eastAsia="Courier New" w:hAnsi="Courier New"/>
          <w:sz w:val="15"/>
          <w:szCs w:val="15"/>
          <w:color w:val="auto"/>
        </w:rPr>
        <w:t>NETHERLANDS ANTILLES -------------------- (State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52-0684746</w:t>
      </w:r>
    </w:p>
    <w:p>
      <w:pPr>
        <w:ind w:left="360"/>
        <w:spacing w:after="0" w:line="237" w:lineRule="auto"/>
        <w:rPr>
          <w:sz w:val="20"/>
          <w:szCs w:val="20"/>
          <w:color w:val="auto"/>
        </w:rPr>
      </w:pPr>
      <w:r>
        <w:rPr>
          <w:rFonts w:ascii="Courier New" w:cs="Courier New" w:eastAsia="Courier New" w:hAnsi="Courier New"/>
          <w:sz w:val="15"/>
          <w:szCs w:val="15"/>
          <w:color w:val="auto"/>
        </w:rPr>
        <w:t>----------</w:t>
      </w:r>
    </w:p>
    <w:p>
      <w:pPr>
        <w:ind w:left="100"/>
        <w:spacing w:after="0" w:line="238"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2" w:lineRule="exact"/>
        <w:rPr>
          <w:sz w:val="24"/>
          <w:szCs w:val="24"/>
          <w:color w:val="auto"/>
        </w:rPr>
      </w:pPr>
    </w:p>
    <w:p>
      <w:pPr>
        <w:sectPr>
          <w:pgSz w:w="11900" w:h="16838" w:orient="portrait"/>
          <w:cols w:equalWidth="0" w:num="2">
            <w:col w:w="4620" w:space="720"/>
            <w:col w:w="4899"/>
          </w:cols>
          <w:pgMar w:left="220" w:top="561" w:right="1440" w:bottom="1440" w:gutter="0" w:footer="0" w:header="0"/>
          <w:type w:val="continuous"/>
        </w:sectPr>
      </w:pPr>
    </w:p>
    <w:p>
      <w:pPr>
        <w:spacing w:after="0" w:line="144"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153 EAST 53 STREET, 57/th/ Floor</w:t>
      </w:r>
    </w:p>
    <w:p>
      <w:pPr>
        <w:spacing w:after="0" w:line="3"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NEW YORK, NEW YORK, U.S.A.</w:t>
      </w:r>
    </w:p>
    <w:p>
      <w:pPr>
        <w:spacing w:after="0" w:line="20" w:lineRule="exact"/>
        <w:rPr>
          <w:sz w:val="24"/>
          <w:szCs w:val="24"/>
          <w:color w:val="auto"/>
        </w:rPr>
      </w:pPr>
      <w:r>
        <w:rPr>
          <w:sz w:val="24"/>
          <w:szCs w:val="24"/>
          <w:color w:val="auto"/>
        </w:rPr>
        <w:br w:type="column"/>
      </w:r>
    </w:p>
    <w:p>
      <w:pPr>
        <w:spacing w:after="0" w:line="29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10022</w:t>
      </w:r>
    </w:p>
    <w:p>
      <w:pPr>
        <w:spacing w:after="0" w:line="177" w:lineRule="exact"/>
        <w:rPr>
          <w:sz w:val="24"/>
          <w:szCs w:val="24"/>
          <w:color w:val="auto"/>
        </w:rPr>
      </w:pPr>
    </w:p>
    <w:p>
      <w:pPr>
        <w:sectPr>
          <w:pgSz w:w="11900" w:h="16838" w:orient="portrait"/>
          <w:cols w:equalWidth="0" w:num="2">
            <w:col w:w="5420" w:space="720"/>
            <w:col w:w="4099"/>
          </w:cols>
          <w:pgMar w:left="220" w:top="561"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42 RUE SAINT-DOMINIQUE</w:t>
      </w:r>
    </w:p>
    <w:p>
      <w:pPr>
        <w:spacing w:after="0" w:line="3"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PARIS, FRANCE</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jc w:val="center"/>
        <w:ind w:right="3679"/>
        <w:spacing w:after="0"/>
        <w:rPr>
          <w:sz w:val="20"/>
          <w:szCs w:val="20"/>
          <w:color w:val="auto"/>
        </w:rPr>
      </w:pPr>
      <w:r>
        <w:rPr>
          <w:rFonts w:ascii="Courier New" w:cs="Courier New" w:eastAsia="Courier New" w:hAnsi="Courier New"/>
          <w:sz w:val="14"/>
          <w:szCs w:val="14"/>
          <w:color w:val="auto"/>
        </w:rPr>
        <w:t>75007</w:t>
      </w:r>
    </w:p>
    <w:p>
      <w:pPr>
        <w:spacing w:after="0" w:line="170" w:lineRule="exact"/>
        <w:rPr>
          <w:sz w:val="24"/>
          <w:szCs w:val="24"/>
          <w:color w:val="auto"/>
        </w:rPr>
      </w:pPr>
    </w:p>
    <w:p>
      <w:pPr>
        <w:sectPr>
          <w:pgSz w:w="11900" w:h="16838" w:orient="portrait"/>
          <w:cols w:equalWidth="0" w:num="2">
            <w:col w:w="5420" w:space="720"/>
            <w:col w:w="4099"/>
          </w:cols>
          <w:pgMar w:left="220" w:top="561" w:right="1440" w:bottom="1440" w:gutter="0" w:footer="0" w:header="0"/>
          <w:type w:val="continuous"/>
        </w:sectPr>
      </w:pPr>
    </w:p>
    <w:p>
      <w:pPr>
        <w:ind w:left="440"/>
        <w:spacing w:after="0"/>
        <w:rPr>
          <w:sz w:val="20"/>
          <w:szCs w:val="20"/>
          <w:color w:val="auto"/>
        </w:rPr>
      </w:pPr>
      <w:r>
        <w:rPr>
          <w:rFonts w:ascii="Courier New" w:cs="Courier New" w:eastAsia="Courier New" w:hAnsi="Courier New"/>
          <w:sz w:val="15"/>
          <w:szCs w:val="15"/>
          <w:color w:val="auto"/>
        </w:rPr>
        <w:t>PARKSTRAAT 83</w:t>
      </w:r>
    </w:p>
    <w:p>
      <w:pPr>
        <w:ind w:left="440"/>
        <w:spacing w:after="0" w:line="237" w:lineRule="auto"/>
        <w:rPr>
          <w:sz w:val="20"/>
          <w:szCs w:val="20"/>
          <w:color w:val="auto"/>
        </w:rPr>
      </w:pPr>
      <w:r>
        <w:rPr>
          <w:rFonts w:ascii="Courier New" w:cs="Courier New" w:eastAsia="Courier New" w:hAnsi="Courier New"/>
          <w:sz w:val="15"/>
          <w:szCs w:val="15"/>
          <w:color w:val="auto"/>
        </w:rPr>
        <w:t>THE HAGUE,</w:t>
      </w:r>
    </w:p>
    <w:p>
      <w:pPr>
        <w:ind w:left="440"/>
        <w:spacing w:after="0" w:line="238" w:lineRule="auto"/>
        <w:rPr>
          <w:sz w:val="20"/>
          <w:szCs w:val="20"/>
          <w:color w:val="auto"/>
        </w:rPr>
      </w:pPr>
      <w:r>
        <w:rPr>
          <w:rFonts w:ascii="Courier New" w:cs="Courier New" w:eastAsia="Courier New" w:hAnsi="Courier New"/>
          <w:sz w:val="15"/>
          <w:szCs w:val="15"/>
          <w:color w:val="auto"/>
        </w:rPr>
        <w:t>THE NETHERLANDS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(Addresses of principal executive</w:t>
      </w:r>
    </w:p>
    <w:p>
      <w:pPr>
        <w:ind w:left="540"/>
        <w:spacing w:after="0" w:line="237" w:lineRule="auto"/>
        <w:rPr>
          <w:sz w:val="20"/>
          <w:szCs w:val="20"/>
          <w:color w:val="auto"/>
        </w:rPr>
      </w:pPr>
      <w:r>
        <w:rPr>
          <w:rFonts w:ascii="Courier New" w:cs="Courier New" w:eastAsia="Courier New" w:hAnsi="Courier New"/>
          <w:sz w:val="15"/>
          <w:szCs w:val="15"/>
          <w:color w:val="auto"/>
        </w:rPr>
        <w:t>offices)</w:t>
      </w:r>
    </w:p>
    <w:p>
      <w:pPr>
        <w:spacing w:after="0" w:line="20" w:lineRule="exact"/>
        <w:rPr>
          <w:sz w:val="24"/>
          <w:szCs w:val="24"/>
          <w:color w:val="auto"/>
        </w:rPr>
      </w:pPr>
      <w:r>
        <w:rPr>
          <w:sz w:val="24"/>
          <w:szCs w:val="24"/>
          <w:color w:val="auto"/>
        </w:rPr>
        <w:br w:type="column"/>
      </w:r>
    </w:p>
    <w:p>
      <w:pPr>
        <w:spacing w:after="0" w:line="317" w:lineRule="exact"/>
        <w:rPr>
          <w:sz w:val="24"/>
          <w:szCs w:val="24"/>
          <w:color w:val="auto"/>
        </w:rPr>
      </w:pPr>
    </w:p>
    <w:p>
      <w:pPr>
        <w:ind w:left="1040"/>
        <w:spacing w:after="0"/>
        <w:rPr>
          <w:sz w:val="20"/>
          <w:szCs w:val="20"/>
          <w:color w:val="auto"/>
        </w:rPr>
      </w:pPr>
      <w:r>
        <w:rPr>
          <w:rFonts w:ascii="Courier New" w:cs="Courier New" w:eastAsia="Courier New" w:hAnsi="Courier New"/>
          <w:sz w:val="15"/>
          <w:szCs w:val="15"/>
          <w:color w:val="auto"/>
        </w:rPr>
        <w:t>2514 JG</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ind w:left="680"/>
        <w:spacing w:after="0"/>
        <w:rPr>
          <w:sz w:val="20"/>
          <w:szCs w:val="20"/>
          <w:color w:val="auto"/>
        </w:rPr>
      </w:pPr>
      <w:r>
        <w:rPr>
          <w:rFonts w:ascii="Courier New" w:cs="Courier New" w:eastAsia="Courier New" w:hAnsi="Courier New"/>
          <w:sz w:val="15"/>
          <w:szCs w:val="15"/>
          <w:color w:val="auto"/>
        </w:rPr>
        <w:t>Zip Codes)</w:t>
      </w:r>
    </w:p>
    <w:p>
      <w:pPr>
        <w:spacing w:after="0" w:line="367" w:lineRule="exact"/>
        <w:rPr>
          <w:sz w:val="24"/>
          <w:szCs w:val="24"/>
          <w:color w:val="auto"/>
        </w:rPr>
      </w:pPr>
    </w:p>
    <w:p>
      <w:pPr>
        <w:sectPr>
          <w:pgSz w:w="11900" w:h="16838" w:orient="portrait"/>
          <w:cols w:equalWidth="0" w:num="2">
            <w:col w:w="4460" w:space="720"/>
            <w:col w:w="5059"/>
          </w:cols>
          <w:pgMar w:left="220" w:top="561" w:right="1440" w:bottom="1440" w:gutter="0" w:footer="0" w:header="0"/>
          <w:type w:val="continuous"/>
        </w:sectPr>
      </w:pPr>
    </w:p>
    <w:p>
      <w:pPr>
        <w:spacing w:after="0" w:line="30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Registrant's telephone number: (212) 350-9400</w:t>
      </w:r>
    </w:p>
    <w:p>
      <w:pPr>
        <w:spacing w:after="0" w:line="200" w:lineRule="exact"/>
        <w:rPr>
          <w:sz w:val="24"/>
          <w:szCs w:val="24"/>
          <w:color w:val="auto"/>
        </w:rPr>
      </w:pPr>
    </w:p>
    <w:p>
      <w:pPr>
        <w:spacing w:after="0" w:line="309" w:lineRule="exact"/>
        <w:rPr>
          <w:sz w:val="24"/>
          <w:szCs w:val="24"/>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Indicate by check mark whether Registrant (1) has filed all reports required to be filed by Section 13 or 15(d) of the Securities Exchange Act of 1934 during the preceding 12 months and (2) has been subject to such filing requirements for the past 90 days.</w:t>
      </w:r>
    </w:p>
    <w:p>
      <w:pPr>
        <w:sectPr>
          <w:pgSz w:w="11900" w:h="16838" w:orient="portrait"/>
          <w:cols w:equalWidth="0" w:num="1">
            <w:col w:w="10239"/>
          </w:cols>
          <w:pgMar w:left="220" w:top="561" w:right="1440" w:bottom="1440" w:gutter="0" w:footer="0" w:header="0"/>
          <w:type w:val="continuous"/>
        </w:sectPr>
      </w:pPr>
    </w:p>
    <w:p>
      <w:pPr>
        <w:spacing w:after="0" w:line="175" w:lineRule="exact"/>
        <w:rPr>
          <w:sz w:val="24"/>
          <w:szCs w:val="24"/>
          <w:color w:val="auto"/>
        </w:rPr>
      </w:pPr>
    </w:p>
    <w:p>
      <w:pPr>
        <w:ind w:left="106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jc w:val="center"/>
        <w:ind w:right="1820"/>
        <w:spacing w:after="0"/>
        <w:rPr>
          <w:sz w:val="20"/>
          <w:szCs w:val="20"/>
          <w:color w:val="auto"/>
        </w:rPr>
      </w:pPr>
      <w:r>
        <w:rPr>
          <w:rFonts w:ascii="Courier New" w:cs="Courier New" w:eastAsia="Courier New" w:hAnsi="Courier New"/>
          <w:sz w:val="15"/>
          <w:szCs w:val="15"/>
          <w:color w:val="auto"/>
        </w:rPr>
        <w:t>X</w:t>
      </w:r>
    </w:p>
    <w:p>
      <w:pPr>
        <w:spacing w:after="0" w:line="5" w:lineRule="exact"/>
        <w:rPr>
          <w:sz w:val="24"/>
          <w:szCs w:val="24"/>
          <w:color w:val="auto"/>
        </w:rPr>
      </w:pPr>
    </w:p>
    <w:p>
      <w:pPr>
        <w:jc w:val="center"/>
        <w:ind w:right="18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NO _____</w:t>
      </w:r>
    </w:p>
    <w:p>
      <w:pPr>
        <w:spacing w:after="0" w:line="368" w:lineRule="exact"/>
        <w:rPr>
          <w:sz w:val="24"/>
          <w:szCs w:val="24"/>
          <w:color w:val="auto"/>
        </w:rPr>
      </w:pPr>
    </w:p>
    <w:p>
      <w:pPr>
        <w:sectPr>
          <w:pgSz w:w="11900" w:h="16838" w:orient="portrait"/>
          <w:cols w:equalWidth="0" w:num="3">
            <w:col w:w="1320" w:space="80"/>
            <w:col w:w="2260" w:space="720"/>
            <w:col w:w="5859"/>
          </w:cols>
          <w:pgMar w:left="220" w:top="561" w:right="1440" w:bottom="1440" w:gutter="0" w:footer="0" w:header="0"/>
          <w:type w:val="continuous"/>
        </w:sectPr>
      </w:pPr>
    </w:p>
    <w:p>
      <w:pPr>
        <w:spacing w:after="0" w:line="314" w:lineRule="exact"/>
        <w:rPr>
          <w:sz w:val="24"/>
          <w:szCs w:val="24"/>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Indicate the number of shares outstanding of each of the issuer's classes of common stock, as of the latest practicable date.</w:t>
      </w:r>
    </w:p>
    <w:p>
      <w:pPr>
        <w:sectPr>
          <w:pgSz w:w="11900" w:h="16838" w:orient="portrait"/>
          <w:cols w:equalWidth="0" w:num="1">
            <w:col w:w="10239"/>
          </w:cols>
          <w:pgMar w:left="220" w:top="561" w:right="1440" w:bottom="1440" w:gutter="0" w:footer="0" w:header="0"/>
          <w:type w:val="continuous"/>
        </w:sectPr>
      </w:pPr>
    </w:p>
    <w:p>
      <w:pPr>
        <w:spacing w:after="0" w:line="167" w:lineRule="exact"/>
        <w:rPr>
          <w:sz w:val="24"/>
          <w:szCs w:val="24"/>
          <w:color w:val="auto"/>
        </w:rPr>
      </w:pPr>
    </w:p>
    <w:p>
      <w:pPr>
        <w:ind w:left="1140"/>
        <w:spacing w:after="0"/>
        <w:rPr>
          <w:sz w:val="20"/>
          <w:szCs w:val="20"/>
          <w:color w:val="auto"/>
        </w:rPr>
      </w:pPr>
      <w:r>
        <w:rPr>
          <w:rFonts w:ascii="Courier New" w:cs="Courier New" w:eastAsia="Courier New" w:hAnsi="Courier New"/>
          <w:sz w:val="15"/>
          <w:szCs w:val="15"/>
          <w:color w:val="auto"/>
        </w:rPr>
        <w:t>Class</w:t>
      </w:r>
    </w:p>
    <w:p>
      <w:pPr>
        <w:spacing w:after="0" w:line="5" w:lineRule="exact"/>
        <w:rPr>
          <w:sz w:val="24"/>
          <w:szCs w:val="24"/>
          <w:color w:val="auto"/>
        </w:rPr>
      </w:pPr>
    </w:p>
    <w:p>
      <w:pPr>
        <w:ind w:left="5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Outstanding at September 30, 2001</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4"/>
          <w:szCs w:val="24"/>
          <w:color w:val="auto"/>
        </w:rPr>
      </w:pPr>
    </w:p>
    <w:p>
      <w:pPr>
        <w:sectPr>
          <w:pgSz w:w="11900" w:h="16838" w:orient="portrait"/>
          <w:cols w:equalWidth="0" w:num="2">
            <w:col w:w="3140" w:space="720"/>
            <w:col w:w="6379"/>
          </w:cols>
          <w:pgMar w:left="220" w:top="56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COMMON STOCK, $0.01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575,720,064</w:t>
      </w:r>
    </w:p>
    <w:p>
      <w:pPr>
        <w:sectPr>
          <w:pgSz w:w="11900" w:h="16838" w:orient="portrait"/>
          <w:cols w:equalWidth="0" w:num="2">
            <w:col w:w="4100" w:space="720"/>
            <w:col w:w="5419"/>
          </w:cols>
          <w:pgMar w:left="220" w:top="561" w:right="1440" w:bottom="1440" w:gutter="0" w:footer="0" w:header="0"/>
          <w:type w:val="continuous"/>
        </w:sectPr>
      </w:pPr>
    </w:p>
    <w:bookmarkStart w:id="1" w:name="page2"/>
    <w:bookmarkEnd w:id="1"/>
    <w:p>
      <w:pPr>
        <w:ind w:left="2280"/>
        <w:spacing w:after="0"/>
        <w:rPr>
          <w:sz w:val="20"/>
          <w:szCs w:val="20"/>
          <w:color w:val="auto"/>
        </w:rPr>
      </w:pPr>
      <w:r>
        <w:rPr>
          <w:rFonts w:ascii="Courier New" w:cs="Courier New" w:eastAsia="Courier New" w:hAnsi="Courier New"/>
          <w:sz w:val="15"/>
          <w:szCs w:val="15"/>
          <w:color w:val="auto"/>
        </w:rPr>
        <w:t>PART I. FINANCIAL INFORMATION</w:t>
      </w:r>
    </w:p>
    <w:p>
      <w:pPr>
        <w:ind w:left="22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Financial Statements</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SCHLUMBERGER LIMITED</w:t>
      </w:r>
    </w:p>
    <w:p>
      <w:pPr>
        <w:ind w:left="2640"/>
        <w:spacing w:after="0" w:line="237" w:lineRule="auto"/>
        <w:rPr>
          <w:sz w:val="20"/>
          <w:szCs w:val="20"/>
          <w:color w:val="auto"/>
        </w:rPr>
      </w:pPr>
      <w:r>
        <w:rPr>
          <w:rFonts w:ascii="Courier New" w:cs="Courier New" w:eastAsia="Courier New" w:hAnsi="Courier New"/>
          <w:sz w:val="15"/>
          <w:szCs w:val="15"/>
          <w:color w:val="auto"/>
        </w:rPr>
        <w:t>--------------------</w:t>
      </w:r>
    </w:p>
    <w:p>
      <w:pPr>
        <w:jc w:val="center"/>
        <w:ind w:right="3139"/>
        <w:spacing w:after="0" w:line="238" w:lineRule="auto"/>
        <w:rPr>
          <w:sz w:val="20"/>
          <w:szCs w:val="20"/>
          <w:color w:val="auto"/>
        </w:rPr>
      </w:pPr>
      <w:r>
        <w:rPr>
          <w:rFonts w:ascii="Courier New" w:cs="Courier New" w:eastAsia="Courier New" w:hAnsi="Courier New"/>
          <w:sz w:val="15"/>
          <w:szCs w:val="15"/>
          <w:color w:val="auto"/>
        </w:rPr>
        <w:t>(Schlumberger N.V., Incorporated in the Netherlands Antilles)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and Subsidiary Companies</w:t>
      </w:r>
    </w:p>
    <w:p>
      <w:pPr>
        <w:spacing w:after="0" w:line="167"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CONSOLIDATED STATEMENT OF INCOME</w:t>
      </w:r>
    </w:p>
    <w:p>
      <w:pPr>
        <w:ind w:left="2100"/>
        <w:spacing w:after="0" w:line="237" w:lineRule="auto"/>
        <w:rPr>
          <w:sz w:val="20"/>
          <w:szCs w:val="20"/>
          <w:color w:val="auto"/>
        </w:rPr>
      </w:pPr>
      <w:r>
        <w:rPr>
          <w:rFonts w:ascii="Courier New" w:cs="Courier New" w:eastAsia="Courier New" w:hAnsi="Courier New"/>
          <w:sz w:val="15"/>
          <w:szCs w:val="15"/>
          <w:color w:val="auto"/>
        </w:rPr>
        <w:t>--------------------------------</w:t>
      </w:r>
    </w:p>
    <w:p>
      <w:pPr>
        <w:ind w:left="3080"/>
        <w:spacing w:after="0" w:line="238" w:lineRule="auto"/>
        <w:rPr>
          <w:sz w:val="20"/>
          <w:szCs w:val="20"/>
          <w:color w:val="auto"/>
        </w:rPr>
      </w:pPr>
      <w:r>
        <w:rPr>
          <w:rFonts w:ascii="Courier New" w:cs="Courier New" w:eastAsia="Courier New" w:hAnsi="Courier New"/>
          <w:sz w:val="15"/>
          <w:szCs w:val="15"/>
          <w:color w:val="auto"/>
        </w:rPr>
        <w:t>(Unaudited)</w:t>
      </w:r>
    </w:p>
    <w:tbl>
      <w:tblPr>
        <w:tblLayout w:type="fixed"/>
        <w:tblInd w:w="0" w:type="dxa"/>
        <w:tblCellMar>
          <w:top w:w="0" w:type="dxa"/>
          <w:left w:w="0" w:type="dxa"/>
          <w:bottom w:w="0" w:type="dxa"/>
          <w:right w:w="0" w:type="dxa"/>
        </w:tblCellMar>
      </w:tblPr>
      <w:tr>
        <w:trPr>
          <w:trHeight w:val="168"/>
        </w:trPr>
        <w:tc>
          <w:tcPr>
            <w:tcW w:w="6040" w:type="dxa"/>
            <w:vAlign w:val="bottom"/>
            <w:gridSpan w:val="5"/>
          </w:tcPr>
          <w:p>
            <w:pPr>
              <w:jc w:val="right"/>
              <w:ind w:right="447"/>
              <w:spacing w:after="0" w:line="168" w:lineRule="exact"/>
              <w:rPr>
                <w:sz w:val="20"/>
                <w:szCs w:val="20"/>
                <w:color w:val="auto"/>
              </w:rPr>
            </w:pPr>
            <w:r>
              <w:rPr>
                <w:rFonts w:ascii="Courier New" w:cs="Courier New" w:eastAsia="Courier New" w:hAnsi="Courier New"/>
                <w:sz w:val="15"/>
                <w:szCs w:val="15"/>
                <w:color w:val="auto"/>
              </w:rPr>
              <w:t>(Stated in thousands except per share amounts)</w:t>
            </w: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673"/>
        </w:trPr>
        <w:tc>
          <w:tcPr>
            <w:tcW w:w="2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80" w:type="dxa"/>
            <w:vAlign w:val="bottom"/>
            <w:gridSpan w:val="3"/>
          </w:tcPr>
          <w:p>
            <w:pPr>
              <w:jc w:val="right"/>
              <w:ind w:right="407"/>
              <w:spacing w:after="0"/>
              <w:rPr>
                <w:sz w:val="20"/>
                <w:szCs w:val="20"/>
                <w:color w:val="auto"/>
              </w:rPr>
            </w:pPr>
            <w:r>
              <w:rPr>
                <w:rFonts w:ascii="Courier New" w:cs="Courier New" w:eastAsia="Courier New" w:hAnsi="Courier New"/>
                <w:sz w:val="15"/>
                <w:szCs w:val="15"/>
                <w:color w:val="auto"/>
                <w:w w:val="97"/>
              </w:rPr>
              <w:t>Periods Ended September 30,</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2800" w:type="dxa"/>
            <w:vAlign w:val="bottom"/>
          </w:tcPr>
          <w:p>
            <w:pPr>
              <w:spacing w:after="0"/>
              <w:rPr>
                <w:sz w:val="14"/>
                <w:szCs w:val="14"/>
                <w:color w:val="auto"/>
              </w:rPr>
            </w:pPr>
          </w:p>
        </w:tc>
        <w:tc>
          <w:tcPr>
            <w:tcW w:w="6220" w:type="dxa"/>
            <w:vAlign w:val="bottom"/>
            <w:gridSpan w:val="8"/>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40" w:type="dxa"/>
            <w:vAlign w:val="bottom"/>
            <w:gridSpan w:val="3"/>
          </w:tcPr>
          <w:p>
            <w:pPr>
              <w:jc w:val="right"/>
              <w:ind w:right="967"/>
              <w:spacing w:after="0" w:line="168" w:lineRule="exact"/>
              <w:rPr>
                <w:sz w:val="20"/>
                <w:szCs w:val="20"/>
                <w:color w:val="auto"/>
              </w:rPr>
            </w:pPr>
            <w:r>
              <w:rPr>
                <w:rFonts w:ascii="Courier New" w:cs="Courier New" w:eastAsia="Courier New" w:hAnsi="Courier New"/>
                <w:sz w:val="15"/>
                <w:szCs w:val="15"/>
                <w:color w:val="auto"/>
              </w:rPr>
              <w:t>Third Quarter</w:t>
            </w:r>
          </w:p>
        </w:tc>
        <w:tc>
          <w:tcPr>
            <w:tcW w:w="360" w:type="dxa"/>
            <w:vAlign w:val="bottom"/>
          </w:tcPr>
          <w:p>
            <w:pPr>
              <w:spacing w:after="0"/>
              <w:rPr>
                <w:sz w:val="14"/>
                <w:szCs w:val="14"/>
                <w:color w:val="auto"/>
              </w:rPr>
            </w:pPr>
          </w:p>
        </w:tc>
        <w:tc>
          <w:tcPr>
            <w:tcW w:w="1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Nine Months</w:t>
            </w:r>
          </w:p>
        </w:tc>
        <w:tc>
          <w:tcPr>
            <w:tcW w:w="100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1760" w:type="dxa"/>
            <w:vAlign w:val="bottom"/>
            <w:gridSpan w:val="2"/>
          </w:tcPr>
          <w:p>
            <w:pPr>
              <w:ind w:left="280"/>
              <w:spacing w:after="0"/>
              <w:rPr>
                <w:sz w:val="20"/>
                <w:szCs w:val="20"/>
                <w:color w:val="auto"/>
              </w:rPr>
            </w:pPr>
            <w:r>
              <w:rPr>
                <w:rFonts w:ascii="Courier New" w:cs="Courier New" w:eastAsia="Courier New" w:hAnsi="Courier New"/>
                <w:sz w:val="10"/>
                <w:szCs w:val="10"/>
                <w:color w:val="auto"/>
                <w:w w:val="76"/>
              </w:rPr>
              <w:t>--------------------------------</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98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88"/>
              </w:rPr>
              <w:t>2001</w:t>
            </w:r>
          </w:p>
        </w:tc>
        <w:tc>
          <w:tcPr>
            <w:tcW w:w="220" w:type="dxa"/>
            <w:vAlign w:val="bottom"/>
          </w:tcPr>
          <w:p>
            <w:pPr>
              <w:spacing w:after="0"/>
              <w:rPr>
                <w:sz w:val="14"/>
                <w:szCs w:val="14"/>
                <w:color w:val="auto"/>
              </w:rPr>
            </w:pP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2000/(1)/</w:t>
            </w:r>
          </w:p>
        </w:tc>
        <w:tc>
          <w:tcPr>
            <w:tcW w:w="360" w:type="dxa"/>
            <w:vAlign w:val="bottom"/>
          </w:tcPr>
          <w:p>
            <w:pPr>
              <w:spacing w:after="0"/>
              <w:rPr>
                <w:sz w:val="14"/>
                <w:szCs w:val="14"/>
                <w:color w:val="auto"/>
              </w:rPr>
            </w:pPr>
          </w:p>
        </w:tc>
        <w:tc>
          <w:tcPr>
            <w:tcW w:w="126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2001</w:t>
            </w:r>
          </w:p>
        </w:tc>
        <w:tc>
          <w:tcPr>
            <w:tcW w:w="36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2000/(1)/</w:t>
            </w:r>
          </w:p>
        </w:tc>
      </w:tr>
      <w:tr>
        <w:trPr>
          <w:trHeight w:val="168"/>
        </w:trPr>
        <w:tc>
          <w:tcPr>
            <w:tcW w:w="2800" w:type="dxa"/>
            <w:vAlign w:val="bottom"/>
          </w:tcPr>
          <w:p>
            <w:pPr>
              <w:spacing w:after="0"/>
              <w:rPr>
                <w:sz w:val="14"/>
                <w:szCs w:val="14"/>
                <w:color w:val="auto"/>
              </w:rPr>
            </w:pPr>
          </w:p>
        </w:tc>
        <w:tc>
          <w:tcPr>
            <w:tcW w:w="17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w:t>
            </w:r>
          </w:p>
        </w:tc>
        <w:tc>
          <w:tcPr>
            <w:tcW w:w="8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3,624,404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2,447,272</w:t>
            </w: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10,168,437</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6,922,980</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&amp; other income</w:t>
            </w:r>
          </w:p>
        </w:tc>
        <w:tc>
          <w:tcPr>
            <w:tcW w:w="8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40,762</w:t>
            </w:r>
          </w:p>
        </w:tc>
        <w:tc>
          <w:tcPr>
            <w:tcW w:w="220" w:type="dxa"/>
            <w:vAlign w:val="bottom"/>
          </w:tcPr>
          <w:p>
            <w:pPr>
              <w:spacing w:after="0"/>
              <w:rPr>
                <w:sz w:val="14"/>
                <w:szCs w:val="14"/>
                <w:color w:val="auto"/>
              </w:rPr>
            </w:pP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89,683</w:t>
            </w:r>
          </w:p>
        </w:tc>
        <w:tc>
          <w:tcPr>
            <w:tcW w:w="36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190,179</w:t>
            </w:r>
          </w:p>
        </w:tc>
        <w:tc>
          <w:tcPr>
            <w:tcW w:w="3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249,334</w:t>
            </w:r>
          </w:p>
        </w:tc>
      </w:tr>
      <w:tr>
        <w:trPr>
          <w:trHeight w:val="168"/>
        </w:trPr>
        <w:tc>
          <w:tcPr>
            <w:tcW w:w="2800" w:type="dxa"/>
            <w:vAlign w:val="bottom"/>
          </w:tcPr>
          <w:p>
            <w:pPr>
              <w:spacing w:after="0"/>
              <w:rPr>
                <w:sz w:val="14"/>
                <w:szCs w:val="14"/>
                <w:color w:val="auto"/>
              </w:rPr>
            </w:pPr>
          </w:p>
        </w:tc>
        <w:tc>
          <w:tcPr>
            <w:tcW w:w="17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3,665,166</w:t>
            </w:r>
          </w:p>
        </w:tc>
        <w:tc>
          <w:tcPr>
            <w:tcW w:w="220" w:type="dxa"/>
            <w:vAlign w:val="bottom"/>
          </w:tcPr>
          <w:p>
            <w:pPr>
              <w:spacing w:after="0"/>
              <w:rPr>
                <w:sz w:val="14"/>
                <w:szCs w:val="14"/>
                <w:color w:val="auto"/>
              </w:rPr>
            </w:pP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2,536,955</w:t>
            </w:r>
          </w:p>
        </w:tc>
        <w:tc>
          <w:tcPr>
            <w:tcW w:w="36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10,358,616</w:t>
            </w:r>
          </w:p>
        </w:tc>
        <w:tc>
          <w:tcPr>
            <w:tcW w:w="3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7,172,314</w:t>
            </w:r>
          </w:p>
        </w:tc>
      </w:tr>
      <w:tr>
        <w:trPr>
          <w:trHeight w:val="168"/>
        </w:trPr>
        <w:tc>
          <w:tcPr>
            <w:tcW w:w="2800" w:type="dxa"/>
            <w:vAlign w:val="bottom"/>
          </w:tcPr>
          <w:p>
            <w:pPr>
              <w:spacing w:after="0"/>
              <w:rPr>
                <w:sz w:val="14"/>
                <w:szCs w:val="14"/>
                <w:color w:val="auto"/>
              </w:rPr>
            </w:pPr>
          </w:p>
        </w:tc>
        <w:tc>
          <w:tcPr>
            <w:tcW w:w="17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goods sold &amp; services</w:t>
            </w:r>
          </w:p>
        </w:tc>
        <w:tc>
          <w:tcPr>
            <w:tcW w:w="8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2,711,686</w:t>
            </w:r>
          </w:p>
        </w:tc>
        <w:tc>
          <w:tcPr>
            <w:tcW w:w="220" w:type="dxa"/>
            <w:vAlign w:val="bottom"/>
          </w:tcPr>
          <w:p>
            <w:pPr>
              <w:spacing w:after="0"/>
              <w:rPr>
                <w:sz w:val="14"/>
                <w:szCs w:val="14"/>
                <w:color w:val="auto"/>
              </w:rPr>
            </w:pP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1,891,290</w:t>
            </w:r>
          </w:p>
        </w:tc>
        <w:tc>
          <w:tcPr>
            <w:tcW w:w="36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7,978,970</w:t>
            </w:r>
          </w:p>
        </w:tc>
        <w:tc>
          <w:tcPr>
            <w:tcW w:w="3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5,381,315</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Research &amp; engineering</w:t>
            </w:r>
          </w:p>
        </w:tc>
        <w:tc>
          <w:tcPr>
            <w:tcW w:w="8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174,366</w:t>
            </w:r>
          </w:p>
        </w:tc>
        <w:tc>
          <w:tcPr>
            <w:tcW w:w="220" w:type="dxa"/>
            <w:vAlign w:val="bottom"/>
          </w:tcPr>
          <w:p>
            <w:pPr>
              <w:spacing w:after="0"/>
              <w:rPr>
                <w:sz w:val="14"/>
                <w:szCs w:val="14"/>
                <w:color w:val="auto"/>
              </w:rPr>
            </w:pP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134,278</w:t>
            </w:r>
          </w:p>
        </w:tc>
        <w:tc>
          <w:tcPr>
            <w:tcW w:w="36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518,171</w:t>
            </w:r>
          </w:p>
        </w:tc>
        <w:tc>
          <w:tcPr>
            <w:tcW w:w="3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396,060</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Marketing</w:t>
            </w:r>
          </w:p>
        </w:tc>
        <w:tc>
          <w:tcPr>
            <w:tcW w:w="8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120,277</w:t>
            </w:r>
          </w:p>
        </w:tc>
        <w:tc>
          <w:tcPr>
            <w:tcW w:w="220" w:type="dxa"/>
            <w:vAlign w:val="bottom"/>
          </w:tcPr>
          <w:p>
            <w:pPr>
              <w:spacing w:after="0"/>
              <w:rPr>
                <w:sz w:val="14"/>
                <w:szCs w:val="14"/>
                <w:color w:val="auto"/>
              </w:rPr>
            </w:pP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74,580</w:t>
            </w:r>
          </w:p>
        </w:tc>
        <w:tc>
          <w:tcPr>
            <w:tcW w:w="36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348,642</w:t>
            </w:r>
          </w:p>
        </w:tc>
        <w:tc>
          <w:tcPr>
            <w:tcW w:w="3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230,596</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General</w:t>
            </w:r>
          </w:p>
        </w:tc>
        <w:tc>
          <w:tcPr>
            <w:tcW w:w="8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189,836</w:t>
            </w:r>
          </w:p>
        </w:tc>
        <w:tc>
          <w:tcPr>
            <w:tcW w:w="220" w:type="dxa"/>
            <w:vAlign w:val="bottom"/>
          </w:tcPr>
          <w:p>
            <w:pPr>
              <w:spacing w:after="0"/>
              <w:rPr>
                <w:sz w:val="14"/>
                <w:szCs w:val="14"/>
                <w:color w:val="auto"/>
              </w:rPr>
            </w:pP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106,180</w:t>
            </w:r>
          </w:p>
        </w:tc>
        <w:tc>
          <w:tcPr>
            <w:tcW w:w="36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504,316</w:t>
            </w:r>
          </w:p>
        </w:tc>
        <w:tc>
          <w:tcPr>
            <w:tcW w:w="3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314,455</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w:t>
            </w:r>
          </w:p>
        </w:tc>
        <w:tc>
          <w:tcPr>
            <w:tcW w:w="8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102,319</w:t>
            </w:r>
          </w:p>
        </w:tc>
        <w:tc>
          <w:tcPr>
            <w:tcW w:w="220" w:type="dxa"/>
            <w:vAlign w:val="bottom"/>
          </w:tcPr>
          <w:p>
            <w:pPr>
              <w:spacing w:after="0"/>
              <w:rPr>
                <w:sz w:val="14"/>
                <w:szCs w:val="14"/>
                <w:color w:val="auto"/>
              </w:rPr>
            </w:pP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72,495</w:t>
            </w:r>
          </w:p>
        </w:tc>
        <w:tc>
          <w:tcPr>
            <w:tcW w:w="36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287,277</w:t>
            </w:r>
          </w:p>
        </w:tc>
        <w:tc>
          <w:tcPr>
            <w:tcW w:w="3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200,932</w:t>
            </w:r>
          </w:p>
        </w:tc>
      </w:tr>
      <w:tr>
        <w:trPr>
          <w:trHeight w:val="168"/>
        </w:trPr>
        <w:tc>
          <w:tcPr>
            <w:tcW w:w="2800" w:type="dxa"/>
            <w:vAlign w:val="bottom"/>
          </w:tcPr>
          <w:p>
            <w:pPr>
              <w:spacing w:after="0"/>
              <w:rPr>
                <w:sz w:val="14"/>
                <w:szCs w:val="14"/>
                <w:color w:val="auto"/>
              </w:rPr>
            </w:pPr>
          </w:p>
        </w:tc>
        <w:tc>
          <w:tcPr>
            <w:tcW w:w="17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3,298,484</w:t>
            </w:r>
          </w:p>
        </w:tc>
        <w:tc>
          <w:tcPr>
            <w:tcW w:w="220" w:type="dxa"/>
            <w:vAlign w:val="bottom"/>
          </w:tcPr>
          <w:p>
            <w:pPr>
              <w:spacing w:after="0"/>
              <w:rPr>
                <w:sz w:val="14"/>
                <w:szCs w:val="14"/>
                <w:color w:val="auto"/>
              </w:rPr>
            </w:pP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2,278,823</w:t>
            </w:r>
          </w:p>
        </w:tc>
        <w:tc>
          <w:tcPr>
            <w:tcW w:w="36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9,637,376</w:t>
            </w:r>
          </w:p>
        </w:tc>
        <w:tc>
          <w:tcPr>
            <w:tcW w:w="3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6,523,358</w:t>
            </w:r>
          </w:p>
        </w:tc>
      </w:tr>
      <w:tr>
        <w:trPr>
          <w:trHeight w:val="168"/>
        </w:trPr>
        <w:tc>
          <w:tcPr>
            <w:tcW w:w="2800" w:type="dxa"/>
            <w:vAlign w:val="bottom"/>
          </w:tcPr>
          <w:p>
            <w:pPr>
              <w:spacing w:after="0"/>
              <w:rPr>
                <w:sz w:val="14"/>
                <w:szCs w:val="14"/>
                <w:color w:val="auto"/>
              </w:rPr>
            </w:pPr>
          </w:p>
        </w:tc>
        <w:tc>
          <w:tcPr>
            <w:tcW w:w="17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taxes and</w:t>
            </w: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8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minority interest</w:t>
            </w:r>
          </w:p>
        </w:tc>
        <w:tc>
          <w:tcPr>
            <w:tcW w:w="8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366,682</w:t>
            </w:r>
          </w:p>
        </w:tc>
        <w:tc>
          <w:tcPr>
            <w:tcW w:w="220" w:type="dxa"/>
            <w:vAlign w:val="bottom"/>
          </w:tcPr>
          <w:p>
            <w:pPr>
              <w:spacing w:after="0"/>
              <w:rPr>
                <w:sz w:val="14"/>
                <w:szCs w:val="14"/>
                <w:color w:val="auto"/>
              </w:rPr>
            </w:pP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258,132</w:t>
            </w:r>
          </w:p>
        </w:tc>
        <w:tc>
          <w:tcPr>
            <w:tcW w:w="36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721,240</w:t>
            </w:r>
          </w:p>
        </w:tc>
        <w:tc>
          <w:tcPr>
            <w:tcW w:w="3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648,956</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Taxes on income</w:t>
            </w:r>
          </w:p>
        </w:tc>
        <w:tc>
          <w:tcPr>
            <w:tcW w:w="80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157,358</w:t>
            </w:r>
          </w:p>
        </w:tc>
        <w:tc>
          <w:tcPr>
            <w:tcW w:w="220" w:type="dxa"/>
            <w:vAlign w:val="bottom"/>
          </w:tcPr>
          <w:p>
            <w:pPr>
              <w:spacing w:after="0"/>
              <w:rPr>
                <w:sz w:val="24"/>
                <w:szCs w:val="24"/>
                <w:color w:val="auto"/>
              </w:rPr>
            </w:pPr>
          </w:p>
        </w:tc>
        <w:tc>
          <w:tcPr>
            <w:tcW w:w="1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51,974</w:t>
            </w:r>
          </w:p>
        </w:tc>
        <w:tc>
          <w:tcPr>
            <w:tcW w:w="360" w:type="dxa"/>
            <w:vAlign w:val="bottom"/>
          </w:tcPr>
          <w:p>
            <w:pPr>
              <w:spacing w:after="0"/>
              <w:rPr>
                <w:sz w:val="24"/>
                <w:szCs w:val="24"/>
                <w:color w:val="auto"/>
              </w:rPr>
            </w:pP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356,388</w:t>
            </w:r>
          </w:p>
        </w:tc>
        <w:tc>
          <w:tcPr>
            <w:tcW w:w="360" w:type="dxa"/>
            <w:vAlign w:val="bottom"/>
          </w:tcPr>
          <w:p>
            <w:pPr>
              <w:spacing w:after="0"/>
              <w:rPr>
                <w:sz w:val="24"/>
                <w:szCs w:val="2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145,588</w:t>
            </w:r>
          </w:p>
        </w:tc>
      </w:tr>
      <w:tr>
        <w:trPr>
          <w:trHeight w:val="168"/>
        </w:trPr>
        <w:tc>
          <w:tcPr>
            <w:tcW w:w="2800" w:type="dxa"/>
            <w:vAlign w:val="bottom"/>
          </w:tcPr>
          <w:p>
            <w:pPr>
              <w:spacing w:after="0"/>
              <w:rPr>
                <w:sz w:val="14"/>
                <w:szCs w:val="14"/>
                <w:color w:val="auto"/>
              </w:rPr>
            </w:pPr>
          </w:p>
        </w:tc>
        <w:tc>
          <w:tcPr>
            <w:tcW w:w="17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minority</w:t>
            </w: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8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w:t>
            </w:r>
          </w:p>
        </w:tc>
        <w:tc>
          <w:tcPr>
            <w:tcW w:w="8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209,324</w:t>
            </w:r>
          </w:p>
        </w:tc>
        <w:tc>
          <w:tcPr>
            <w:tcW w:w="220" w:type="dxa"/>
            <w:vAlign w:val="bottom"/>
          </w:tcPr>
          <w:p>
            <w:pPr>
              <w:spacing w:after="0"/>
              <w:rPr>
                <w:sz w:val="14"/>
                <w:szCs w:val="14"/>
                <w:color w:val="auto"/>
              </w:rPr>
            </w:pP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206,158</w:t>
            </w:r>
          </w:p>
        </w:tc>
        <w:tc>
          <w:tcPr>
            <w:tcW w:w="36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364,852</w:t>
            </w:r>
          </w:p>
        </w:tc>
        <w:tc>
          <w:tcPr>
            <w:tcW w:w="3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503,368</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80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(14,676)</w:t>
            </w:r>
          </w:p>
        </w:tc>
        <w:tc>
          <w:tcPr>
            <w:tcW w:w="220" w:type="dxa"/>
            <w:vAlign w:val="bottom"/>
          </w:tcPr>
          <w:p>
            <w:pPr>
              <w:spacing w:after="0"/>
              <w:rPr>
                <w:sz w:val="24"/>
                <w:szCs w:val="24"/>
                <w:color w:val="auto"/>
              </w:rPr>
            </w:pP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(1,560)</w:t>
            </w:r>
          </w:p>
        </w:tc>
        <w:tc>
          <w:tcPr>
            <w:tcW w:w="360" w:type="dxa"/>
            <w:vAlign w:val="bottom"/>
          </w:tcPr>
          <w:p>
            <w:pPr>
              <w:spacing w:after="0"/>
              <w:rPr>
                <w:sz w:val="24"/>
                <w:szCs w:val="24"/>
                <w:color w:val="auto"/>
              </w:rPr>
            </w:pPr>
          </w:p>
        </w:tc>
        <w:tc>
          <w:tcPr>
            <w:tcW w:w="1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(27,601)</w:t>
            </w:r>
          </w:p>
        </w:tc>
        <w:tc>
          <w:tcPr>
            <w:tcW w:w="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(6,689)</w:t>
            </w:r>
          </w:p>
        </w:tc>
      </w:tr>
      <w:tr>
        <w:trPr>
          <w:trHeight w:val="168"/>
        </w:trPr>
        <w:tc>
          <w:tcPr>
            <w:tcW w:w="2800" w:type="dxa"/>
            <w:vAlign w:val="bottom"/>
          </w:tcPr>
          <w:p>
            <w:pPr>
              <w:spacing w:after="0"/>
              <w:rPr>
                <w:sz w:val="14"/>
                <w:szCs w:val="14"/>
                <w:color w:val="auto"/>
              </w:rPr>
            </w:pPr>
          </w:p>
        </w:tc>
        <w:tc>
          <w:tcPr>
            <w:tcW w:w="17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8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194,648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204,598</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337,251</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496,679</w:t>
            </w:r>
          </w:p>
        </w:tc>
      </w:tr>
      <w:tr>
        <w:trPr>
          <w:trHeight w:val="168"/>
        </w:trPr>
        <w:tc>
          <w:tcPr>
            <w:tcW w:w="2800" w:type="dxa"/>
            <w:vAlign w:val="bottom"/>
          </w:tcPr>
          <w:p>
            <w:pPr>
              <w:spacing w:after="0"/>
              <w:rPr>
                <w:sz w:val="14"/>
                <w:szCs w:val="14"/>
                <w:color w:val="auto"/>
              </w:rPr>
            </w:pPr>
          </w:p>
        </w:tc>
        <w:tc>
          <w:tcPr>
            <w:tcW w:w="17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8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0.34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0.36</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0.59</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0.87</w:t>
            </w:r>
          </w:p>
        </w:tc>
      </w:tr>
      <w:tr>
        <w:trPr>
          <w:trHeight w:val="168"/>
        </w:trPr>
        <w:tc>
          <w:tcPr>
            <w:tcW w:w="2800" w:type="dxa"/>
            <w:vAlign w:val="bottom"/>
          </w:tcPr>
          <w:p>
            <w:pPr>
              <w:spacing w:after="0"/>
              <w:rPr>
                <w:sz w:val="14"/>
                <w:szCs w:val="14"/>
                <w:color w:val="auto"/>
              </w:rPr>
            </w:pPr>
          </w:p>
        </w:tc>
        <w:tc>
          <w:tcPr>
            <w:tcW w:w="17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8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0.34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0.35</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0.59</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0.86</w:t>
            </w:r>
          </w:p>
        </w:tc>
      </w:tr>
      <w:tr>
        <w:trPr>
          <w:trHeight w:val="168"/>
        </w:trPr>
        <w:tc>
          <w:tcPr>
            <w:tcW w:w="2800" w:type="dxa"/>
            <w:vAlign w:val="bottom"/>
          </w:tcPr>
          <w:p>
            <w:pPr>
              <w:spacing w:after="0"/>
              <w:rPr>
                <w:sz w:val="14"/>
                <w:szCs w:val="14"/>
                <w:color w:val="auto"/>
              </w:rPr>
            </w:pPr>
          </w:p>
        </w:tc>
        <w:tc>
          <w:tcPr>
            <w:tcW w:w="17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Average shares outstanding</w:t>
            </w:r>
          </w:p>
        </w:tc>
        <w:tc>
          <w:tcPr>
            <w:tcW w:w="80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575,019</w:t>
            </w:r>
          </w:p>
        </w:tc>
        <w:tc>
          <w:tcPr>
            <w:tcW w:w="220" w:type="dxa"/>
            <w:vAlign w:val="bottom"/>
          </w:tcPr>
          <w:p>
            <w:pPr>
              <w:spacing w:after="0"/>
              <w:rPr>
                <w:sz w:val="24"/>
                <w:szCs w:val="24"/>
                <w:color w:val="auto"/>
              </w:rPr>
            </w:pPr>
          </w:p>
        </w:tc>
        <w:tc>
          <w:tcPr>
            <w:tcW w:w="1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571,351</w:t>
            </w:r>
          </w:p>
        </w:tc>
        <w:tc>
          <w:tcPr>
            <w:tcW w:w="360" w:type="dxa"/>
            <w:vAlign w:val="bottom"/>
          </w:tcPr>
          <w:p>
            <w:pPr>
              <w:spacing w:after="0"/>
              <w:rPr>
                <w:sz w:val="24"/>
                <w:szCs w:val="24"/>
                <w:color w:val="auto"/>
              </w:rPr>
            </w:pP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573,843</w:t>
            </w:r>
          </w:p>
        </w:tc>
        <w:tc>
          <w:tcPr>
            <w:tcW w:w="360" w:type="dxa"/>
            <w:vAlign w:val="bottom"/>
          </w:tcPr>
          <w:p>
            <w:pPr>
              <w:spacing w:after="0"/>
              <w:rPr>
                <w:sz w:val="24"/>
                <w:szCs w:val="2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569,177</w:t>
            </w:r>
          </w:p>
        </w:tc>
      </w:tr>
      <w:tr>
        <w:trPr>
          <w:trHeight w:val="168"/>
        </w:trPr>
        <w:tc>
          <w:tcPr>
            <w:tcW w:w="2800" w:type="dxa"/>
            <w:vAlign w:val="bottom"/>
          </w:tcPr>
          <w:p>
            <w:pPr>
              <w:spacing w:after="0"/>
              <w:rPr>
                <w:sz w:val="14"/>
                <w:szCs w:val="14"/>
                <w:color w:val="auto"/>
              </w:rPr>
            </w:pPr>
          </w:p>
        </w:tc>
        <w:tc>
          <w:tcPr>
            <w:tcW w:w="17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Average shares outstanding</w:t>
            </w: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2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assuming dilution</w:t>
            </w:r>
          </w:p>
        </w:tc>
        <w:tc>
          <w:tcPr>
            <w:tcW w:w="8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579,472</w:t>
            </w:r>
          </w:p>
        </w:tc>
        <w:tc>
          <w:tcPr>
            <w:tcW w:w="220" w:type="dxa"/>
            <w:vAlign w:val="bottom"/>
          </w:tcPr>
          <w:p>
            <w:pPr>
              <w:spacing w:after="0"/>
              <w:rPr>
                <w:sz w:val="14"/>
                <w:szCs w:val="14"/>
                <w:color w:val="auto"/>
              </w:rPr>
            </w:pP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581,737</w:t>
            </w:r>
          </w:p>
        </w:tc>
        <w:tc>
          <w:tcPr>
            <w:tcW w:w="36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580,307</w:t>
            </w:r>
          </w:p>
        </w:tc>
        <w:tc>
          <w:tcPr>
            <w:tcW w:w="3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579,328</w:t>
            </w:r>
          </w:p>
        </w:tc>
      </w:tr>
      <w:tr>
        <w:trPr>
          <w:trHeight w:val="168"/>
        </w:trPr>
        <w:tc>
          <w:tcPr>
            <w:tcW w:w="2800" w:type="dxa"/>
            <w:vAlign w:val="bottom"/>
          </w:tcPr>
          <w:p>
            <w:pPr>
              <w:spacing w:after="0"/>
              <w:rPr>
                <w:sz w:val="14"/>
                <w:szCs w:val="14"/>
                <w:color w:val="auto"/>
              </w:rPr>
            </w:pPr>
          </w:p>
        </w:tc>
        <w:tc>
          <w:tcPr>
            <w:tcW w:w="17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2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included in expenses/(2)/</w:t>
            </w:r>
          </w:p>
        </w:tc>
        <w:tc>
          <w:tcPr>
            <w:tcW w:w="8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464,468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295,260</w:t>
            </w: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1,368,308</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919,153</w:t>
            </w:r>
          </w:p>
        </w:tc>
      </w:tr>
      <w:tr>
        <w:trPr>
          <w:trHeight w:val="168"/>
        </w:trPr>
        <w:tc>
          <w:tcPr>
            <w:tcW w:w="2800" w:type="dxa"/>
            <w:vAlign w:val="bottom"/>
          </w:tcPr>
          <w:p>
            <w:pPr>
              <w:spacing w:after="0"/>
              <w:rPr>
                <w:sz w:val="14"/>
                <w:szCs w:val="14"/>
                <w:color w:val="auto"/>
              </w:rPr>
            </w:pPr>
          </w:p>
        </w:tc>
        <w:tc>
          <w:tcPr>
            <w:tcW w:w="17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Dividends declared per share</w:t>
            </w:r>
          </w:p>
        </w:tc>
        <w:tc>
          <w:tcPr>
            <w:tcW w:w="8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0.1875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0.1875</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0.5625</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0.5625</w:t>
            </w:r>
          </w:p>
        </w:tc>
      </w:tr>
      <w:tr>
        <w:trPr>
          <w:trHeight w:val="168"/>
        </w:trPr>
        <w:tc>
          <w:tcPr>
            <w:tcW w:w="2800" w:type="dxa"/>
            <w:vAlign w:val="bottom"/>
          </w:tcPr>
          <w:p>
            <w:pPr>
              <w:spacing w:after="0"/>
              <w:rPr>
                <w:sz w:val="14"/>
                <w:szCs w:val="14"/>
                <w:color w:val="auto"/>
              </w:rPr>
            </w:pPr>
          </w:p>
        </w:tc>
        <w:tc>
          <w:tcPr>
            <w:tcW w:w="17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360" w:hanging="350"/>
        <w:spacing w:after="0"/>
        <w:tabs>
          <w:tab w:leader="none" w:pos="36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Reclassified, in part, for comparative purposes.</w:t>
      </w:r>
    </w:p>
    <w:p>
      <w:pPr>
        <w:spacing w:after="0" w:line="166"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Including multiclient seismic data costs.</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17" w:right="1440" w:bottom="1440" w:gutter="0" w:footer="0" w:header="0"/>
        </w:sectPr>
      </w:pPr>
    </w:p>
    <w:bookmarkStart w:id="2" w:name="page3"/>
    <w:bookmarkEnd w:id="2"/>
    <w:p>
      <w:pPr>
        <w:ind w:left="2640"/>
        <w:spacing w:after="0"/>
        <w:rPr>
          <w:sz w:val="20"/>
          <w:szCs w:val="20"/>
          <w:color w:val="auto"/>
        </w:rPr>
      </w:pPr>
      <w:r>
        <w:rPr>
          <w:rFonts w:ascii="Courier New" w:cs="Courier New" w:eastAsia="Courier New" w:hAnsi="Courier New"/>
          <w:sz w:val="15"/>
          <w:szCs w:val="15"/>
          <w:color w:val="auto"/>
        </w:rPr>
        <w:t>SCHLUMBERGER LIMITED</w:t>
      </w:r>
    </w:p>
    <w:p>
      <w:pPr>
        <w:ind w:left="2640"/>
        <w:spacing w:after="0" w:line="237" w:lineRule="auto"/>
        <w:rPr>
          <w:sz w:val="20"/>
          <w:szCs w:val="20"/>
          <w:color w:val="auto"/>
        </w:rPr>
      </w:pPr>
      <w:r>
        <w:rPr>
          <w:rFonts w:ascii="Courier New" w:cs="Courier New" w:eastAsia="Courier New" w:hAnsi="Courier New"/>
          <w:sz w:val="15"/>
          <w:szCs w:val="15"/>
          <w:color w:val="auto"/>
        </w:rPr>
        <w:t>--------------------</w:t>
      </w:r>
    </w:p>
    <w:p>
      <w:pPr>
        <w:ind w:left="880"/>
        <w:spacing w:after="0" w:line="238" w:lineRule="auto"/>
        <w:rPr>
          <w:sz w:val="20"/>
          <w:szCs w:val="20"/>
          <w:color w:val="auto"/>
        </w:rPr>
      </w:pPr>
      <w:r>
        <w:rPr>
          <w:rFonts w:ascii="Courier New" w:cs="Courier New" w:eastAsia="Courier New" w:hAnsi="Courier New"/>
          <w:sz w:val="15"/>
          <w:szCs w:val="15"/>
          <w:color w:val="auto"/>
        </w:rPr>
        <w:t>(Schlumberger N.V., Incorporated in the Netherlands Antilles)</w:t>
      </w:r>
    </w:p>
    <w:tbl>
      <w:tblPr>
        <w:tblLayout w:type="fixed"/>
        <w:tblInd w:w="0" w:type="dxa"/>
        <w:tblCellMar>
          <w:top w:w="0" w:type="dxa"/>
          <w:left w:w="0" w:type="dxa"/>
          <w:bottom w:w="0" w:type="dxa"/>
          <w:right w:w="0" w:type="dxa"/>
        </w:tblCellMar>
      </w:tblPr>
      <w:tr>
        <w:trPr>
          <w:trHeight w:val="168"/>
        </w:trPr>
        <w:tc>
          <w:tcPr>
            <w:tcW w:w="46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and Subsidiary Companies</w:t>
            </w: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6"/>
        </w:trPr>
        <w:tc>
          <w:tcPr>
            <w:tcW w:w="4640" w:type="dxa"/>
            <w:vAlign w:val="bottom"/>
            <w:gridSpan w:val="2"/>
          </w:tcPr>
          <w:p>
            <w:pPr>
              <w:ind w:left="2380"/>
              <w:spacing w:after="0"/>
              <w:rPr>
                <w:sz w:val="20"/>
                <w:szCs w:val="20"/>
                <w:color w:val="auto"/>
              </w:rPr>
            </w:pPr>
            <w:r>
              <w:rPr>
                <w:rFonts w:ascii="Courier New" w:cs="Courier New" w:eastAsia="Courier New" w:hAnsi="Courier New"/>
                <w:sz w:val="15"/>
                <w:szCs w:val="15"/>
                <w:color w:val="auto"/>
                <w:w w:val="95"/>
              </w:rPr>
              <w:t>CONSOLIDATED BALANCE SHEET</w:t>
            </w: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4640" w:type="dxa"/>
            <w:vAlign w:val="bottom"/>
            <w:gridSpan w:val="2"/>
          </w:tcPr>
          <w:p>
            <w:pPr>
              <w:ind w:left="2380"/>
              <w:spacing w:after="0" w:line="168" w:lineRule="exact"/>
              <w:rPr>
                <w:sz w:val="20"/>
                <w:szCs w:val="20"/>
                <w:color w:val="auto"/>
              </w:rPr>
            </w:pPr>
            <w:r>
              <w:rPr>
                <w:rFonts w:ascii="Courier New" w:cs="Courier New" w:eastAsia="Courier New" w:hAnsi="Courier New"/>
                <w:sz w:val="15"/>
                <w:szCs w:val="15"/>
                <w:color w:val="auto"/>
                <w:w w:val="95"/>
              </w:rPr>
              <w:t>--------------------------</w:t>
            </w: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340" w:type="dxa"/>
            <w:vAlign w:val="bottom"/>
          </w:tcPr>
          <w:p>
            <w:pPr>
              <w:ind w:left="3080"/>
              <w:spacing w:after="0" w:line="168" w:lineRule="exact"/>
              <w:rPr>
                <w:sz w:val="20"/>
                <w:szCs w:val="20"/>
                <w:color w:val="auto"/>
              </w:rPr>
            </w:pPr>
            <w:r>
              <w:rPr>
                <w:rFonts w:ascii="Courier New" w:cs="Courier New" w:eastAsia="Courier New" w:hAnsi="Courier New"/>
                <w:sz w:val="15"/>
                <w:szCs w:val="15"/>
                <w:color w:val="auto"/>
              </w:rPr>
              <w:t>(Unaudited)</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6"/>
        </w:trPr>
        <w:tc>
          <w:tcPr>
            <w:tcW w:w="4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(Dollars in thousands)</w:t>
            </w:r>
          </w:p>
        </w:tc>
      </w:tr>
      <w:tr>
        <w:trPr>
          <w:trHeight w:val="168"/>
        </w:trPr>
        <w:tc>
          <w:tcPr>
            <w:tcW w:w="4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Sept. 30,</w:t>
            </w:r>
          </w:p>
        </w:tc>
        <w:tc>
          <w:tcPr>
            <w:tcW w:w="26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Dec. 31,</w:t>
            </w:r>
          </w:p>
        </w:tc>
      </w:tr>
      <w:tr>
        <w:trPr>
          <w:trHeight w:val="168"/>
        </w:trPr>
        <w:tc>
          <w:tcPr>
            <w:tcW w:w="4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2001</w:t>
            </w:r>
          </w:p>
        </w:tc>
        <w:tc>
          <w:tcPr>
            <w:tcW w:w="26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2000/(1)/</w:t>
            </w:r>
          </w:p>
        </w:tc>
      </w:tr>
      <w:tr>
        <w:trPr>
          <w:trHeight w:val="168"/>
        </w:trPr>
        <w:tc>
          <w:tcPr>
            <w:tcW w:w="434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short-term investments</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1,483,742</w:t>
            </w:r>
          </w:p>
        </w:tc>
        <w:tc>
          <w:tcPr>
            <w:tcW w:w="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3,040,150</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Receivables less allowance for doubtful accounts</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(2001 - $148,479; 2000 - $106,503)</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4,493,966</w:t>
            </w:r>
          </w:p>
        </w:tc>
        <w:tc>
          <w:tcPr>
            <w:tcW w:w="2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2,768,848</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Inventories</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1,393,308</w:t>
            </w:r>
          </w:p>
        </w:tc>
        <w:tc>
          <w:tcPr>
            <w:tcW w:w="2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1,111,585</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taxes on income</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379,957</w:t>
            </w:r>
          </w:p>
        </w:tc>
        <w:tc>
          <w:tcPr>
            <w:tcW w:w="2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259,184</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595,919</w:t>
            </w:r>
          </w:p>
        </w:tc>
        <w:tc>
          <w:tcPr>
            <w:tcW w:w="2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313,444</w:t>
            </w:r>
          </w:p>
        </w:tc>
      </w:tr>
      <w:tr>
        <w:trPr>
          <w:trHeight w:val="168"/>
        </w:trPr>
        <w:tc>
          <w:tcPr>
            <w:tcW w:w="434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8,346,892</w:t>
            </w:r>
          </w:p>
        </w:tc>
        <w:tc>
          <w:tcPr>
            <w:tcW w:w="2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7,493,211</w:t>
            </w:r>
          </w:p>
        </w:tc>
      </w:tr>
      <w:tr>
        <w:trPr>
          <w:trHeight w:val="168"/>
        </w:trPr>
        <w:tc>
          <w:tcPr>
            <w:tcW w:w="434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LONG-TERM INVESTMENTS, HELD TO MATURITY</w:t>
            </w:r>
          </w:p>
        </w:tc>
        <w:tc>
          <w:tcPr>
            <w:tcW w:w="30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617,000</w:t>
            </w:r>
          </w:p>
        </w:tc>
        <w:tc>
          <w:tcPr>
            <w:tcW w:w="260" w:type="dxa"/>
            <w:vAlign w:val="bottom"/>
          </w:tcPr>
          <w:p>
            <w:pPr>
              <w:spacing w:after="0"/>
              <w:rPr>
                <w:sz w:val="24"/>
                <w:szCs w:val="2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1,547,132</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INVESTMENTS IN AFFILIATED COMPANIES</w:t>
            </w:r>
          </w:p>
        </w:tc>
        <w:tc>
          <w:tcPr>
            <w:tcW w:w="30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746,160</w:t>
            </w:r>
          </w:p>
        </w:tc>
        <w:tc>
          <w:tcPr>
            <w:tcW w:w="260" w:type="dxa"/>
            <w:vAlign w:val="bottom"/>
          </w:tcPr>
          <w:p>
            <w:pPr>
              <w:spacing w:after="0"/>
              <w:rPr>
                <w:sz w:val="24"/>
                <w:szCs w:val="2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654,516</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FIXED ASSETS:</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plant and equipment</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11,506,074</w:t>
            </w:r>
          </w:p>
        </w:tc>
        <w:tc>
          <w:tcPr>
            <w:tcW w:w="2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10,821,509</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accumulated depreciation</w:t>
            </w:r>
          </w:p>
        </w:tc>
        <w:tc>
          <w:tcPr>
            <w:tcW w:w="30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(6,665,858)</w:t>
            </w:r>
          </w:p>
        </w:tc>
        <w:tc>
          <w:tcPr>
            <w:tcW w:w="26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(6,426,995)</w:t>
            </w:r>
          </w:p>
        </w:tc>
      </w:tr>
      <w:tr>
        <w:trPr>
          <w:trHeight w:val="168"/>
        </w:trPr>
        <w:tc>
          <w:tcPr>
            <w:tcW w:w="434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4,840,216</w:t>
            </w:r>
          </w:p>
        </w:tc>
        <w:tc>
          <w:tcPr>
            <w:tcW w:w="2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4,394,514</w:t>
            </w:r>
          </w:p>
        </w:tc>
      </w:tr>
      <w:tr>
        <w:trPr>
          <w:trHeight w:val="168"/>
        </w:trPr>
        <w:tc>
          <w:tcPr>
            <w:tcW w:w="434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MULTICLIENT SEISMIC DATA</w:t>
            </w:r>
          </w:p>
        </w:tc>
        <w:tc>
          <w:tcPr>
            <w:tcW w:w="30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1,012,098</w:t>
            </w:r>
          </w:p>
        </w:tc>
        <w:tc>
          <w:tcPr>
            <w:tcW w:w="260" w:type="dxa"/>
            <w:vAlign w:val="bottom"/>
          </w:tcPr>
          <w:p>
            <w:pPr>
              <w:spacing w:after="0"/>
              <w:rPr>
                <w:sz w:val="24"/>
                <w:szCs w:val="2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975,775</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EXCESS OF INVESTMENT OVER NET ASSETS OF</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COMPANIES PURCHASED less amortization,</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INTANGIBLE ASSETS</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7,121,414</w:t>
            </w:r>
          </w:p>
        </w:tc>
        <w:tc>
          <w:tcPr>
            <w:tcW w:w="2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1,716,427</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TAXES ON INCOME</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124,196</w:t>
            </w:r>
          </w:p>
        </w:tc>
        <w:tc>
          <w:tcPr>
            <w:tcW w:w="2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271,059</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256,060</w:t>
            </w:r>
          </w:p>
        </w:tc>
        <w:tc>
          <w:tcPr>
            <w:tcW w:w="2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120,097</w:t>
            </w:r>
          </w:p>
        </w:tc>
      </w:tr>
      <w:tr>
        <w:trPr>
          <w:trHeight w:val="168"/>
        </w:trPr>
        <w:tc>
          <w:tcPr>
            <w:tcW w:w="434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$ 23,064,036</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$ 17,172,731</w:t>
            </w:r>
          </w:p>
        </w:tc>
      </w:tr>
      <w:tr>
        <w:trPr>
          <w:trHeight w:val="168"/>
        </w:trPr>
        <w:tc>
          <w:tcPr>
            <w:tcW w:w="434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LIABILITIES &amp; STOCKHOLDERS' EQUITY</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payable and accrued liabilities</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4,610,622</w:t>
            </w:r>
          </w:p>
        </w:tc>
        <w:tc>
          <w:tcPr>
            <w:tcW w:w="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2,910,725</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Estimated liability for taxes on income</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574,396</w:t>
            </w:r>
          </w:p>
        </w:tc>
        <w:tc>
          <w:tcPr>
            <w:tcW w:w="2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379,916</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Bank loans</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1,196,270</w:t>
            </w:r>
          </w:p>
        </w:tc>
        <w:tc>
          <w:tcPr>
            <w:tcW w:w="2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556,020</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 payable</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110,152</w:t>
            </w:r>
          </w:p>
        </w:tc>
        <w:tc>
          <w:tcPr>
            <w:tcW w:w="2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108,043</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 due within one year</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31,825</w:t>
            </w:r>
          </w:p>
        </w:tc>
        <w:tc>
          <w:tcPr>
            <w:tcW w:w="2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36,201</w:t>
            </w:r>
          </w:p>
        </w:tc>
      </w:tr>
      <w:tr>
        <w:trPr>
          <w:trHeight w:val="168"/>
        </w:trPr>
        <w:tc>
          <w:tcPr>
            <w:tcW w:w="434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6,523,265</w:t>
            </w:r>
          </w:p>
        </w:tc>
        <w:tc>
          <w:tcPr>
            <w:tcW w:w="2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3,990,905</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30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6,577,515</w:t>
            </w:r>
          </w:p>
        </w:tc>
        <w:tc>
          <w:tcPr>
            <w:tcW w:w="260" w:type="dxa"/>
            <w:vAlign w:val="bottom"/>
          </w:tcPr>
          <w:p>
            <w:pPr>
              <w:spacing w:after="0"/>
              <w:rPr>
                <w:sz w:val="24"/>
                <w:szCs w:val="2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3,573,047</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POSTRETIREMENT BENEFITS</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496,157</w:t>
            </w:r>
          </w:p>
        </w:tc>
        <w:tc>
          <w:tcPr>
            <w:tcW w:w="2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476,380</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634,500</w:t>
            </w:r>
          </w:p>
        </w:tc>
        <w:tc>
          <w:tcPr>
            <w:tcW w:w="2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605,313</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LIABILITIES</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564,021</w:t>
            </w:r>
          </w:p>
        </w:tc>
        <w:tc>
          <w:tcPr>
            <w:tcW w:w="2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231,870</w:t>
            </w:r>
          </w:p>
        </w:tc>
      </w:tr>
      <w:tr>
        <w:trPr>
          <w:trHeight w:val="168"/>
        </w:trPr>
        <w:tc>
          <w:tcPr>
            <w:tcW w:w="434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14,795,458</w:t>
            </w:r>
          </w:p>
        </w:tc>
        <w:tc>
          <w:tcPr>
            <w:tcW w:w="2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8,877,515</w:t>
            </w:r>
          </w:p>
        </w:tc>
      </w:tr>
      <w:tr>
        <w:trPr>
          <w:trHeight w:val="168"/>
        </w:trPr>
        <w:tc>
          <w:tcPr>
            <w:tcW w:w="434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2,025,356</w:t>
            </w:r>
          </w:p>
        </w:tc>
        <w:tc>
          <w:tcPr>
            <w:tcW w:w="2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1,963,905</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retained for use in the business</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8,237,779</w:t>
            </w:r>
          </w:p>
        </w:tc>
        <w:tc>
          <w:tcPr>
            <w:tcW w:w="2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8,223,476</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Treasury stock at cost</w:t>
            </w:r>
          </w:p>
        </w:tc>
        <w:tc>
          <w:tcPr>
            <w:tcW w:w="30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(1,698,037)</w:t>
            </w:r>
          </w:p>
        </w:tc>
        <w:tc>
          <w:tcPr>
            <w:tcW w:w="26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(1,752,961)</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Accumulated other comprehensive income</w:t>
            </w:r>
          </w:p>
        </w:tc>
        <w:tc>
          <w:tcPr>
            <w:tcW w:w="30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(296,520)</w:t>
            </w:r>
          </w:p>
        </w:tc>
        <w:tc>
          <w:tcPr>
            <w:tcW w:w="26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(139,204)</w:t>
            </w:r>
          </w:p>
        </w:tc>
      </w:tr>
      <w:tr>
        <w:trPr>
          <w:trHeight w:val="168"/>
        </w:trPr>
        <w:tc>
          <w:tcPr>
            <w:tcW w:w="434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8,268,578</w:t>
            </w:r>
          </w:p>
        </w:tc>
        <w:tc>
          <w:tcPr>
            <w:tcW w:w="26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8,295,216</w:t>
            </w:r>
          </w:p>
        </w:tc>
      </w:tr>
      <w:tr>
        <w:trPr>
          <w:trHeight w:val="168"/>
        </w:trPr>
        <w:tc>
          <w:tcPr>
            <w:tcW w:w="434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spacing w:after="0"/>
              <w:rPr>
                <w:sz w:val="24"/>
                <w:szCs w:val="24"/>
                <w:color w:val="auto"/>
              </w:rPr>
            </w:pPr>
          </w:p>
        </w:tc>
        <w:tc>
          <w:tcPr>
            <w:tcW w:w="14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$ 23,064,036</w:t>
            </w: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$ 17,172,731</w:t>
            </w:r>
          </w:p>
        </w:tc>
      </w:tr>
      <w:tr>
        <w:trPr>
          <w:trHeight w:val="168"/>
        </w:trPr>
        <w:tc>
          <w:tcPr>
            <w:tcW w:w="434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Reclassified, in part, for comparative purposes.</w:t>
      </w:r>
    </w:p>
    <w:p>
      <w:pPr>
        <w:spacing w:after="0" w:line="33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17" w:right="1440" w:bottom="685" w:gutter="0" w:footer="0" w:header="0"/>
        </w:sectPr>
      </w:pPr>
    </w:p>
    <w:bookmarkStart w:id="3" w:name="page4"/>
    <w:bookmarkEnd w:id="3"/>
    <w:p>
      <w:pPr>
        <w:ind w:left="2640"/>
        <w:spacing w:after="0"/>
        <w:rPr>
          <w:sz w:val="20"/>
          <w:szCs w:val="20"/>
          <w:color w:val="auto"/>
        </w:rPr>
      </w:pPr>
      <w:r>
        <w:rPr>
          <w:rFonts w:ascii="Courier New" w:cs="Courier New" w:eastAsia="Courier New" w:hAnsi="Courier New"/>
          <w:sz w:val="15"/>
          <w:szCs w:val="15"/>
          <w:color w:val="auto"/>
        </w:rPr>
        <w:t>SCHLUMBERGER LIMITED</w:t>
      </w:r>
    </w:p>
    <w:p>
      <w:pPr>
        <w:ind w:left="2640"/>
        <w:spacing w:after="0" w:line="237" w:lineRule="auto"/>
        <w:rPr>
          <w:sz w:val="20"/>
          <w:szCs w:val="20"/>
          <w:color w:val="auto"/>
        </w:rPr>
      </w:pPr>
      <w:r>
        <w:rPr>
          <w:rFonts w:ascii="Courier New" w:cs="Courier New" w:eastAsia="Courier New" w:hAnsi="Courier New"/>
          <w:sz w:val="15"/>
          <w:szCs w:val="15"/>
          <w:color w:val="auto"/>
        </w:rPr>
        <w:t>--------------------</w:t>
      </w:r>
    </w:p>
    <w:p>
      <w:pPr>
        <w:jc w:val="center"/>
        <w:ind w:right="3139"/>
        <w:spacing w:after="0" w:line="238" w:lineRule="auto"/>
        <w:rPr>
          <w:sz w:val="20"/>
          <w:szCs w:val="20"/>
          <w:color w:val="auto"/>
        </w:rPr>
      </w:pPr>
      <w:r>
        <w:rPr>
          <w:rFonts w:ascii="Courier New" w:cs="Courier New" w:eastAsia="Courier New" w:hAnsi="Courier New"/>
          <w:sz w:val="15"/>
          <w:szCs w:val="15"/>
          <w:color w:val="auto"/>
        </w:rPr>
        <w:t>(Schlumberger N.V., Incorporated in the Netherlands Antilles)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and Subsidiary Companies</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CONSOLIDATED STATEMENT OF CASH FLOWS</w:t>
      </w:r>
    </w:p>
    <w:p>
      <w:pPr>
        <w:ind w:left="194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440" w:type="dxa"/>
        <w:tblCellMar>
          <w:top w:w="0" w:type="dxa"/>
          <w:left w:w="0" w:type="dxa"/>
          <w:bottom w:w="0" w:type="dxa"/>
          <w:right w:w="0" w:type="dxa"/>
        </w:tblCellMar>
      </w:tblPr>
      <w:tr>
        <w:trPr>
          <w:trHeight w:val="169"/>
        </w:trPr>
        <w:tc>
          <w:tcPr>
            <w:tcW w:w="4740" w:type="dxa"/>
            <w:vAlign w:val="bottom"/>
          </w:tcPr>
          <w:p>
            <w:pPr>
              <w:ind w:left="2640"/>
              <w:spacing w:after="0" w:line="169" w:lineRule="exact"/>
              <w:rPr>
                <w:sz w:val="20"/>
                <w:szCs w:val="20"/>
                <w:color w:val="auto"/>
              </w:rPr>
            </w:pPr>
            <w:r>
              <w:rPr>
                <w:rFonts w:ascii="Courier New" w:cs="Courier New" w:eastAsia="Courier New" w:hAnsi="Courier New"/>
                <w:sz w:val="15"/>
                <w:szCs w:val="15"/>
                <w:color w:val="auto"/>
              </w:rPr>
              <w:t>(Unaudited)</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73"/>
        </w:trPr>
        <w:tc>
          <w:tcPr>
            <w:tcW w:w="4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(Dollars in thousands)</w:t>
            </w:r>
          </w:p>
        </w:tc>
      </w:tr>
      <w:tr>
        <w:trPr>
          <w:trHeight w:val="336"/>
        </w:trPr>
        <w:tc>
          <w:tcPr>
            <w:tcW w:w="4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Nine Months Ended</w:t>
            </w:r>
          </w:p>
        </w:tc>
      </w:tr>
      <w:tr>
        <w:trPr>
          <w:trHeight w:val="168"/>
        </w:trPr>
        <w:tc>
          <w:tcPr>
            <w:tcW w:w="4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0" w:type="dxa"/>
            <w:vAlign w:val="bottom"/>
            <w:gridSpan w:val="3"/>
          </w:tcPr>
          <w:p>
            <w:pPr>
              <w:jc w:val="right"/>
              <w:ind w:right="367"/>
              <w:spacing w:after="0" w:line="168" w:lineRule="exact"/>
              <w:rPr>
                <w:sz w:val="20"/>
                <w:szCs w:val="20"/>
                <w:color w:val="auto"/>
              </w:rPr>
            </w:pPr>
            <w:r>
              <w:rPr>
                <w:rFonts w:ascii="Courier New" w:cs="Courier New" w:eastAsia="Courier New" w:hAnsi="Courier New"/>
                <w:sz w:val="15"/>
                <w:szCs w:val="15"/>
                <w:color w:val="auto"/>
              </w:rPr>
              <w:t>September 30,</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operating activities:</w:t>
            </w:r>
          </w:p>
        </w:tc>
        <w:tc>
          <w:tcPr>
            <w:tcW w:w="52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2001</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2000/(1)/</w:t>
            </w:r>
          </w:p>
        </w:tc>
      </w:tr>
      <w:tr>
        <w:trPr>
          <w:trHeight w:val="168"/>
        </w:trPr>
        <w:tc>
          <w:tcPr>
            <w:tcW w:w="4740" w:type="dxa"/>
            <w:vAlign w:val="bottom"/>
          </w:tcPr>
          <w:p>
            <w:pPr>
              <w:spacing w:after="0"/>
              <w:rPr>
                <w:sz w:val="14"/>
                <w:szCs w:val="14"/>
                <w:color w:val="auto"/>
              </w:rPr>
            </w:pP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tcPr>
          <w:p>
            <w:pPr>
              <w:ind w:left="100"/>
              <w:spacing w:after="0"/>
              <w:rPr>
                <w:sz w:val="20"/>
                <w:szCs w:val="20"/>
                <w:color w:val="auto"/>
              </w:rPr>
            </w:pPr>
            <w:r>
              <w:rPr>
                <w:rFonts w:ascii="Courier New" w:cs="Courier New" w:eastAsia="Courier New" w:hAnsi="Courier New"/>
                <w:sz w:val="15"/>
                <w:szCs w:val="15"/>
                <w:color w:val="auto"/>
              </w:rPr>
              <w:t>Net income</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337,251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496,679</w:t>
            </w:r>
          </w:p>
        </w:tc>
      </w:tr>
      <w:tr>
        <w:trPr>
          <w:trHeight w:val="168"/>
        </w:trPr>
        <w:tc>
          <w:tcPr>
            <w:tcW w:w="4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Adjustments to reconcile net income to cash</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provided by operating activities:</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Depreciation and amortization/(2)/</w:t>
            </w:r>
          </w:p>
        </w:tc>
        <w:tc>
          <w:tcPr>
            <w:tcW w:w="5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1,368,308</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919,153</w:t>
            </w:r>
          </w:p>
        </w:tc>
      </w:tr>
      <w:tr>
        <w:trPr>
          <w:trHeight w:val="168"/>
        </w:trPr>
        <w:tc>
          <w:tcPr>
            <w:tcW w:w="4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Impairment charges and gain on sale</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7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of businesses</w:t>
            </w:r>
          </w:p>
        </w:tc>
        <w:tc>
          <w:tcPr>
            <w:tcW w:w="5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277,350</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Earnings of companies carried at equity, less</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7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dividends received (2001 - $-; 2000 - $-)</w:t>
            </w:r>
          </w:p>
        </w:tc>
        <w:tc>
          <w:tcPr>
            <w:tcW w:w="5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(42,468)</w:t>
            </w:r>
          </w:p>
        </w:tc>
        <w:tc>
          <w:tcPr>
            <w:tcW w:w="1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(24,325)</w:t>
            </w:r>
          </w:p>
        </w:tc>
      </w:tr>
      <w:tr>
        <w:trPr>
          <w:trHeight w:val="168"/>
        </w:trPr>
        <w:tc>
          <w:tcPr>
            <w:tcW w:w="4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Provision for losses on accounts receivable</w:t>
            </w:r>
          </w:p>
        </w:tc>
        <w:tc>
          <w:tcPr>
            <w:tcW w:w="5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27,601</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16,369</w:t>
            </w:r>
          </w:p>
        </w:tc>
      </w:tr>
      <w:tr>
        <w:trPr>
          <w:trHeight w:val="168"/>
        </w:trPr>
        <w:tc>
          <w:tcPr>
            <w:tcW w:w="4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Change in operating assets and liabilities:</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Increase in receivables</w:t>
            </w:r>
          </w:p>
        </w:tc>
        <w:tc>
          <w:tcPr>
            <w:tcW w:w="5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(893,739)</w:t>
            </w:r>
          </w:p>
        </w:tc>
        <w:tc>
          <w:tcPr>
            <w:tcW w:w="1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(159,882)</w:t>
            </w:r>
          </w:p>
        </w:tc>
      </w:tr>
      <w:tr>
        <w:trPr>
          <w:trHeight w:val="168"/>
        </w:trPr>
        <w:tc>
          <w:tcPr>
            <w:tcW w:w="4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Increase in inventories</w:t>
            </w:r>
          </w:p>
        </w:tc>
        <w:tc>
          <w:tcPr>
            <w:tcW w:w="5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(305,761)</w:t>
            </w:r>
          </w:p>
        </w:tc>
        <w:tc>
          <w:tcPr>
            <w:tcW w:w="1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(108,550)</w:t>
            </w:r>
          </w:p>
        </w:tc>
      </w:tr>
      <w:tr>
        <w:trPr>
          <w:trHeight w:val="168"/>
        </w:trPr>
        <w:tc>
          <w:tcPr>
            <w:tcW w:w="4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Increase in deferred taxes</w:t>
            </w:r>
          </w:p>
        </w:tc>
        <w:tc>
          <w:tcPr>
            <w:tcW w:w="5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(6,967)</w:t>
            </w:r>
          </w:p>
        </w:tc>
        <w:tc>
          <w:tcPr>
            <w:tcW w:w="1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(12,662)</w:t>
            </w:r>
          </w:p>
        </w:tc>
      </w:tr>
      <w:tr>
        <w:trPr>
          <w:trHeight w:val="168"/>
        </w:trPr>
        <w:tc>
          <w:tcPr>
            <w:tcW w:w="4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Increase in other current assets</w:t>
            </w:r>
          </w:p>
        </w:tc>
        <w:tc>
          <w:tcPr>
            <w:tcW w:w="5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(56,580)</w:t>
            </w:r>
          </w:p>
        </w:tc>
        <w:tc>
          <w:tcPr>
            <w:tcW w:w="1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(35,999)</w:t>
            </w:r>
          </w:p>
        </w:tc>
      </w:tr>
      <w:tr>
        <w:trPr>
          <w:trHeight w:val="168"/>
        </w:trPr>
        <w:tc>
          <w:tcPr>
            <w:tcW w:w="4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Increase in accounts payable and</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7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5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187,419</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102,101</w:t>
            </w:r>
          </w:p>
        </w:tc>
      </w:tr>
      <w:tr>
        <w:trPr>
          <w:trHeight w:val="168"/>
        </w:trPr>
        <w:tc>
          <w:tcPr>
            <w:tcW w:w="4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Increase (decrease) in estimated liability</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7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for taxes on income</w:t>
            </w:r>
          </w:p>
        </w:tc>
        <w:tc>
          <w:tcPr>
            <w:tcW w:w="5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45,479</w:t>
            </w:r>
          </w:p>
        </w:tc>
        <w:tc>
          <w:tcPr>
            <w:tcW w:w="1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(41,196)</w:t>
            </w:r>
          </w:p>
        </w:tc>
      </w:tr>
      <w:tr>
        <w:trPr>
          <w:trHeight w:val="168"/>
        </w:trPr>
        <w:tc>
          <w:tcPr>
            <w:tcW w:w="4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Other - net</w:t>
            </w:r>
          </w:p>
        </w:tc>
        <w:tc>
          <w:tcPr>
            <w:tcW w:w="5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(145,698)</w:t>
            </w:r>
          </w:p>
        </w:tc>
        <w:tc>
          <w:tcPr>
            <w:tcW w:w="1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(70,583)</w:t>
            </w:r>
          </w:p>
        </w:tc>
      </w:tr>
      <w:tr>
        <w:trPr>
          <w:trHeight w:val="168"/>
        </w:trPr>
        <w:tc>
          <w:tcPr>
            <w:tcW w:w="4740" w:type="dxa"/>
            <w:vAlign w:val="bottom"/>
          </w:tcPr>
          <w:p>
            <w:pPr>
              <w:spacing w:after="0"/>
              <w:rPr>
                <w:sz w:val="14"/>
                <w:szCs w:val="14"/>
                <w:color w:val="auto"/>
              </w:rPr>
            </w:pP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5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792,195</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1,081,105</w:t>
            </w:r>
          </w:p>
        </w:tc>
      </w:tr>
      <w:tr>
        <w:trPr>
          <w:trHeight w:val="168"/>
        </w:trPr>
        <w:tc>
          <w:tcPr>
            <w:tcW w:w="4740" w:type="dxa"/>
            <w:vAlign w:val="bottom"/>
          </w:tcPr>
          <w:p>
            <w:pPr>
              <w:spacing w:after="0"/>
              <w:rPr>
                <w:sz w:val="14"/>
                <w:szCs w:val="14"/>
                <w:color w:val="auto"/>
              </w:rPr>
            </w:pP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4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Purchase of fixed assets</w:t>
            </w:r>
          </w:p>
        </w:tc>
        <w:tc>
          <w:tcPr>
            <w:tcW w:w="14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(1,498,617)</w:t>
            </w:r>
          </w:p>
        </w:tc>
        <w:tc>
          <w:tcPr>
            <w:tcW w:w="1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(880,001)</w:t>
            </w:r>
          </w:p>
        </w:tc>
      </w:tr>
      <w:tr>
        <w:trPr>
          <w:trHeight w:val="168"/>
        </w:trPr>
        <w:tc>
          <w:tcPr>
            <w:tcW w:w="4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Multiclient seismic data capitalized</w:t>
            </w:r>
          </w:p>
        </w:tc>
        <w:tc>
          <w:tcPr>
            <w:tcW w:w="5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(315,576)</w:t>
            </w:r>
          </w:p>
        </w:tc>
        <w:tc>
          <w:tcPr>
            <w:tcW w:w="1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(162,280)</w:t>
            </w:r>
          </w:p>
        </w:tc>
      </w:tr>
      <w:tr>
        <w:trPr>
          <w:trHeight w:val="168"/>
        </w:trPr>
        <w:tc>
          <w:tcPr>
            <w:tcW w:w="4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Sales/retirements of fixed assets &amp; other</w:t>
            </w:r>
          </w:p>
        </w:tc>
        <w:tc>
          <w:tcPr>
            <w:tcW w:w="5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9,402</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90,804</w:t>
            </w:r>
          </w:p>
        </w:tc>
      </w:tr>
      <w:tr>
        <w:trPr>
          <w:trHeight w:val="168"/>
        </w:trPr>
        <w:tc>
          <w:tcPr>
            <w:tcW w:w="4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Decrease in investments</w:t>
            </w:r>
          </w:p>
        </w:tc>
        <w:tc>
          <w:tcPr>
            <w:tcW w:w="5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2,583,207</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76,720</w:t>
            </w:r>
          </w:p>
        </w:tc>
      </w:tr>
      <w:tr>
        <w:trPr>
          <w:trHeight w:val="168"/>
        </w:trPr>
        <w:tc>
          <w:tcPr>
            <w:tcW w:w="4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Businesses acquired, net of cash acquired</w:t>
            </w:r>
          </w:p>
        </w:tc>
        <w:tc>
          <w:tcPr>
            <w:tcW w:w="5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(386,340)</w:t>
            </w:r>
          </w:p>
        </w:tc>
        <w:tc>
          <w:tcPr>
            <w:tcW w:w="1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(261,446)</w:t>
            </w:r>
          </w:p>
        </w:tc>
      </w:tr>
      <w:tr>
        <w:trPr>
          <w:trHeight w:val="168"/>
        </w:trPr>
        <w:tc>
          <w:tcPr>
            <w:tcW w:w="4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Acquisition of Sema plc, net of cash acquired</w:t>
            </w:r>
          </w:p>
        </w:tc>
        <w:tc>
          <w:tcPr>
            <w:tcW w:w="14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(4,778,498)</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Sale of Production Operators Corporation</w:t>
            </w:r>
          </w:p>
        </w:tc>
        <w:tc>
          <w:tcPr>
            <w:tcW w:w="5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273,600</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Decrease (increase) in other assets</w:t>
            </w:r>
          </w:p>
        </w:tc>
        <w:tc>
          <w:tcPr>
            <w:tcW w:w="5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68,576</w:t>
            </w:r>
          </w:p>
        </w:tc>
        <w:tc>
          <w:tcPr>
            <w:tcW w:w="1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(72,117)</w:t>
            </w:r>
          </w:p>
        </w:tc>
      </w:tr>
      <w:tr>
        <w:trPr>
          <w:trHeight w:val="168"/>
        </w:trPr>
        <w:tc>
          <w:tcPr>
            <w:tcW w:w="4740" w:type="dxa"/>
            <w:vAlign w:val="bottom"/>
          </w:tcPr>
          <w:p>
            <w:pPr>
              <w:spacing w:after="0"/>
              <w:rPr>
                <w:sz w:val="14"/>
                <w:szCs w:val="14"/>
                <w:color w:val="auto"/>
              </w:rPr>
            </w:pP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14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(4,044,246)</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(1,208,320)</w:t>
            </w:r>
          </w:p>
        </w:tc>
      </w:tr>
      <w:tr>
        <w:trPr>
          <w:trHeight w:val="168"/>
        </w:trPr>
        <w:tc>
          <w:tcPr>
            <w:tcW w:w="4740" w:type="dxa"/>
            <w:vAlign w:val="bottom"/>
          </w:tcPr>
          <w:p>
            <w:pPr>
              <w:spacing w:after="0"/>
              <w:rPr>
                <w:sz w:val="14"/>
                <w:szCs w:val="14"/>
                <w:color w:val="auto"/>
              </w:rPr>
            </w:pP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4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Dividends paid</w:t>
            </w:r>
          </w:p>
        </w:tc>
        <w:tc>
          <w:tcPr>
            <w:tcW w:w="5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(322,384)</w:t>
            </w:r>
          </w:p>
        </w:tc>
        <w:tc>
          <w:tcPr>
            <w:tcW w:w="1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(319,157)</w:t>
            </w:r>
          </w:p>
        </w:tc>
      </w:tr>
      <w:tr>
        <w:trPr>
          <w:trHeight w:val="168"/>
        </w:trPr>
        <w:tc>
          <w:tcPr>
            <w:tcW w:w="4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Proceeds from employee stock purchase plan</w:t>
            </w:r>
          </w:p>
        </w:tc>
        <w:tc>
          <w:tcPr>
            <w:tcW w:w="5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78,965</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69,089</w:t>
            </w:r>
          </w:p>
        </w:tc>
      </w:tr>
      <w:tr>
        <w:trPr>
          <w:trHeight w:val="168"/>
        </w:trPr>
        <w:tc>
          <w:tcPr>
            <w:tcW w:w="4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Proceeds from exercise of stock options</w:t>
            </w:r>
          </w:p>
        </w:tc>
        <w:tc>
          <w:tcPr>
            <w:tcW w:w="5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37,410</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150,509</w:t>
            </w:r>
          </w:p>
        </w:tc>
      </w:tr>
      <w:tr>
        <w:trPr>
          <w:trHeight w:val="168"/>
        </w:trPr>
        <w:tc>
          <w:tcPr>
            <w:tcW w:w="4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Proceeds from issuance of long-term debt</w:t>
            </w:r>
          </w:p>
        </w:tc>
        <w:tc>
          <w:tcPr>
            <w:tcW w:w="5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3,039,046</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600,173</w:t>
            </w:r>
          </w:p>
        </w:tc>
      </w:tr>
      <w:tr>
        <w:trPr>
          <w:trHeight w:val="168"/>
        </w:trPr>
        <w:tc>
          <w:tcPr>
            <w:tcW w:w="4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Payments of principal on long-term debt</w:t>
            </w:r>
          </w:p>
        </w:tc>
        <w:tc>
          <w:tcPr>
            <w:tcW w:w="5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(83,238)</w:t>
            </w:r>
          </w:p>
        </w:tc>
        <w:tc>
          <w:tcPr>
            <w:tcW w:w="1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(520,998)</w:t>
            </w:r>
          </w:p>
        </w:tc>
      </w:tr>
      <w:tr>
        <w:trPr>
          <w:trHeight w:val="168"/>
        </w:trPr>
        <w:tc>
          <w:tcPr>
            <w:tcW w:w="4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increase in short-term debt</w:t>
            </w:r>
          </w:p>
        </w:tc>
        <w:tc>
          <w:tcPr>
            <w:tcW w:w="5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568,423</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160,376</w:t>
            </w:r>
          </w:p>
        </w:tc>
      </w:tr>
      <w:tr>
        <w:trPr>
          <w:trHeight w:val="168"/>
        </w:trPr>
        <w:tc>
          <w:tcPr>
            <w:tcW w:w="4740" w:type="dxa"/>
            <w:vAlign w:val="bottom"/>
          </w:tcPr>
          <w:p>
            <w:pPr>
              <w:spacing w:after="0"/>
              <w:rPr>
                <w:sz w:val="14"/>
                <w:szCs w:val="14"/>
                <w:color w:val="auto"/>
              </w:rPr>
            </w:pP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PROVIDED BY FINANCING ACTIVITIES</w:t>
            </w:r>
          </w:p>
        </w:tc>
        <w:tc>
          <w:tcPr>
            <w:tcW w:w="5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3,318,222</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139,992</w:t>
            </w:r>
          </w:p>
        </w:tc>
      </w:tr>
      <w:tr>
        <w:trPr>
          <w:trHeight w:val="168"/>
        </w:trPr>
        <w:tc>
          <w:tcPr>
            <w:tcW w:w="4740" w:type="dxa"/>
            <w:vAlign w:val="bottom"/>
          </w:tcPr>
          <w:p>
            <w:pPr>
              <w:spacing w:after="0"/>
              <w:rPr>
                <w:sz w:val="14"/>
                <w:szCs w:val="14"/>
                <w:color w:val="auto"/>
              </w:rPr>
            </w:pP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Net increase in cash</w:t>
            </w:r>
          </w:p>
        </w:tc>
        <w:tc>
          <w:tcPr>
            <w:tcW w:w="52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66,171</w:t>
            </w:r>
          </w:p>
        </w:tc>
        <w:tc>
          <w:tcPr>
            <w:tcW w:w="18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12,777</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Cash, beginning of period</w:t>
            </w:r>
          </w:p>
        </w:tc>
        <w:tc>
          <w:tcPr>
            <w:tcW w:w="520" w:type="dxa"/>
            <w:vAlign w:val="bottom"/>
          </w:tcPr>
          <w:p>
            <w:pPr>
              <w:spacing w:after="0"/>
              <w:rPr>
                <w:sz w:val="24"/>
                <w:szCs w:val="2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160,718</w:t>
            </w:r>
          </w:p>
        </w:tc>
        <w:tc>
          <w:tcPr>
            <w:tcW w:w="18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132,589</w:t>
            </w:r>
          </w:p>
        </w:tc>
      </w:tr>
      <w:tr>
        <w:trPr>
          <w:trHeight w:val="168"/>
        </w:trPr>
        <w:tc>
          <w:tcPr>
            <w:tcW w:w="4740" w:type="dxa"/>
            <w:vAlign w:val="bottom"/>
          </w:tcPr>
          <w:p>
            <w:pPr>
              <w:spacing w:after="0"/>
              <w:rPr>
                <w:sz w:val="14"/>
                <w:szCs w:val="14"/>
                <w:color w:val="auto"/>
              </w:rPr>
            </w:pP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CASH, END OF PERIOD</w:t>
            </w:r>
          </w:p>
        </w:tc>
        <w:tc>
          <w:tcPr>
            <w:tcW w:w="5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226,889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145,366</w:t>
            </w:r>
          </w:p>
        </w:tc>
      </w:tr>
      <w:tr>
        <w:trPr>
          <w:trHeight w:val="168"/>
        </w:trPr>
        <w:tc>
          <w:tcPr>
            <w:tcW w:w="4740" w:type="dxa"/>
            <w:vAlign w:val="bottom"/>
          </w:tcPr>
          <w:p>
            <w:pPr>
              <w:spacing w:after="0"/>
              <w:rPr>
                <w:sz w:val="14"/>
                <w:szCs w:val="14"/>
                <w:color w:val="auto"/>
              </w:rPr>
            </w:pP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360" w:hanging="350"/>
        <w:spacing w:after="0"/>
        <w:tabs>
          <w:tab w:leader="none" w:pos="36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Restated, in part, for comparative purposes.</w:t>
      </w:r>
    </w:p>
    <w:p>
      <w:pPr>
        <w:ind w:left="360" w:hanging="350"/>
        <w:spacing w:after="0" w:line="237" w:lineRule="auto"/>
        <w:tabs>
          <w:tab w:leader="none" w:pos="36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Including multiclient seismic data costs.</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17" w:right="1440" w:bottom="1440" w:gutter="0" w:footer="0" w:header="0"/>
        </w:sectPr>
      </w:pPr>
    </w:p>
    <w:bookmarkStart w:id="4" w:name="page5"/>
    <w:bookmarkEnd w:id="4"/>
    <w:p>
      <w:pPr>
        <w:ind w:left="2640"/>
        <w:spacing w:after="0"/>
        <w:rPr>
          <w:sz w:val="20"/>
          <w:szCs w:val="20"/>
          <w:color w:val="auto"/>
        </w:rPr>
      </w:pPr>
      <w:r>
        <w:rPr>
          <w:rFonts w:ascii="Courier New" w:cs="Courier New" w:eastAsia="Courier New" w:hAnsi="Courier New"/>
          <w:sz w:val="15"/>
          <w:szCs w:val="15"/>
          <w:color w:val="auto"/>
        </w:rPr>
        <w:t>SCHLUMBERGER LIMITED</w:t>
      </w:r>
    </w:p>
    <w:p>
      <w:pPr>
        <w:ind w:left="26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4"/>
          <w:szCs w:val="14"/>
          <w:color w:val="auto"/>
        </w:rPr>
        <w:t>(Schlumberger N.V., Incorporated in the Netherlands Antilles)</w:t>
      </w:r>
    </w:p>
    <w:p>
      <w:pPr>
        <w:spacing w:after="0" w:line="3" w:lineRule="exact"/>
        <w:rPr>
          <w:sz w:val="20"/>
          <w:szCs w:val="20"/>
          <w:color w:val="auto"/>
        </w:rPr>
      </w:pPr>
    </w:p>
    <w:p>
      <w:pPr>
        <w:jc w:val="center"/>
        <w:ind w:right="4520"/>
        <w:spacing w:after="0"/>
        <w:rPr>
          <w:sz w:val="20"/>
          <w:szCs w:val="20"/>
          <w:color w:val="auto"/>
        </w:rPr>
      </w:pPr>
      <w:r>
        <w:rPr>
          <w:rFonts w:ascii="Courier New" w:cs="Courier New" w:eastAsia="Courier New" w:hAnsi="Courier New"/>
          <w:sz w:val="15"/>
          <w:szCs w:val="15"/>
          <w:color w:val="auto"/>
        </w:rPr>
        <w:t>and Subsidiary Companies</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STOCKHOLDERS' EQUITY</w:t>
      </w:r>
    </w:p>
    <w:p>
      <w:pPr>
        <w:ind w:left="2640"/>
        <w:spacing w:after="0" w:line="237" w:lineRule="auto"/>
        <w:rPr>
          <w:sz w:val="20"/>
          <w:szCs w:val="20"/>
          <w:color w:val="auto"/>
        </w:rPr>
      </w:pPr>
      <w:r>
        <w:rPr>
          <w:rFonts w:ascii="Courier New" w:cs="Courier New" w:eastAsia="Courier New" w:hAnsi="Courier New"/>
          <w:sz w:val="15"/>
          <w:szCs w:val="15"/>
          <w:color w:val="auto"/>
        </w:rPr>
        <w:t>--------------------</w:t>
      </w:r>
    </w:p>
    <w:p>
      <w:pPr>
        <w:ind w:left="3080"/>
        <w:spacing w:after="0" w:line="238" w:lineRule="auto"/>
        <w:rPr>
          <w:sz w:val="20"/>
          <w:szCs w:val="20"/>
          <w:color w:val="auto"/>
        </w:rPr>
      </w:pPr>
      <w:r>
        <w:rPr>
          <w:rFonts w:ascii="Courier New" w:cs="Courier New" w:eastAsia="Courier New" w:hAnsi="Courier New"/>
          <w:sz w:val="15"/>
          <w:szCs w:val="15"/>
          <w:color w:val="auto"/>
        </w:rPr>
        <w:t>(Unaudited)</w:t>
      </w:r>
    </w:p>
    <w:p>
      <w:pPr>
        <w:sectPr>
          <w:pgSz w:w="11900" w:h="16838" w:orient="portrait"/>
          <w:cols w:equalWidth="0" w:num="1">
            <w:col w:w="11540"/>
          </w:cols>
          <w:pgMar w:left="220" w:top="617"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300"/>
        <w:spacing w:after="0"/>
        <w:tabs>
          <w:tab w:leader="none" w:pos="6380" w:val="left"/>
        </w:tabs>
        <w:rPr>
          <w:sz w:val="20"/>
          <w:szCs w:val="20"/>
          <w:color w:val="auto"/>
        </w:rPr>
      </w:pPr>
      <w:r>
        <w:rPr>
          <w:rFonts w:ascii="Courier New" w:cs="Courier New" w:eastAsia="Courier New" w:hAnsi="Courier New"/>
          <w:sz w:val="15"/>
          <w:szCs w:val="15"/>
          <w:color w:val="auto"/>
        </w:rPr>
        <w:t>Common Stock</w:t>
      </w:r>
      <w:r>
        <w:rPr>
          <w:sz w:val="20"/>
          <w:szCs w:val="20"/>
          <w:color w:val="auto"/>
        </w:rPr>
        <w:tab/>
      </w:r>
      <w:r>
        <w:rPr>
          <w:rFonts w:ascii="Courier New" w:cs="Courier New" w:eastAsia="Courier New" w:hAnsi="Courier New"/>
          <w:sz w:val="14"/>
          <w:szCs w:val="14"/>
          <w:color w:val="auto"/>
        </w:rPr>
        <w:t>Retained</w:t>
      </w:r>
    </w:p>
    <w:p>
      <w:pPr>
        <w:ind w:left="3600"/>
        <w:spacing w:after="0" w:line="237" w:lineRule="auto"/>
        <w:rPr>
          <w:sz w:val="20"/>
          <w:szCs w:val="20"/>
          <w:color w:val="auto"/>
        </w:rPr>
      </w:pPr>
      <w:r>
        <w:rPr>
          <w:rFonts w:ascii="Courier New" w:cs="Courier New" w:eastAsia="Courier New" w:hAnsi="Courier New"/>
          <w:sz w:val="15"/>
          <w:szCs w:val="15"/>
          <w:color w:val="auto"/>
        </w:rPr>
        <w:t>---------------------------</w:t>
      </w:r>
    </w:p>
    <w:p>
      <w:pPr>
        <w:ind w:left="3860"/>
        <w:spacing w:after="0"/>
        <w:tabs>
          <w:tab w:leader="none" w:pos="5060" w:val="left"/>
          <w:tab w:leader="none" w:pos="6460" w:val="left"/>
        </w:tabs>
        <w:rPr>
          <w:sz w:val="20"/>
          <w:szCs w:val="20"/>
          <w:color w:val="auto"/>
        </w:rPr>
      </w:pPr>
      <w:r>
        <w:rPr>
          <w:rFonts w:ascii="Courier New" w:cs="Courier New" w:eastAsia="Courier New" w:hAnsi="Courier New"/>
          <w:sz w:val="15"/>
          <w:szCs w:val="15"/>
          <w:color w:val="auto"/>
        </w:rPr>
        <w:t>Issued</w:t>
      </w:r>
      <w:r>
        <w:rPr>
          <w:sz w:val="20"/>
          <w:szCs w:val="20"/>
          <w:color w:val="auto"/>
        </w:rPr>
        <w:tab/>
      </w:r>
      <w:r>
        <w:rPr>
          <w:rFonts w:ascii="Courier New" w:cs="Courier New" w:eastAsia="Courier New" w:hAnsi="Courier New"/>
          <w:sz w:val="15"/>
          <w:szCs w:val="15"/>
          <w:color w:val="auto"/>
        </w:rPr>
        <w:t>In Treasury</w:t>
      </w:r>
      <w:r>
        <w:rPr>
          <w:sz w:val="20"/>
          <w:szCs w:val="20"/>
          <w:color w:val="auto"/>
        </w:rPr>
        <w:tab/>
      </w:r>
      <w:r>
        <w:rPr>
          <w:rFonts w:ascii="Courier New" w:cs="Courier New" w:eastAsia="Courier New" w:hAnsi="Courier New"/>
          <w:sz w:val="14"/>
          <w:szCs w:val="14"/>
          <w:color w:val="auto"/>
        </w:rPr>
        <w:t>Income</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Accumulated Other</w:t>
      </w:r>
    </w:p>
    <w:p>
      <w:pPr>
        <w:ind w:left="360"/>
        <w:spacing w:after="0" w:line="237" w:lineRule="auto"/>
        <w:rPr>
          <w:sz w:val="20"/>
          <w:szCs w:val="20"/>
          <w:color w:val="auto"/>
        </w:rPr>
      </w:pPr>
      <w:r>
        <w:rPr>
          <w:rFonts w:ascii="Courier New" w:cs="Courier New" w:eastAsia="Courier New" w:hAnsi="Courier New"/>
          <w:sz w:val="15"/>
          <w:szCs w:val="15"/>
          <w:color w:val="auto"/>
        </w:rPr>
        <w:t>Comprehensive Income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80"/>
        <w:spacing w:after="0"/>
        <w:tabs>
          <w:tab w:leader="none" w:pos="1300" w:val="left"/>
          <w:tab w:leader="none" w:pos="2620" w:val="left"/>
        </w:tabs>
        <w:rPr>
          <w:sz w:val="20"/>
          <w:szCs w:val="20"/>
          <w:color w:val="auto"/>
        </w:rPr>
      </w:pPr>
      <w:r>
        <w:rPr>
          <w:rFonts w:ascii="Courier New" w:cs="Courier New" w:eastAsia="Courier New" w:hAnsi="Courier New"/>
          <w:sz w:val="15"/>
          <w:szCs w:val="15"/>
          <w:color w:val="auto"/>
        </w:rPr>
        <w:t>Mark to</w:t>
      </w:r>
      <w:r>
        <w:rPr>
          <w:sz w:val="20"/>
          <w:szCs w:val="20"/>
          <w:color w:val="auto"/>
        </w:rPr>
        <w:tab/>
      </w:r>
      <w:r>
        <w:rPr>
          <w:rFonts w:ascii="Courier New" w:cs="Courier New" w:eastAsia="Courier New" w:hAnsi="Courier New"/>
          <w:sz w:val="15"/>
          <w:szCs w:val="15"/>
          <w:color w:val="auto"/>
        </w:rPr>
        <w:t>Translation</w:t>
      </w:r>
      <w:r>
        <w:rPr>
          <w:sz w:val="20"/>
          <w:szCs w:val="20"/>
          <w:color w:val="auto"/>
        </w:rPr>
        <w:tab/>
      </w:r>
      <w:r>
        <w:rPr>
          <w:rFonts w:ascii="Courier New" w:cs="Courier New" w:eastAsia="Courier New" w:hAnsi="Courier New"/>
          <w:sz w:val="14"/>
          <w:szCs w:val="14"/>
          <w:color w:val="auto"/>
        </w:rPr>
        <w:t>Comprehensive</w:t>
      </w:r>
    </w:p>
    <w:p>
      <w:pPr>
        <w:spacing w:after="0" w:line="166" w:lineRule="exact"/>
        <w:rPr>
          <w:sz w:val="20"/>
          <w:szCs w:val="20"/>
          <w:color w:val="auto"/>
        </w:rPr>
      </w:pPr>
    </w:p>
    <w:p>
      <w:pPr>
        <w:ind w:left="180"/>
        <w:spacing w:after="0"/>
        <w:tabs>
          <w:tab w:leader="none" w:pos="1380" w:val="left"/>
          <w:tab w:leader="none" w:pos="2960" w:val="left"/>
        </w:tabs>
        <w:rPr>
          <w:sz w:val="20"/>
          <w:szCs w:val="20"/>
          <w:color w:val="auto"/>
        </w:rPr>
      </w:pPr>
      <w:r>
        <w:rPr>
          <w:rFonts w:ascii="Courier New" w:cs="Courier New" w:eastAsia="Courier New" w:hAnsi="Courier New"/>
          <w:sz w:val="15"/>
          <w:szCs w:val="15"/>
          <w:color w:val="auto"/>
        </w:rPr>
        <w:t>Market</w:t>
      </w:r>
      <w:r>
        <w:rPr>
          <w:sz w:val="20"/>
          <w:szCs w:val="20"/>
          <w:color w:val="auto"/>
        </w:rPr>
        <w:tab/>
      </w:r>
      <w:r>
        <w:rPr>
          <w:rFonts w:ascii="Courier New" w:cs="Courier New" w:eastAsia="Courier New" w:hAnsi="Courier New"/>
          <w:sz w:val="15"/>
          <w:szCs w:val="15"/>
          <w:color w:val="auto"/>
        </w:rPr>
        <w:t>Adjustment</w:t>
      </w:r>
      <w:r>
        <w:rPr>
          <w:sz w:val="20"/>
          <w:szCs w:val="20"/>
          <w:color w:val="auto"/>
        </w:rPr>
        <w:tab/>
      </w:r>
      <w:r>
        <w:rPr>
          <w:rFonts w:ascii="Courier New" w:cs="Courier New" w:eastAsia="Courier New" w:hAnsi="Courier New"/>
          <w:sz w:val="14"/>
          <w:szCs w:val="14"/>
          <w:color w:val="auto"/>
        </w:rPr>
        <w:t>Income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p>
      <w:pPr>
        <w:sectPr>
          <w:pgSz w:w="11900" w:h="16838" w:orient="portrait"/>
          <w:cols w:equalWidth="0" w:num="2">
            <w:col w:w="7360" w:space="340"/>
            <w:col w:w="3840"/>
          </w:cols>
          <w:pgMar w:left="220" w:top="617" w:right="1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Equity, January 1, 2001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$ 1,963,905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$(1,752,961)</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$ 8,223,476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(139,204)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0" w:lineRule="exact"/>
        <w:rPr>
          <w:sz w:val="20"/>
          <w:szCs w:val="20"/>
          <w:color w:val="auto"/>
        </w:rPr>
      </w:pPr>
    </w:p>
    <w:p>
      <w:pPr>
        <w:sectPr>
          <w:pgSz w:w="11900" w:h="16838" w:orient="portrait"/>
          <w:cols w:equalWidth="0" w:num="9">
            <w:col w:w="2880" w:space="720"/>
            <w:col w:w="960" w:space="440"/>
            <w:col w:w="1040" w:space="360"/>
            <w:col w:w="960" w:space="340"/>
            <w:col w:w="160" w:space="720"/>
            <w:col w:w="80" w:space="440"/>
            <w:col w:w="1060" w:space="340"/>
            <w:col w:w="160" w:space="720"/>
            <w:col w:w="160"/>
          </w:cols>
          <w:pgMar w:left="220" w:top="617"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Net Income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337,251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337,251</w:t>
      </w:r>
    </w:p>
    <w:p>
      <w:pPr>
        <w:spacing w:after="0" w:line="178" w:lineRule="exact"/>
        <w:rPr>
          <w:sz w:val="20"/>
          <w:szCs w:val="20"/>
          <w:color w:val="auto"/>
        </w:rPr>
      </w:pPr>
    </w:p>
    <w:p>
      <w:pPr>
        <w:sectPr>
          <w:pgSz w:w="11900" w:h="16838" w:orient="portrait"/>
          <w:cols w:equalWidth="0" w:num="3">
            <w:col w:w="6020" w:space="720"/>
            <w:col w:w="3400" w:space="720"/>
            <w:col w:w="680"/>
          </w:cols>
          <w:pgMar w:left="220" w:top="617"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Derivatives marked to market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(63,040)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(63,040)</w:t>
      </w:r>
    </w:p>
    <w:p>
      <w:pPr>
        <w:spacing w:after="0" w:line="178" w:lineRule="exact"/>
        <w:rPr>
          <w:sz w:val="20"/>
          <w:szCs w:val="20"/>
          <w:color w:val="auto"/>
        </w:rPr>
      </w:pPr>
    </w:p>
    <w:p>
      <w:pPr>
        <w:sectPr>
          <w:pgSz w:w="11900" w:h="16838" w:orient="portrait"/>
          <w:cols w:equalWidth="0" w:num="3">
            <w:col w:w="7340" w:space="720"/>
            <w:col w:w="2080" w:space="720"/>
            <w:col w:w="680"/>
          </w:cols>
          <w:pgMar w:left="220" w:top="617"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Translation adjustment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(173,276)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(173,276)</w:t>
      </w:r>
    </w:p>
    <w:p>
      <w:pPr>
        <w:spacing w:after="0" w:line="178" w:lineRule="exact"/>
        <w:rPr>
          <w:sz w:val="20"/>
          <w:szCs w:val="20"/>
          <w:color w:val="auto"/>
        </w:rPr>
      </w:pPr>
    </w:p>
    <w:p>
      <w:pPr>
        <w:sectPr>
          <w:pgSz w:w="11900" w:h="16838" w:orient="portrait"/>
          <w:cols w:equalWidth="0" w:num="3">
            <w:col w:w="8640" w:space="720"/>
            <w:col w:w="800" w:space="600"/>
            <w:col w:w="780"/>
          </w:cols>
          <w:pgMar w:left="220" w:top="617"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RMS disposition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79,000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79,000</w:t>
      </w:r>
    </w:p>
    <w:p>
      <w:pPr>
        <w:spacing w:after="0" w:line="178" w:lineRule="exact"/>
        <w:rPr>
          <w:sz w:val="20"/>
          <w:szCs w:val="20"/>
          <w:color w:val="auto"/>
        </w:rPr>
      </w:pPr>
    </w:p>
    <w:p>
      <w:pPr>
        <w:sectPr>
          <w:pgSz w:w="11900" w:h="16838" w:orient="portrait"/>
          <w:cols w:equalWidth="0" w:num="3">
            <w:col w:w="8820" w:space="720"/>
            <w:col w:w="680" w:space="720"/>
            <w:col w:w="600"/>
          </w:cols>
          <w:pgMar w:left="220" w:top="617"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Dividends declared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(322,948)</w:t>
      </w:r>
    </w:p>
    <w:p>
      <w:pPr>
        <w:spacing w:after="0" w:line="178" w:lineRule="exact"/>
        <w:rPr>
          <w:sz w:val="20"/>
          <w:szCs w:val="20"/>
          <w:color w:val="auto"/>
        </w:rPr>
      </w:pPr>
    </w:p>
    <w:p>
      <w:pPr>
        <w:sectPr>
          <w:pgSz w:w="11900" w:h="16838" w:orient="portrait"/>
          <w:cols w:equalWidth="0" w:num="2">
            <w:col w:w="5940" w:space="720"/>
            <w:col w:w="4880"/>
          </w:cols>
          <w:pgMar w:left="220" w:top="617"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Employee Stock Purchase</w:t>
      </w:r>
    </w:p>
    <w:p>
      <w:pPr>
        <w:sectPr>
          <w:pgSz w:w="11900" w:h="16838" w:orient="portrait"/>
          <w:cols w:equalWidth="0" w:num="1">
            <w:col w:w="11540"/>
          </w:cols>
          <w:pgMar w:left="220" w:top="617" w:right="139" w:bottom="1440" w:gutter="0" w:footer="0" w:header="0"/>
          <w:type w:val="continuous"/>
        </w:sectPr>
      </w:pP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46,397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32,568</w:t>
      </w:r>
    </w:p>
    <w:p>
      <w:pPr>
        <w:spacing w:after="0" w:line="178" w:lineRule="exact"/>
        <w:rPr>
          <w:sz w:val="20"/>
          <w:szCs w:val="20"/>
          <w:color w:val="auto"/>
        </w:rPr>
      </w:pPr>
    </w:p>
    <w:p>
      <w:pPr>
        <w:sectPr>
          <w:pgSz w:w="11900" w:h="16838" w:orient="portrait"/>
          <w:cols w:equalWidth="0" w:num="3">
            <w:col w:w="3320" w:space="720"/>
            <w:col w:w="680" w:space="720"/>
            <w:col w:w="6100"/>
          </w:cols>
          <w:pgMar w:left="220" w:top="617"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Shares sold to optionees (net</w:t>
      </w:r>
    </w:p>
    <w:p>
      <w:pPr>
        <w:sectPr>
          <w:pgSz w:w="11900" w:h="16838" w:orient="portrait"/>
          <w:cols w:equalWidth="0" w:num="1">
            <w:col w:w="11540"/>
          </w:cols>
          <w:pgMar w:left="220" w:top="617" w:right="139" w:bottom="1440" w:gutter="0" w:footer="0" w:header="0"/>
          <w:type w:val="continuous"/>
        </w:sectPr>
      </w:pP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of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14,898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22,267</w:t>
      </w:r>
    </w:p>
    <w:p>
      <w:pPr>
        <w:spacing w:after="0" w:line="171" w:lineRule="exact"/>
        <w:rPr>
          <w:sz w:val="20"/>
          <w:szCs w:val="20"/>
          <w:color w:val="auto"/>
        </w:rPr>
      </w:pPr>
    </w:p>
    <w:p>
      <w:pPr>
        <w:sectPr>
          <w:pgSz w:w="11900" w:h="16838" w:orient="portrait"/>
          <w:cols w:equalWidth="0" w:num="3">
            <w:col w:w="3320" w:space="720"/>
            <w:col w:w="680" w:space="720"/>
            <w:col w:w="6100"/>
          </w:cols>
          <w:pgMar w:left="220" w:top="617" w:right="1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granted to 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156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89</w:t>
      </w:r>
    </w:p>
    <w:p>
      <w:pPr>
        <w:spacing w:after="0" w:line="173" w:lineRule="exact"/>
        <w:rPr>
          <w:sz w:val="20"/>
          <w:szCs w:val="20"/>
          <w:color w:val="auto"/>
        </w:rPr>
      </w:pPr>
    </w:p>
    <w:p>
      <w:pPr>
        <w:sectPr>
          <w:pgSz w:w="11900" w:h="16838" w:orient="portrait"/>
          <w:cols w:equalWidth="0" w:num="3">
            <w:col w:w="3580" w:space="720"/>
            <w:col w:w="760" w:space="720"/>
            <w:col w:w="5760"/>
          </w:cols>
          <w:pgMar w:left="220" w:top="617" w:right="139" w:bottom="1440" w:gutter="0" w:footer="0" w:header="0"/>
          <w:type w:val="continuous"/>
        </w:sectPr>
      </w:pP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Equity, September 30, 2001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$ 2,025,356</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Courier New" w:cs="Courier New" w:eastAsia="Courier New" w:hAnsi="Courier New"/>
          <w:sz w:val="14"/>
          <w:szCs w:val="14"/>
          <w:color w:val="auto"/>
        </w:rPr>
        <w:t>----------- $(1,698,037) ===========</w:t>
      </w:r>
    </w:p>
    <w:p>
      <w:pPr>
        <w:spacing w:after="0" w:line="20" w:lineRule="exact"/>
        <w:rPr>
          <w:sz w:val="20"/>
          <w:szCs w:val="20"/>
          <w:color w:val="auto"/>
        </w:rPr>
      </w:pPr>
      <w:r>
        <w:rPr>
          <w:sz w:val="20"/>
          <w:szCs w:val="20"/>
          <w:color w:val="auto"/>
        </w:rPr>
        <w:br w:type="column"/>
      </w:r>
    </w:p>
    <w:p>
      <w:pPr>
        <w:jc w:val="both"/>
        <w:spacing w:after="0" w:line="258" w:lineRule="auto"/>
        <w:rPr>
          <w:sz w:val="20"/>
          <w:szCs w:val="20"/>
          <w:color w:val="auto"/>
        </w:rPr>
      </w:pPr>
      <w:r>
        <w:rPr>
          <w:rFonts w:ascii="Courier New" w:cs="Courier New" w:eastAsia="Courier New" w:hAnsi="Courier New"/>
          <w:sz w:val="14"/>
          <w:szCs w:val="14"/>
          <w:color w:val="auto"/>
        </w:rPr>
        <w:t>----------- $ 8,237,779 ===========</w:t>
      </w:r>
    </w:p>
    <w:p>
      <w:pPr>
        <w:spacing w:after="0" w:line="20" w:lineRule="exact"/>
        <w:rPr>
          <w:sz w:val="20"/>
          <w:szCs w:val="20"/>
          <w:color w:val="auto"/>
        </w:rPr>
      </w:pPr>
      <w:r>
        <w:rPr>
          <w:sz w:val="20"/>
          <w:szCs w:val="20"/>
          <w:color w:val="auto"/>
        </w:rPr>
        <w:br w:type="column"/>
      </w:r>
    </w:p>
    <w:p>
      <w:pPr>
        <w:spacing w:after="0" w:line="235" w:lineRule="auto"/>
        <w:rPr>
          <w:sz w:val="20"/>
          <w:szCs w:val="20"/>
          <w:color w:val="auto"/>
        </w:rPr>
      </w:pPr>
      <w:r>
        <w:rPr>
          <w:rFonts w:ascii="Courier New" w:cs="Courier New" w:eastAsia="Courier New" w:hAnsi="Courier New"/>
          <w:sz w:val="15"/>
          <w:szCs w:val="15"/>
          <w:color w:val="auto"/>
        </w:rPr>
        <w:t>----------- $ (63,040) ===========</w:t>
      </w:r>
    </w:p>
    <w:p>
      <w:pPr>
        <w:spacing w:after="0" w:line="20" w:lineRule="exact"/>
        <w:rPr>
          <w:sz w:val="20"/>
          <w:szCs w:val="20"/>
          <w:color w:val="auto"/>
        </w:rPr>
      </w:pPr>
      <w:r>
        <w:rPr>
          <w:sz w:val="20"/>
          <w:szCs w:val="20"/>
          <w:color w:val="auto"/>
        </w:rPr>
        <w:br w:type="column"/>
      </w:r>
    </w:p>
    <w:p>
      <w:pPr>
        <w:spacing w:after="0" w:line="235" w:lineRule="auto"/>
        <w:rPr>
          <w:sz w:val="20"/>
          <w:szCs w:val="20"/>
          <w:color w:val="auto"/>
        </w:rPr>
      </w:pPr>
      <w:r>
        <w:rPr>
          <w:rFonts w:ascii="Courier New" w:cs="Courier New" w:eastAsia="Courier New" w:hAnsi="Courier New"/>
          <w:sz w:val="15"/>
          <w:szCs w:val="15"/>
          <w:color w:val="auto"/>
        </w:rPr>
        <w:t>----------- $ (233,480) ===========</w:t>
      </w:r>
    </w:p>
    <w:p>
      <w:pPr>
        <w:spacing w:after="0" w:line="20" w:lineRule="exact"/>
        <w:rPr>
          <w:sz w:val="20"/>
          <w:szCs w:val="20"/>
          <w:color w:val="auto"/>
        </w:rPr>
      </w:pPr>
      <w:r>
        <w:rPr>
          <w:sz w:val="20"/>
          <w:szCs w:val="20"/>
          <w:color w:val="auto"/>
        </w:rPr>
        <w:br w:type="column"/>
      </w:r>
    </w:p>
    <w:p>
      <w:pPr>
        <w:jc w:val="both"/>
        <w:ind w:right="80"/>
        <w:spacing w:after="0" w:line="258" w:lineRule="auto"/>
        <w:rPr>
          <w:sz w:val="20"/>
          <w:szCs w:val="20"/>
          <w:color w:val="auto"/>
        </w:rPr>
      </w:pPr>
      <w:r>
        <w:rPr>
          <w:rFonts w:ascii="Courier New" w:cs="Courier New" w:eastAsia="Courier New" w:hAnsi="Courier New"/>
          <w:sz w:val="14"/>
          <w:szCs w:val="14"/>
          <w:color w:val="auto"/>
        </w:rPr>
        <w:t>----------- $ 179,935 ===========</w:t>
      </w:r>
    </w:p>
    <w:p>
      <w:pPr>
        <w:spacing w:after="0" w:line="200" w:lineRule="exact"/>
        <w:rPr>
          <w:sz w:val="20"/>
          <w:szCs w:val="20"/>
          <w:color w:val="auto"/>
        </w:rPr>
      </w:pPr>
    </w:p>
    <w:p>
      <w:pPr>
        <w:sectPr>
          <w:pgSz w:w="11900" w:h="16838" w:orient="portrait"/>
          <w:cols w:equalWidth="0" w:num="7">
            <w:col w:w="2880" w:space="720"/>
            <w:col w:w="960" w:space="440"/>
            <w:col w:w="1040" w:space="360"/>
            <w:col w:w="960" w:space="340"/>
            <w:col w:w="1060" w:space="340"/>
            <w:col w:w="1060" w:space="340"/>
            <w:col w:w="1040"/>
          </w:cols>
          <w:pgMar w:left="220" w:top="617" w:right="139" w:bottom="1440" w:gutter="0" w:footer="0" w:header="0"/>
          <w:type w:val="continuous"/>
        </w:sectPr>
      </w:pPr>
    </w:p>
    <w:p>
      <w:pPr>
        <w:spacing w:after="0" w:line="298" w:lineRule="exact"/>
        <w:rPr>
          <w:sz w:val="20"/>
          <w:szCs w:val="20"/>
          <w:color w:val="auto"/>
        </w:rPr>
      </w:pPr>
    </w:p>
    <w:p>
      <w:pPr>
        <w:jc w:val="center"/>
        <w:ind w:right="4520"/>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1540"/>
          </w:cols>
          <w:pgMar w:left="220" w:top="617" w:right="139" w:bottom="1440" w:gutter="0" w:footer="0" w:header="0"/>
          <w:type w:val="continuous"/>
        </w:sectPr>
      </w:pPr>
    </w:p>
    <w:bookmarkStart w:id="5" w:name="page6"/>
    <w:bookmarkEnd w:id="5"/>
    <w:p>
      <w:pPr>
        <w:ind w:left="2640"/>
        <w:spacing w:after="0"/>
        <w:rPr>
          <w:sz w:val="20"/>
          <w:szCs w:val="20"/>
          <w:color w:val="auto"/>
        </w:rPr>
      </w:pPr>
      <w:r>
        <w:rPr>
          <w:rFonts w:ascii="Courier New" w:cs="Courier New" w:eastAsia="Courier New" w:hAnsi="Courier New"/>
          <w:sz w:val="15"/>
          <w:szCs w:val="15"/>
          <w:color w:val="auto"/>
        </w:rPr>
        <w:t>SCHLUMBERGER LIMITED</w:t>
      </w:r>
    </w:p>
    <w:p>
      <w:pPr>
        <w:ind w:left="2640"/>
        <w:spacing w:after="0" w:line="237" w:lineRule="auto"/>
        <w:rPr>
          <w:sz w:val="20"/>
          <w:szCs w:val="20"/>
          <w:color w:val="auto"/>
        </w:rPr>
      </w:pPr>
      <w:r>
        <w:rPr>
          <w:rFonts w:ascii="Courier New" w:cs="Courier New" w:eastAsia="Courier New" w:hAnsi="Courier New"/>
          <w:sz w:val="15"/>
          <w:szCs w:val="15"/>
          <w:color w:val="auto"/>
        </w:rPr>
        <w:t>--------------------</w:t>
      </w:r>
    </w:p>
    <w:p>
      <w:pPr>
        <w:jc w:val="center"/>
        <w:ind w:right="3139"/>
        <w:spacing w:after="0" w:line="238" w:lineRule="auto"/>
        <w:rPr>
          <w:sz w:val="20"/>
          <w:szCs w:val="20"/>
          <w:color w:val="auto"/>
        </w:rPr>
      </w:pPr>
      <w:r>
        <w:rPr>
          <w:rFonts w:ascii="Courier New" w:cs="Courier New" w:eastAsia="Courier New" w:hAnsi="Courier New"/>
          <w:sz w:val="15"/>
          <w:szCs w:val="15"/>
          <w:color w:val="auto"/>
        </w:rPr>
        <w:t>(Schlumberger N.V., Incorporated in the Netherlands Antilles)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and Subsidiary Companies</w:t>
      </w:r>
    </w:p>
    <w:p>
      <w:pPr>
        <w:spacing w:after="0" w:line="167"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jc w:val="center"/>
        <w:ind w:right="3139"/>
        <w:spacing w:after="0" w:line="238" w:lineRule="auto"/>
        <w:rPr>
          <w:sz w:val="20"/>
          <w:szCs w:val="20"/>
          <w:color w:val="auto"/>
        </w:rPr>
      </w:pPr>
      <w:r>
        <w:rPr>
          <w:rFonts w:ascii="Courier New" w:cs="Courier New" w:eastAsia="Courier New" w:hAnsi="Courier New"/>
          <w:sz w:val="15"/>
          <w:szCs w:val="15"/>
          <w:color w:val="auto"/>
        </w:rPr>
        <w:t>(Unaudited)</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 accompanying unaudited consolidated financial statements, which include the accounts of Schlumberger Limited ("Schlumberger") and its subsidiaries,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completed financial statements. In the opinion of management, all adjustments, consisting only of normal recurring accruals, considered necessary for a fair presentation, have been included in the accompanying unaudited financial statements. All significant intercompany transactions and balances have been eliminated in consolidation. Certain amounts in prior years' consolidated financial statements have been reclassified to conform to the current year presentation. Operating results for the nine month period ended September 30, 2001 are not necessarily indicative of the results that may be expected for the full year ending December 31, 2001. For further information, refer to the consolidated financial statements and notes thereto, included in Schlumberger's Annual Report on Form 10-K/A for the fiscal year ended in December 31, 2000.</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EARNINGS PER SHARE</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679"/>
        <w:spacing w:after="0" w:line="261" w:lineRule="auto"/>
        <w:rPr>
          <w:sz w:val="20"/>
          <w:szCs w:val="20"/>
          <w:color w:val="auto"/>
        </w:rPr>
      </w:pPr>
      <w:r>
        <w:rPr>
          <w:rFonts w:ascii="Courier New" w:cs="Courier New" w:eastAsia="Courier New" w:hAnsi="Courier New"/>
          <w:sz w:val="14"/>
          <w:szCs w:val="14"/>
          <w:color w:val="auto"/>
        </w:rPr>
        <w:t>The following is a reconciliation from basic earnings per share to diluted earnings per share for the third quarter and the first nine months of 2001:</w:t>
      </w:r>
    </w:p>
    <w:p>
      <w:pPr>
        <w:spacing w:after="0" w:line="153"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(Stated in thousands except per share amounts)</w:t>
      </w:r>
    </w:p>
    <w:p>
      <w:pPr>
        <w:sectPr>
          <w:pgSz w:w="11900" w:h="16838" w:orient="portrait"/>
          <w:cols w:equalWidth="0" w:num="1">
            <w:col w:w="10239"/>
          </w:cols>
          <w:pgMar w:left="220" w:top="617"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right="160"/>
        <w:spacing w:after="0" w:line="261" w:lineRule="auto"/>
        <w:rPr>
          <w:sz w:val="20"/>
          <w:szCs w:val="20"/>
          <w:color w:val="auto"/>
        </w:rPr>
      </w:pPr>
      <w:r>
        <w:rPr>
          <w:rFonts w:ascii="Courier New" w:cs="Courier New" w:eastAsia="Courier New" w:hAnsi="Courier New"/>
          <w:sz w:val="14"/>
          <w:szCs w:val="14"/>
          <w:color w:val="auto"/>
        </w:rPr>
        <w:t>Third Quarter -------------</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Net</w:t>
      </w:r>
    </w:p>
    <w:p>
      <w:pPr>
        <w:ind w:left="260"/>
        <w:spacing w:after="0" w:line="237" w:lineRule="auto"/>
        <w:rPr>
          <w:sz w:val="20"/>
          <w:szCs w:val="20"/>
          <w:color w:val="auto"/>
        </w:rPr>
      </w:pPr>
      <w:r>
        <w:rPr>
          <w:rFonts w:ascii="Courier New" w:cs="Courier New" w:eastAsia="Courier New" w:hAnsi="Courier New"/>
          <w:sz w:val="15"/>
          <w:szCs w:val="15"/>
          <w:color w:val="auto"/>
        </w:rPr>
        <w:t>Income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Average</w:t>
      </w:r>
    </w:p>
    <w:p>
      <w:pPr>
        <w:ind w:left="180"/>
        <w:spacing w:after="0" w:line="237" w:lineRule="auto"/>
        <w:rPr>
          <w:sz w:val="20"/>
          <w:szCs w:val="20"/>
          <w:color w:val="auto"/>
        </w:rPr>
      </w:pPr>
      <w:r>
        <w:rPr>
          <w:rFonts w:ascii="Courier New" w:cs="Courier New" w:eastAsia="Courier New" w:hAnsi="Courier New"/>
          <w:sz w:val="15"/>
          <w:szCs w:val="15"/>
          <w:color w:val="auto"/>
        </w:rPr>
        <w:t>Shares</w:t>
      </w:r>
    </w:p>
    <w:p>
      <w:pPr>
        <w:spacing w:after="0" w:line="238" w:lineRule="auto"/>
        <w:rPr>
          <w:sz w:val="20"/>
          <w:szCs w:val="20"/>
          <w:color w:val="auto"/>
        </w:rPr>
      </w:pPr>
      <w:r>
        <w:rPr>
          <w:rFonts w:ascii="Courier New" w:cs="Courier New" w:eastAsia="Courier New" w:hAnsi="Courier New"/>
          <w:sz w:val="15"/>
          <w:szCs w:val="15"/>
          <w:color w:val="auto"/>
        </w:rPr>
        <w:t>Outstanding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Earnings</w:t>
      </w:r>
    </w:p>
    <w:p>
      <w:pPr>
        <w:ind w:left="80"/>
        <w:spacing w:after="0" w:line="237" w:lineRule="auto"/>
        <w:rPr>
          <w:sz w:val="20"/>
          <w:szCs w:val="20"/>
          <w:color w:val="auto"/>
        </w:rPr>
      </w:pPr>
      <w:r>
        <w:rPr>
          <w:rFonts w:ascii="Courier New" w:cs="Courier New" w:eastAsia="Courier New" w:hAnsi="Courier New"/>
          <w:sz w:val="15"/>
          <w:szCs w:val="15"/>
          <w:color w:val="auto"/>
        </w:rPr>
        <w:t>per Share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4">
            <w:col w:w="1300" w:space="720"/>
            <w:col w:w="1060" w:space="160"/>
            <w:col w:w="1060" w:space="180"/>
            <w:col w:w="575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Basic</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4"/>
          <w:szCs w:val="14"/>
          <w:color w:val="auto"/>
        </w:rPr>
        <w:t>$</w:t>
        <w:tab/>
        <w:t>194,648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575,019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$0.34</w:t>
      </w:r>
    </w:p>
    <w:p>
      <w:pPr>
        <w:spacing w:after="0" w:line="10" w:lineRule="exact"/>
        <w:rPr>
          <w:sz w:val="20"/>
          <w:szCs w:val="20"/>
          <w:color w:val="auto"/>
        </w:rPr>
      </w:pPr>
    </w:p>
    <w:p>
      <w:pPr>
        <w:sectPr>
          <w:pgSz w:w="11900" w:h="16838" w:orient="portrait"/>
          <w:cols w:equalWidth="0" w:num="4">
            <w:col w:w="1380" w:space="720"/>
            <w:col w:w="880" w:space="620"/>
            <w:col w:w="600" w:space="700"/>
            <w:col w:w="533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Effect of dilution:</w:t>
      </w:r>
    </w:p>
    <w:p>
      <w:pPr>
        <w:sectPr>
          <w:pgSz w:w="11900" w:h="16838" w:orient="portrait"/>
          <w:cols w:equalWidth="0" w:num="1">
            <w:col w:w="10239"/>
          </w:cols>
          <w:pgMar w:left="220" w:top="617" w:right="1440" w:bottom="1440" w:gutter="0" w:footer="0" w:header="0"/>
          <w:type w:val="continuous"/>
        </w:sectPr>
      </w:pPr>
    </w:p>
    <w:p>
      <w:pPr>
        <w:spacing w:after="0" w:line="10"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Options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
        <w:spacing w:after="0"/>
        <w:tabs>
          <w:tab w:leader="none" w:pos="340" w:val="left"/>
        </w:tabs>
        <w:rPr>
          <w:sz w:val="20"/>
          <w:szCs w:val="20"/>
          <w:color w:val="auto"/>
        </w:rPr>
      </w:pPr>
      <w:r>
        <w:rPr>
          <w:rFonts w:ascii="Courier New" w:cs="Courier New" w:eastAsia="Courier New" w:hAnsi="Courier New"/>
          <w:sz w:val="15"/>
          <w:szCs w:val="15"/>
          <w:color w:val="auto"/>
        </w:rPr>
        <w:t>$</w:t>
        <w:tab/>
        <w:t>194,648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540"/>
        <w:spacing w:after="0"/>
        <w:rPr>
          <w:sz w:val="20"/>
          <w:szCs w:val="20"/>
          <w:color w:val="auto"/>
        </w:rPr>
      </w:pPr>
      <w:r>
        <w:rPr>
          <w:rFonts w:ascii="Courier New" w:cs="Courier New" w:eastAsia="Courier New" w:hAnsi="Courier New"/>
          <w:sz w:val="15"/>
          <w:szCs w:val="15"/>
          <w:color w:val="auto"/>
        </w:rPr>
        <w:t>4,453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579,472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7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20"/>
        <w:spacing w:after="0"/>
        <w:rPr>
          <w:sz w:val="20"/>
          <w:szCs w:val="20"/>
          <w:color w:val="auto"/>
        </w:rPr>
      </w:pPr>
      <w:r>
        <w:rPr>
          <w:rFonts w:ascii="Courier New" w:cs="Courier New" w:eastAsia="Courier New" w:hAnsi="Courier New"/>
          <w:sz w:val="15"/>
          <w:szCs w:val="15"/>
          <w:color w:val="auto"/>
        </w:rPr>
        <w:t>$0.34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4">
            <w:col w:w="1300" w:space="720"/>
            <w:col w:w="1060" w:space="160"/>
            <w:col w:w="1060" w:space="180"/>
            <w:col w:w="575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Nine Months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7" w:right="1440"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Basic</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tabs>
          <w:tab w:leader="none" w:pos="260" w:val="left"/>
        </w:tabs>
        <w:rPr>
          <w:sz w:val="20"/>
          <w:szCs w:val="20"/>
          <w:color w:val="auto"/>
        </w:rPr>
      </w:pPr>
      <w:r>
        <w:rPr>
          <w:rFonts w:ascii="Courier New" w:cs="Courier New" w:eastAsia="Courier New" w:hAnsi="Courier New"/>
          <w:sz w:val="14"/>
          <w:szCs w:val="14"/>
          <w:color w:val="auto"/>
        </w:rPr>
        <w:t>$</w:t>
        <w:tab/>
        <w:t>337,251</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573,843</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$0.59</w:t>
      </w:r>
    </w:p>
    <w:p>
      <w:pPr>
        <w:spacing w:after="0" w:line="10" w:lineRule="exact"/>
        <w:rPr>
          <w:sz w:val="20"/>
          <w:szCs w:val="20"/>
          <w:color w:val="auto"/>
        </w:rPr>
      </w:pPr>
    </w:p>
    <w:p>
      <w:pPr>
        <w:sectPr>
          <w:pgSz w:w="11900" w:h="16838" w:orient="portrait"/>
          <w:cols w:equalWidth="0" w:num="4">
            <w:col w:w="1380" w:space="720"/>
            <w:col w:w="880" w:space="620"/>
            <w:col w:w="600" w:space="700"/>
            <w:col w:w="533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Effect of dilution:</w:t>
      </w:r>
    </w:p>
    <w:p>
      <w:pPr>
        <w:sectPr>
          <w:pgSz w:w="11900" w:h="16838" w:orient="portrait"/>
          <w:cols w:equalWidth="0" w:num="1">
            <w:col w:w="10239"/>
          </w:cols>
          <w:pgMar w:left="220" w:top="617" w:right="1440" w:bottom="1440" w:gutter="0" w:footer="0" w:header="0"/>
          <w:type w:val="continuous"/>
        </w:sectPr>
      </w:pPr>
    </w:p>
    <w:p>
      <w:pPr>
        <w:spacing w:after="0" w:line="10"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Options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
        <w:spacing w:after="0"/>
        <w:tabs>
          <w:tab w:leader="none" w:pos="340" w:val="left"/>
        </w:tabs>
        <w:rPr>
          <w:sz w:val="20"/>
          <w:szCs w:val="20"/>
          <w:color w:val="auto"/>
        </w:rPr>
      </w:pPr>
      <w:r>
        <w:rPr>
          <w:rFonts w:ascii="Courier New" w:cs="Courier New" w:eastAsia="Courier New" w:hAnsi="Courier New"/>
          <w:sz w:val="15"/>
          <w:szCs w:val="15"/>
          <w:color w:val="auto"/>
        </w:rPr>
        <w:t>$</w:t>
        <w:tab/>
        <w:t>337,251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540"/>
        <w:spacing w:after="0"/>
        <w:rPr>
          <w:sz w:val="20"/>
          <w:szCs w:val="20"/>
          <w:color w:val="auto"/>
        </w:rPr>
      </w:pPr>
      <w:r>
        <w:rPr>
          <w:rFonts w:ascii="Courier New" w:cs="Courier New" w:eastAsia="Courier New" w:hAnsi="Courier New"/>
          <w:sz w:val="15"/>
          <w:szCs w:val="15"/>
          <w:color w:val="auto"/>
        </w:rPr>
        <w:t>6,464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580,307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7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20"/>
        <w:spacing w:after="0"/>
        <w:rPr>
          <w:sz w:val="20"/>
          <w:szCs w:val="20"/>
          <w:color w:val="auto"/>
        </w:rPr>
      </w:pPr>
      <w:r>
        <w:rPr>
          <w:rFonts w:ascii="Courier New" w:cs="Courier New" w:eastAsia="Courier New" w:hAnsi="Courier New"/>
          <w:sz w:val="15"/>
          <w:szCs w:val="15"/>
          <w:color w:val="auto"/>
        </w:rPr>
        <w:t>$0.59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4">
            <w:col w:w="1300" w:space="720"/>
            <w:col w:w="1060" w:space="160"/>
            <w:col w:w="1060" w:space="180"/>
            <w:col w:w="575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CHARGES/CREDITS</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first quarter 2001 included a $25 million ($0.04 per share - diluted) in-process research and development charge related to the acquisition of Bull CP8. This charge is classified in Research &amp; Engineering in the Consolidated Statement of Income.</w:t>
      </w:r>
    </w:p>
    <w:p>
      <w:pPr>
        <w:spacing w:after="0" w:line="17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second quarter 2001 included a $280 million ($0.48 per share - diluted) estimated impairment charge from the expected disposition of certain Resource Management Services businesses (Electricity and Water outside North America and the worldwide Gas businesses). This charge,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17" w:right="1440" w:bottom="1440" w:gutter="0" w:footer="0" w:header="0"/>
          <w:type w:val="continuous"/>
        </w:sectPr>
      </w:pPr>
    </w:p>
    <w:bookmarkStart w:id="6" w:name="page7"/>
    <w:bookmarkEnd w:id="6"/>
    <w:p>
      <w:pPr>
        <w:ind w:right="3499"/>
        <w:spacing w:after="0" w:line="235" w:lineRule="auto"/>
        <w:rPr>
          <w:sz w:val="20"/>
          <w:szCs w:val="20"/>
          <w:color w:val="auto"/>
        </w:rPr>
      </w:pPr>
      <w:r>
        <w:rPr>
          <w:rFonts w:ascii="Courier New" w:cs="Courier New" w:eastAsia="Courier New" w:hAnsi="Courier New"/>
          <w:sz w:val="15"/>
          <w:szCs w:val="15"/>
          <w:color w:val="auto"/>
        </w:rPr>
        <w:t>which included the write off of goodwill ($139 million) and cumulative translation adjustment ($79 million), is classified in Cost of goods sold and services in the Consolidated Statement of Income.</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third quarter 2001 included a pretax credit of $42.2 million representing the gain on the sale of Production Operators Corporation ($107 million) partially offset by an impairment charge relating to the expected disposition of certain other activities. This pretax credit is classified in Cost of goods sold and services and the related net tax charge of $39.5 million is classified in Taxes on income in the Consolidated Statement of Income. The after tax net offset of these items was a gain of $3 million ($0.01 per share - diluted).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CONTINGENCIES</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Consolidated Balance Sheet includes accruals for the estimated future costs associated with certain environmental remediation activities related to the past use or disposal of hazardous materials. Substantially all such costs relate to divested operations and to facilities or locations that are no longer in operation. Due to a number of uncertainties, including uncertainty of timing, the scope of remediation, future technology, regulatory changes and other factors, it is possible that the ultimate remediation costs may exceed the amounts estimated. However, in the opinion of management, such additional costs are not expected to be material relative to consolidated liquidity, financial position or future results of operations.</w:t>
      </w:r>
    </w:p>
    <w:p>
      <w:pPr>
        <w:spacing w:after="0" w:line="179"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addition, Schlumberger and its subsidiaries are party to various other legal proceedings. Although the ultimate disposition of these proceedings is not presently determinable, in the opinion of Schlumberger any liability that might ensue would not be material in relation to the consolidated liquidity, financial position or future results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 OF SEMA PLC</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On February 12, 2001, Schlumberger announced that it had reached an agreement with the board of directors of Sema plc on the terms of a recommended offer for the entire issued and to be issued share capital of Sema plc.</w:t>
      </w:r>
    </w:p>
    <w:p>
      <w:pPr>
        <w:spacing w:after="0" w:line="161" w:lineRule="exact"/>
        <w:rPr>
          <w:sz w:val="20"/>
          <w:szCs w:val="20"/>
          <w:color w:val="auto"/>
        </w:rPr>
      </w:pPr>
    </w:p>
    <w:p>
      <w:pPr>
        <w:ind w:right="3239"/>
        <w:spacing w:after="0" w:line="261" w:lineRule="auto"/>
        <w:rPr>
          <w:sz w:val="20"/>
          <w:szCs w:val="20"/>
          <w:color w:val="auto"/>
        </w:rPr>
      </w:pPr>
      <w:r>
        <w:rPr>
          <w:rFonts w:ascii="Courier New" w:cs="Courier New" w:eastAsia="Courier New" w:hAnsi="Courier New"/>
          <w:sz w:val="14"/>
          <w:szCs w:val="14"/>
          <w:color w:val="auto"/>
        </w:rPr>
        <w:t>On March 8, 2001, Schlumberger acquired, through market purchases, approximately 20% of the issued share capital of Sema at a cost of $1 billion.</w:t>
      </w:r>
    </w:p>
    <w:p>
      <w:pPr>
        <w:spacing w:after="0" w:line="160"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On April 6, 2001, the offer for the shares of Sema plc was declared unconditional in all respects. The aggregate consideration for the acquisition of 100% of the issued Sema shares was $5.15 billion (including expenses of the transaction) which was financed from existing cash resources and borrowings under a $3 billion credit facility.</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On October 3, 2001, Schlumberger issued $1.9 billion European bonds (Euro 1.4 billion and (pound)425 million). The average rate of these bonds is 5.9% with maturity from 2008 through 2032. The proceeds from the issue were used to repay short-term bank loans originally taken out to finance the acquisition of Sema plc.</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acquisition was accounted for using the purchase method of accounting and the goodwill and identifiable intangibles aggregated $5.19 billion which are being amortized on a straight line basis. Goodwill and identifiable intangibles are currently amortized on a straight line basis over a composite life of 18 years.</w:t>
      </w:r>
    </w:p>
    <w:p>
      <w:pPr>
        <w:spacing w:after="0" w:line="174"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The aggregate value of goodwill and identifiable intangibles comprised the following:</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4"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(Dollars in billions)</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Cost (including expenses)</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5.15</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Purchase accounting adjustments/(1)/</w:t>
            </w:r>
          </w:p>
        </w:tc>
        <w:tc>
          <w:tcPr>
            <w:tcW w:w="740" w:type="dxa"/>
            <w:vAlign w:val="bottom"/>
          </w:tcPr>
          <w:p>
            <w:pPr>
              <w:spacing w:after="0"/>
              <w:rPr>
                <w:sz w:val="14"/>
                <w:szCs w:val="14"/>
                <w:color w:val="auto"/>
              </w:rPr>
            </w:pPr>
          </w:p>
        </w:tc>
        <w:tc>
          <w:tcPr>
            <w:tcW w:w="12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0.34</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tangible assets acquired</w:t>
            </w:r>
          </w:p>
        </w:tc>
        <w:tc>
          <w:tcPr>
            <w:tcW w:w="740" w:type="dxa"/>
            <w:vAlign w:val="bottom"/>
          </w:tcPr>
          <w:p>
            <w:pPr>
              <w:spacing w:after="0"/>
              <w:rPr>
                <w:sz w:val="14"/>
                <w:szCs w:val="14"/>
                <w:color w:val="auto"/>
              </w:rPr>
            </w:pPr>
          </w:p>
        </w:tc>
        <w:tc>
          <w:tcPr>
            <w:tcW w:w="12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(0.30)</w:t>
            </w:r>
          </w:p>
        </w:tc>
      </w:tr>
      <w:tr>
        <w:trPr>
          <w:trHeight w:val="168"/>
        </w:trPr>
        <w:tc>
          <w:tcPr>
            <w:tcW w:w="3240" w:type="dxa"/>
            <w:vAlign w:val="bottom"/>
          </w:tcPr>
          <w:p>
            <w:pPr>
              <w:spacing w:after="0"/>
              <w:rPr>
                <w:sz w:val="14"/>
                <w:szCs w:val="14"/>
                <w:color w:val="auto"/>
              </w:rPr>
            </w:pPr>
          </w:p>
        </w:tc>
        <w:tc>
          <w:tcPr>
            <w:tcW w:w="194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5.19</w:t>
            </w:r>
          </w:p>
        </w:tc>
      </w:tr>
    </w:tbl>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540" w:hanging="355"/>
        <w:spacing w:after="0"/>
        <w:tabs>
          <w:tab w:leader="none" w:pos="5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accounting adjustments consisted primarily of severance costs</w:t>
      </w:r>
    </w:p>
    <w:p>
      <w:pPr>
        <w:spacing w:after="0" w:line="4" w:lineRule="exact"/>
        <w:rPr>
          <w:rFonts w:ascii="Courier New" w:cs="Courier New" w:eastAsia="Courier New" w:hAnsi="Courier New"/>
          <w:sz w:val="15"/>
          <w:szCs w:val="15"/>
          <w:color w:val="auto"/>
        </w:rPr>
      </w:pPr>
    </w:p>
    <w:p>
      <w:pPr>
        <w:ind w:left="540" w:right="32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($84 million), facility reductions ($33 million), pension plan adjustments ($136 million) and tax restructuring costs ($50 million).</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For financial reporting purposes, Schlumberger included the results of operations of Sema in its consolidated accounts commencing April 1, 2001. If Sema had been included in the consolidated financial statements of Schlumberger from January 1, consolidated revenue for the nine months ended September 30, 2001 would have increased by $538 million to $10.7 billion and consolidated net income would have decreased by approximately $140 million related primarily to increased interest expense and amortization of intangibles, and lower interest income to $197 million.</w:t>
      </w:r>
    </w:p>
    <w:p>
      <w:pPr>
        <w:spacing w:after="0" w:line="177"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Sema is an IT services company (with approximately 22,000 employees) that provides its customers with design, implementation, operations and management of information systems and IT-related consulting services. Among the industry sectors which Sema serves, Sema has increasingly focused on the telecommunications and finance sectors, and provides a range of its own software products specifically designed for these sectors in addition to its IT services. Sema's customers include a wide variety of businesses and governmental departments around the world. Sema's services and product offerings include systems integration and consulting; software products for the telecommunications, energy, transport and finance sectors; and outsourcing.</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BUSINESS ACQUISITIONS</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March 2001, Schlumberger acquired Bull CP8, a market leader in microprocessor-based smart cards and associated systems applications for the banking, mobile communications and network security industries. The acquisition price was $313 million. Assets acquired included identifiable intangibles (primarily patents) of $136 million and goodwill of $140 million. Additionally, in-process research &amp; development which aggregated $25 million was charged to expense in the first quarter.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 IN AFFILIATED COMPANIES</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Investments in affiliated companies include Schlumberger's 40% investment in the MI Drilling Fluids Joint Venture (September 30, 2001 - $513 million; December 31, 2000 - $461 million). Equity in income of investments carried under the equity method (2001 - $42 million; 2000 - $24 million) are included in Interest &amp; other income on the Consolidated Statement of Income.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STANDARDS</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Commencing January 1, 2001, Schlumberger adopted SFAS 133 (Accounting for Derivative Instruments and Hedging Activities). Schlumberger uses derivative instruments such as interest rate swaps, currency swaps, forward currency contracts and foreign currency options. Forward currency contracts provide a hedge against currency fluctuations on assets/liabilities denominated in other than a functional currency. Options are usually entered into as a hedge against currency variations on firm commitments generally involving the construction of long-lived assets.</w:t>
      </w:r>
    </w:p>
    <w:p>
      <w:pPr>
        <w:spacing w:after="0" w:line="177"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Schlumberger maintains a foreign-currency risk management strategy that uses derivative instruments to protect its interests from unanticipated fluctuations in earnings and cash flows caused by volatility in currency exchange rates. Movements in foreign currency exchange rates pose a risk to Schlumberger's operations as exchange rate changes may affect profitability and cash flow. Schlumberger uses foreign currency forward exchange contracts, swaps and options. Schlumberger also maintains an interest rate risk management strategy that uses derivatives to minimize significant, unanticipated earnings fluctuations caused by interest rate volatility.</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17" w:right="1440" w:bottom="1440" w:gutter="0" w:footer="0" w:header="0"/>
        </w:sectPr>
      </w:pPr>
    </w:p>
    <w:bookmarkStart w:id="8" w:name="page9"/>
    <w:bookmarkEnd w:id="8"/>
    <w:p>
      <w:pPr>
        <w:ind w:right="3399"/>
        <w:spacing w:after="0" w:line="235" w:lineRule="auto"/>
        <w:rPr>
          <w:sz w:val="20"/>
          <w:szCs w:val="20"/>
          <w:color w:val="auto"/>
        </w:rPr>
      </w:pPr>
      <w:r>
        <w:rPr>
          <w:rFonts w:ascii="Courier New" w:cs="Courier New" w:eastAsia="Courier New" w:hAnsi="Courier New"/>
          <w:sz w:val="15"/>
          <w:szCs w:val="15"/>
          <w:color w:val="auto"/>
        </w:rPr>
        <w:t>Schlumberger's specific goals are (1) to manage interest rate sensitivity by modifying the repricing or maturity characteristics of certain of its debt and (2) to lower (where possible) the cost of borrowed funds.</w:t>
      </w:r>
    </w:p>
    <w:p>
      <w:pPr>
        <w:spacing w:after="0" w:line="174"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By using derivative financial instruments to hedge exposure to changes in exchange rates and interest rates, Schlumberger exposes itself to credit risk and market risk. Schlumberger minimizes the credit risk by entering into transactions with high-quality counterparties, limiting the exposure to each counterparty and monitoring the financial condition of its counterparties. Market risk is managed through the setting and monitoring of parameters that limit the types and degree of market risk which are acceptable.</w:t>
      </w:r>
    </w:p>
    <w:p>
      <w:pPr>
        <w:spacing w:after="0" w:line="16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At September 30, 2001, Schlumberger recognized a net $63 million charge in Stockholders' Equity relating to SFAS 133. This charge was primarily due to the change in the fair market value of Schlumberger's US interest rate swaps as a result of declining interest rates. The effect on Stockholders' Equity at December 31, 2000 was not significant.</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June 2001, SFAS 141 (Business Combinations) and SFAS 142 (Goodwill and Other Intangible Assets) were issued. SFAS 141 has been adopted by Schlumberger for acquisitions subsequent to June 30, 2001. SFAS 142 will be adopted by Schlumberger commencing January 1, 2002. As required by SFAS 142, Schlumberger will undertake a review for impairment in 2002.</w:t>
      </w:r>
    </w:p>
    <w:p>
      <w:pPr>
        <w:spacing w:after="0" w:line="174"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Amortization of goodwill and other intangibles included in Schlumberger's results are as follows:</w:t>
      </w:r>
    </w:p>
    <w:p>
      <w:pPr>
        <w:sectPr>
          <w:pgSz w:w="11900" w:h="16838" w:orient="portrait"/>
          <w:cols w:equalWidth="0" w:num="1">
            <w:col w:w="10239"/>
          </w:cols>
          <w:pgMar w:left="220" w:top="624" w:right="1440" w:bottom="1440" w:gutter="0" w:footer="0" w:header="0"/>
        </w:sectPr>
      </w:pPr>
    </w:p>
    <w:p>
      <w:pPr>
        <w:spacing w:after="0" w:line="335"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Third Quarter</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million - pretax)</w:t>
      </w:r>
    </w:p>
    <w:p>
      <w:pPr>
        <w:ind w:left="520"/>
        <w:spacing w:after="0" w:line="237" w:lineRule="auto"/>
        <w:rPr>
          <w:sz w:val="20"/>
          <w:szCs w:val="20"/>
          <w:color w:val="auto"/>
        </w:rPr>
      </w:pPr>
      <w:r>
        <w:rPr>
          <w:rFonts w:ascii="Courier New" w:cs="Courier New" w:eastAsia="Courier New" w:hAnsi="Courier New"/>
          <w:sz w:val="15"/>
          <w:szCs w:val="15"/>
          <w:color w:val="auto"/>
        </w:rPr>
        <w:t>Nine Months</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2540" w:space="100"/>
            <w:col w:w="7599"/>
          </w:cols>
          <w:pgMar w:left="220" w:top="624" w:right="1440" w:bottom="1440" w:gutter="0" w:footer="0" w:header="0"/>
          <w:type w:val="continuous"/>
        </w:sectPr>
      </w:pPr>
    </w:p>
    <w:p>
      <w:pPr>
        <w:ind w:left="980"/>
        <w:spacing w:after="0"/>
        <w:rPr>
          <w:sz w:val="20"/>
          <w:szCs w:val="20"/>
          <w:color w:val="auto"/>
        </w:rPr>
      </w:pPr>
      <w:r>
        <w:rPr>
          <w:rFonts w:ascii="Courier New" w:cs="Courier New" w:eastAsia="Courier New" w:hAnsi="Courier New"/>
          <w:sz w:val="15"/>
          <w:szCs w:val="15"/>
          <w:color w:val="auto"/>
        </w:rPr>
        <w:t>2001</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800"/>
        <w:spacing w:after="0"/>
        <w:tabs>
          <w:tab w:leader="none" w:pos="13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111</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25</w:t>
      </w:r>
    </w:p>
    <w:p>
      <w:pPr>
        <w:spacing w:after="0" w:line="20" w:lineRule="exact"/>
        <w:rPr>
          <w:sz w:val="20"/>
          <w:szCs w:val="20"/>
          <w:color w:val="auto"/>
        </w:rPr>
      </w:pPr>
      <w:r>
        <w:rPr>
          <w:sz w:val="20"/>
          <w:szCs w:val="20"/>
          <w:color w:val="auto"/>
        </w:rPr>
        <w:br w:type="column"/>
      </w:r>
    </w:p>
    <w:p>
      <w:pPr>
        <w:ind w:left="280"/>
        <w:spacing w:after="0"/>
        <w:tabs>
          <w:tab w:leader="none" w:pos="1120" w:val="left"/>
        </w:tabs>
        <w:rPr>
          <w:sz w:val="20"/>
          <w:szCs w:val="20"/>
          <w:color w:val="auto"/>
        </w:rPr>
      </w:pPr>
      <w:r>
        <w:rPr>
          <w:rFonts w:ascii="Courier New" w:cs="Courier New" w:eastAsia="Courier New" w:hAnsi="Courier New"/>
          <w:sz w:val="15"/>
          <w:szCs w:val="15"/>
          <w:color w:val="auto"/>
        </w:rPr>
        <w:t>2001</w:t>
      </w:r>
      <w:r>
        <w:rPr>
          <w:sz w:val="20"/>
          <w:szCs w:val="20"/>
          <w:color w:val="auto"/>
        </w:rPr>
        <w:tab/>
      </w:r>
      <w:r>
        <w:rPr>
          <w:rFonts w:ascii="Courier New" w:cs="Courier New" w:eastAsia="Courier New" w:hAnsi="Courier New"/>
          <w:sz w:val="15"/>
          <w:szCs w:val="15"/>
          <w:color w:val="auto"/>
        </w:rPr>
        <w:t>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tabs>
          <w:tab w:leader="none" w:pos="520" w:val="left"/>
          <w:tab w:leader="none" w:pos="14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236 $</w:t>
      </w:r>
      <w:r>
        <w:rPr>
          <w:sz w:val="20"/>
          <w:szCs w:val="20"/>
          <w:color w:val="auto"/>
        </w:rPr>
        <w:tab/>
      </w:r>
      <w:r>
        <w:rPr>
          <w:rFonts w:ascii="Courier New" w:cs="Courier New" w:eastAsia="Courier New" w:hAnsi="Courier New"/>
          <w:sz w:val="15"/>
          <w:szCs w:val="15"/>
          <w:color w:val="auto"/>
        </w:rPr>
        <w:t>71</w:t>
      </w:r>
    </w:p>
    <w:p>
      <w:pPr>
        <w:spacing w:after="0" w:line="173" w:lineRule="exact"/>
        <w:rPr>
          <w:sz w:val="20"/>
          <w:szCs w:val="20"/>
          <w:color w:val="auto"/>
        </w:rPr>
      </w:pPr>
    </w:p>
    <w:p>
      <w:pPr>
        <w:sectPr>
          <w:pgSz w:w="11900" w:h="16838" w:orient="portrait"/>
          <w:cols w:equalWidth="0" w:num="3">
            <w:col w:w="1580" w:space="180"/>
            <w:col w:w="780" w:space="260"/>
            <w:col w:w="7439"/>
          </w:cols>
          <w:pgMar w:left="220" w:top="624" w:right="1440" w:bottom="1440" w:gutter="0" w:footer="0" w:header="0"/>
          <w:type w:val="continuous"/>
        </w:sectPr>
      </w:pPr>
    </w:p>
    <w:p>
      <w:pPr>
        <w:ind w:right="3399"/>
        <w:spacing w:after="0" w:line="235" w:lineRule="auto"/>
        <w:rPr>
          <w:sz w:val="20"/>
          <w:szCs w:val="20"/>
          <w:color w:val="auto"/>
        </w:rPr>
      </w:pPr>
      <w:r>
        <w:rPr>
          <w:rFonts w:ascii="Courier New" w:cs="Courier New" w:eastAsia="Courier New" w:hAnsi="Courier New"/>
          <w:sz w:val="15"/>
          <w:szCs w:val="15"/>
          <w:color w:val="auto"/>
        </w:rPr>
        <w:t>The total amount for the year 2001 is expected to be $350 million (pretax) and with the adoption of SFAS 142, the equivalent amount is estimated to be $60 million in 2002.</w:t>
      </w:r>
    </w:p>
    <w:p>
      <w:pPr>
        <w:spacing w:after="0" w:line="174"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In June 2001, SFAS 143 (Accounting for Asset Retirement Obligations) was issued. SFAS 143 will be adopted by Schlumberger commencing January 1, 2003. Schlumberger does not believe that the implementation of this standard will have any material effect on it's Financial Position and Results of Operations.</w:t>
      </w:r>
    </w:p>
    <w:p>
      <w:pPr>
        <w:spacing w:after="0" w:line="16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August 2001, SFAS 144 (Accounting for Impairment or Disposal of Long-Lived Assets) was issued. SFAS 144 will be adopted by Schlumberger commencing January 1, 2002. Schlumberger does not believe that the implementation of this standard will have any material effect on it's Financial Position and Results of Operations.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4" w:right="1440" w:bottom="1440" w:gutter="0" w:footer="0" w:header="0"/>
          <w:type w:val="continuous"/>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SEGMENT INFORMATION</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4700"/>
        <w:spacing w:after="0" w:line="236" w:lineRule="auto"/>
        <w:rPr>
          <w:sz w:val="20"/>
          <w:szCs w:val="20"/>
          <w:color w:val="auto"/>
        </w:rPr>
      </w:pPr>
      <w:r>
        <w:rPr>
          <w:rFonts w:ascii="Courier New" w:cs="Courier New" w:eastAsia="Courier New" w:hAnsi="Courier New"/>
          <w:sz w:val="15"/>
          <w:szCs w:val="15"/>
          <w:color w:val="auto"/>
        </w:rPr>
        <w:t>Following the acquisition of Sema plc on April 6, 2001, Schlumberger created a new business segment, SchlumbergerSema, which resulted from the merger of Sema plc with certain businesses from Schlumberger's former segments, Test &amp; Transactions and Resource Management Services. Following this reorganization, Schlumberger now operates two reportable segments, Oilfield Services and SchlumbergerSema.</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(Stated in millions)</w:t>
            </w:r>
          </w:p>
        </w:tc>
      </w:tr>
      <w:tr>
        <w:trPr>
          <w:trHeight w:val="336"/>
        </w:trPr>
        <w:tc>
          <w:tcPr>
            <w:tcW w:w="2420" w:type="dxa"/>
            <w:vAlign w:val="bottom"/>
          </w:tcPr>
          <w:p>
            <w:pPr>
              <w:spacing w:after="0"/>
              <w:rPr>
                <w:sz w:val="24"/>
                <w:szCs w:val="24"/>
                <w:color w:val="auto"/>
              </w:rPr>
            </w:pPr>
          </w:p>
        </w:tc>
        <w:tc>
          <w:tcPr>
            <w:tcW w:w="9120" w:type="dxa"/>
            <w:vAlign w:val="bottom"/>
            <w:gridSpan w:val="19"/>
          </w:tcPr>
          <w:p>
            <w:pPr>
              <w:ind w:left="22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2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Elims/</w:t>
            </w:r>
          </w:p>
        </w:tc>
        <w:tc>
          <w:tcPr>
            <w:tcW w:w="220" w:type="dxa"/>
            <w:vAlign w:val="bottom"/>
          </w:tcPr>
          <w:p>
            <w:pPr>
              <w:spacing w:after="0"/>
              <w:rPr>
                <w:sz w:val="14"/>
                <w:szCs w:val="14"/>
                <w:color w:val="auto"/>
              </w:rPr>
            </w:pPr>
          </w:p>
        </w:tc>
        <w:tc>
          <w:tcPr>
            <w:tcW w:w="62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Total</w:t>
            </w:r>
          </w:p>
        </w:tc>
        <w:tc>
          <w:tcPr>
            <w:tcW w:w="1300" w:type="dxa"/>
            <w:vAlign w:val="bottom"/>
            <w:gridSpan w:val="2"/>
          </w:tcPr>
          <w:p>
            <w:pPr>
              <w:jc w:val="center"/>
              <w:ind w:left="7"/>
              <w:spacing w:after="0" w:line="168" w:lineRule="exact"/>
              <w:rPr>
                <w:sz w:val="20"/>
                <w:szCs w:val="20"/>
                <w:color w:val="auto"/>
              </w:rPr>
            </w:pPr>
            <w:r>
              <w:rPr>
                <w:rFonts w:ascii="Courier New" w:cs="Courier New" w:eastAsia="Courier New" w:hAnsi="Courier New"/>
                <w:sz w:val="15"/>
                <w:szCs w:val="15"/>
                <w:color w:val="auto"/>
                <w:w w:val="98"/>
              </w:rPr>
              <w:t>Schlumberger</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Elims/</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Nine Months 2001</w:t>
            </w:r>
          </w:p>
        </w:tc>
        <w:tc>
          <w:tcPr>
            <w:tcW w:w="380" w:type="dxa"/>
            <w:vAlign w:val="bottom"/>
          </w:tcPr>
          <w:p>
            <w:pPr>
              <w:spacing w:after="0"/>
              <w:rPr>
                <w:sz w:val="14"/>
                <w:szCs w:val="14"/>
                <w:color w:val="auto"/>
              </w:rPr>
            </w:pPr>
          </w:p>
        </w:tc>
        <w:tc>
          <w:tcPr>
            <w:tcW w:w="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6"/>
              </w:rPr>
              <w:t>NAM</w:t>
            </w:r>
          </w:p>
        </w:tc>
        <w:tc>
          <w:tcPr>
            <w:tcW w:w="280" w:type="dxa"/>
            <w:vAlign w:val="bottom"/>
          </w:tcPr>
          <w:p>
            <w:pPr>
              <w:spacing w:after="0"/>
              <w:rPr>
                <w:sz w:val="14"/>
                <w:szCs w:val="14"/>
                <w:color w:val="auto"/>
              </w:rPr>
            </w:pPr>
          </w:p>
        </w:tc>
        <w:tc>
          <w:tcPr>
            <w:tcW w:w="6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LAM</w:t>
            </w:r>
          </w:p>
        </w:tc>
        <w:tc>
          <w:tcPr>
            <w:tcW w:w="180" w:type="dxa"/>
            <w:vAlign w:val="bottom"/>
          </w:tcPr>
          <w:p>
            <w:pPr>
              <w:spacing w:after="0"/>
              <w:rPr>
                <w:sz w:val="14"/>
                <w:szCs w:val="14"/>
                <w:color w:val="auto"/>
              </w:rPr>
            </w:pP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ECA</w:t>
            </w:r>
          </w:p>
        </w:tc>
        <w:tc>
          <w:tcPr>
            <w:tcW w:w="26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MEA</w:t>
            </w:r>
          </w:p>
        </w:tc>
        <w:tc>
          <w:tcPr>
            <w:tcW w:w="8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Other</w:t>
            </w:r>
          </w:p>
        </w:tc>
        <w:tc>
          <w:tcPr>
            <w:tcW w:w="220" w:type="dxa"/>
            <w:vAlign w:val="bottom"/>
          </w:tcPr>
          <w:p>
            <w:pPr>
              <w:spacing w:after="0"/>
              <w:rPr>
                <w:sz w:val="14"/>
                <w:szCs w:val="14"/>
                <w:color w:val="auto"/>
              </w:rPr>
            </w:pPr>
          </w:p>
        </w:tc>
        <w:tc>
          <w:tcPr>
            <w:tcW w:w="62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6"/>
              </w:rPr>
              <w:t>OFS</w:t>
            </w:r>
          </w:p>
        </w:tc>
        <w:tc>
          <w:tcPr>
            <w:tcW w:w="420" w:type="dxa"/>
            <w:vAlign w:val="bottom"/>
          </w:tcPr>
          <w:p>
            <w:pPr>
              <w:spacing w:after="0"/>
              <w:rPr>
                <w:sz w:val="14"/>
                <w:szCs w:val="14"/>
                <w:color w:val="auto"/>
              </w:rPr>
            </w:pPr>
          </w:p>
        </w:tc>
        <w:tc>
          <w:tcPr>
            <w:tcW w:w="8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4"/>
              </w:rPr>
              <w:t>Sema</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Other(1)</w:t>
            </w:r>
          </w:p>
        </w:tc>
        <w:tc>
          <w:tcPr>
            <w:tcW w:w="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Consolidated</w:t>
            </w:r>
          </w:p>
        </w:tc>
      </w:tr>
      <w:tr>
        <w:trPr>
          <w:trHeight w:val="168"/>
        </w:trPr>
        <w:tc>
          <w:tcPr>
            <w:tcW w:w="2420" w:type="dxa"/>
            <w:vAlign w:val="bottom"/>
          </w:tcPr>
          <w:p>
            <w:pPr>
              <w:spacing w:after="0"/>
              <w:rPr>
                <w:sz w:val="14"/>
                <w:szCs w:val="14"/>
                <w:color w:val="auto"/>
              </w:rPr>
            </w:pPr>
          </w:p>
        </w:tc>
        <w:tc>
          <w:tcPr>
            <w:tcW w:w="9120" w:type="dxa"/>
            <w:vAlign w:val="bottom"/>
            <w:gridSpan w:val="19"/>
          </w:tcPr>
          <w:p>
            <w:pPr>
              <w:ind w:left="2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8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$2,807</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1,078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1,565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3"/>
              </w:rPr>
              <w:t>1,523</w:t>
            </w:r>
          </w:p>
        </w:tc>
        <w:tc>
          <w:tcPr>
            <w:tcW w:w="8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$ 309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7,282</w:t>
            </w:r>
          </w:p>
        </w:tc>
        <w:tc>
          <w:tcPr>
            <w:tcW w:w="13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$ 2,091</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845</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 (50)</w:t>
            </w:r>
          </w:p>
        </w:tc>
        <w:tc>
          <w:tcPr>
            <w:tcW w:w="10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$ 10,168</w:t>
            </w:r>
          </w:p>
        </w:tc>
      </w:tr>
      <w:tr>
        <w:trPr>
          <w:trHeight w:val="168"/>
        </w:trPr>
        <w:tc>
          <w:tcPr>
            <w:tcW w:w="2420" w:type="dxa"/>
            <w:vAlign w:val="bottom"/>
          </w:tcPr>
          <w:p>
            <w:pPr>
              <w:spacing w:after="0"/>
              <w:rPr>
                <w:sz w:val="14"/>
                <w:szCs w:val="14"/>
                <w:color w:val="auto"/>
              </w:rPr>
            </w:pPr>
          </w:p>
        </w:tc>
        <w:tc>
          <w:tcPr>
            <w:tcW w:w="9120" w:type="dxa"/>
            <w:vAlign w:val="bottom"/>
            <w:gridSpan w:val="19"/>
          </w:tcPr>
          <w:p>
            <w:pPr>
              <w:ind w:left="2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Segment Income</w:t>
            </w:r>
          </w:p>
        </w:tc>
        <w:tc>
          <w:tcPr>
            <w:tcW w:w="3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438</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279</w:t>
            </w:r>
          </w:p>
        </w:tc>
        <w:tc>
          <w:tcPr>
            <w:tcW w:w="8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 (55)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954</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(195)</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798</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380" w:type="dxa"/>
            <w:vAlign w:val="bottom"/>
          </w:tcPr>
          <w:p>
            <w:pPr>
              <w:spacing w:after="0"/>
              <w:rPr>
                <w:sz w:val="24"/>
                <w:szCs w:val="24"/>
                <w:color w:val="auto"/>
              </w:rPr>
            </w:pP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24"/>
                <w:szCs w:val="24"/>
                <w:color w:val="auto"/>
              </w:rPr>
            </w:pPr>
          </w:p>
        </w:tc>
        <w:tc>
          <w:tcPr>
            <w:tcW w:w="6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w:t>
            </w:r>
          </w:p>
        </w:tc>
        <w:tc>
          <w:tcPr>
            <w:tcW w:w="220" w:type="dxa"/>
            <w:vAlign w:val="bottom"/>
          </w:tcPr>
          <w:p>
            <w:pPr>
              <w:spacing w:after="0"/>
              <w:rPr>
                <w:sz w:val="24"/>
                <w:szCs w:val="2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w:t>
            </w:r>
          </w:p>
        </w:tc>
        <w:tc>
          <w:tcPr>
            <w:tcW w:w="420" w:type="dxa"/>
            <w:vAlign w:val="bottom"/>
          </w:tcPr>
          <w:p>
            <w:pPr>
              <w:spacing w:after="0"/>
              <w:rPr>
                <w:sz w:val="24"/>
                <w:szCs w:val="2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w:t>
            </w:r>
          </w:p>
        </w:tc>
        <w:tc>
          <w:tcPr>
            <w:tcW w:w="360" w:type="dxa"/>
            <w:vAlign w:val="bottom"/>
          </w:tcPr>
          <w:p>
            <w:pPr>
              <w:spacing w:after="0"/>
              <w:rPr>
                <w:sz w:val="24"/>
                <w:szCs w:val="24"/>
                <w:color w:val="auto"/>
              </w:rPr>
            </w:pP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400" w:type="dxa"/>
            <w:vAlign w:val="bottom"/>
          </w:tcPr>
          <w:p>
            <w:pPr>
              <w:spacing w:after="0"/>
              <w:rPr>
                <w:sz w:val="24"/>
                <w:szCs w:val="24"/>
                <w:color w:val="auto"/>
              </w:rPr>
            </w:pPr>
          </w:p>
        </w:tc>
        <w:tc>
          <w:tcPr>
            <w:tcW w:w="6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28</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Income Tax Expense</w:t>
            </w:r>
          </w:p>
        </w:tc>
        <w:tc>
          <w:tcPr>
            <w:tcW w:w="380" w:type="dxa"/>
            <w:vAlign w:val="bottom"/>
          </w:tcPr>
          <w:p>
            <w:pPr>
              <w:spacing w:after="0"/>
              <w:rPr>
                <w:sz w:val="24"/>
                <w:szCs w:val="24"/>
                <w:color w:val="auto"/>
              </w:rPr>
            </w:pP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265</w:t>
            </w:r>
          </w:p>
        </w:tc>
        <w:tc>
          <w:tcPr>
            <w:tcW w:w="280" w:type="dxa"/>
            <w:vAlign w:val="bottom"/>
          </w:tcPr>
          <w:p>
            <w:pPr>
              <w:spacing w:after="0"/>
              <w:rPr>
                <w:sz w:val="24"/>
                <w:szCs w:val="24"/>
                <w:color w:val="auto"/>
              </w:rPr>
            </w:pPr>
          </w:p>
        </w:tc>
        <w:tc>
          <w:tcPr>
            <w:tcW w:w="6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31</w:t>
            </w:r>
          </w:p>
        </w:tc>
        <w:tc>
          <w:tcPr>
            <w:tcW w:w="180" w:type="dxa"/>
            <w:vAlign w:val="bottom"/>
          </w:tcPr>
          <w:p>
            <w:pPr>
              <w:spacing w:after="0"/>
              <w:rPr>
                <w:sz w:val="24"/>
                <w:szCs w:val="2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w:t>
            </w:r>
          </w:p>
        </w:tc>
        <w:tc>
          <w:tcPr>
            <w:tcW w:w="260" w:type="dxa"/>
            <w:vAlign w:val="bottom"/>
          </w:tcPr>
          <w:p>
            <w:pPr>
              <w:spacing w:after="0"/>
              <w:rPr>
                <w:sz w:val="24"/>
                <w:szCs w:val="24"/>
                <w:color w:val="auto"/>
              </w:rPr>
            </w:pP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50</w:t>
            </w:r>
          </w:p>
        </w:tc>
        <w:tc>
          <w:tcPr>
            <w:tcW w:w="360" w:type="dxa"/>
            <w:vAlign w:val="bottom"/>
          </w:tcPr>
          <w:p>
            <w:pPr>
              <w:spacing w:after="0"/>
              <w:rPr>
                <w:sz w:val="24"/>
                <w:szCs w:val="24"/>
                <w:color w:val="auto"/>
              </w:rPr>
            </w:pPr>
          </w:p>
        </w:tc>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w:t>
            </w:r>
          </w:p>
        </w:tc>
        <w:tc>
          <w:tcPr>
            <w:tcW w:w="220" w:type="dxa"/>
            <w:vAlign w:val="bottom"/>
          </w:tcPr>
          <w:p>
            <w:pPr>
              <w:spacing w:after="0"/>
              <w:rPr>
                <w:sz w:val="24"/>
                <w:szCs w:val="2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413</w:t>
            </w:r>
          </w:p>
        </w:tc>
        <w:tc>
          <w:tcPr>
            <w:tcW w:w="420" w:type="dxa"/>
            <w:vAlign w:val="bottom"/>
          </w:tcPr>
          <w:p>
            <w:pPr>
              <w:spacing w:after="0"/>
              <w:rPr>
                <w:sz w:val="24"/>
                <w:szCs w:val="2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w:t>
            </w:r>
          </w:p>
        </w:tc>
        <w:tc>
          <w:tcPr>
            <w:tcW w:w="360" w:type="dxa"/>
            <w:vAlign w:val="bottom"/>
          </w:tcPr>
          <w:p>
            <w:pPr>
              <w:spacing w:after="0"/>
              <w:rPr>
                <w:sz w:val="24"/>
                <w:szCs w:val="2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(83)</w:t>
            </w:r>
          </w:p>
        </w:tc>
        <w:tc>
          <w:tcPr>
            <w:tcW w:w="400" w:type="dxa"/>
            <w:vAlign w:val="bottom"/>
          </w:tcPr>
          <w:p>
            <w:pPr>
              <w:spacing w:after="0"/>
              <w:rPr>
                <w:sz w:val="24"/>
                <w:szCs w:val="24"/>
                <w:color w:val="auto"/>
              </w:rPr>
            </w:pPr>
          </w:p>
        </w:tc>
        <w:tc>
          <w:tcPr>
            <w:tcW w:w="6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317</w:t>
            </w:r>
          </w:p>
        </w:tc>
      </w:tr>
      <w:tr>
        <w:trPr>
          <w:trHeight w:val="168"/>
        </w:trPr>
        <w:tc>
          <w:tcPr>
            <w:tcW w:w="2420" w:type="dxa"/>
            <w:vAlign w:val="bottom"/>
          </w:tcPr>
          <w:p>
            <w:pPr>
              <w:spacing w:after="0"/>
              <w:rPr>
                <w:sz w:val="14"/>
                <w:szCs w:val="14"/>
                <w:color w:val="auto"/>
              </w:rPr>
            </w:pPr>
          </w:p>
        </w:tc>
        <w:tc>
          <w:tcPr>
            <w:tcW w:w="9120" w:type="dxa"/>
            <w:vAlign w:val="bottom"/>
            <w:gridSpan w:val="19"/>
          </w:tcPr>
          <w:p>
            <w:pPr>
              <w:ind w:left="2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Segment Income before tax</w:t>
            </w:r>
          </w:p>
        </w:tc>
        <w:tc>
          <w:tcPr>
            <w:tcW w:w="3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703</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133</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329</w:t>
            </w:r>
          </w:p>
        </w:tc>
        <w:tc>
          <w:tcPr>
            <w:tcW w:w="8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 (23)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1,391</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w:t>
            </w:r>
          </w:p>
        </w:tc>
        <w:tc>
          <w:tcPr>
            <w:tcW w:w="360" w:type="dxa"/>
            <w:vAlign w:val="bottom"/>
          </w:tcPr>
          <w:p>
            <w:pPr>
              <w:spacing w:after="0"/>
              <w:rPr>
                <w:sz w:val="14"/>
                <w:szCs w:val="14"/>
                <w:color w:val="auto"/>
              </w:rPr>
            </w:pP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$(280)</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1,143</w:t>
            </w:r>
          </w:p>
        </w:tc>
      </w:tr>
      <w:tr>
        <w:trPr>
          <w:trHeight w:val="168"/>
        </w:trPr>
        <w:tc>
          <w:tcPr>
            <w:tcW w:w="2420" w:type="dxa"/>
            <w:vAlign w:val="bottom"/>
          </w:tcPr>
          <w:p>
            <w:pPr>
              <w:spacing w:after="0"/>
              <w:rPr>
                <w:sz w:val="14"/>
                <w:szCs w:val="14"/>
                <w:color w:val="auto"/>
              </w:rPr>
            </w:pPr>
          </w:p>
        </w:tc>
        <w:tc>
          <w:tcPr>
            <w:tcW w:w="8440" w:type="dxa"/>
            <w:vAlign w:val="bottom"/>
            <w:gridSpan w:val="18"/>
          </w:tcPr>
          <w:p>
            <w:pPr>
              <w:ind w:left="220"/>
              <w:spacing w:after="0" w:line="168" w:lineRule="exact"/>
              <w:rPr>
                <w:sz w:val="20"/>
                <w:szCs w:val="20"/>
                <w:color w:val="auto"/>
              </w:rPr>
            </w:pPr>
            <w:r>
              <w:rPr>
                <w:rFonts w:ascii="Courier New" w:cs="Courier New" w:eastAsia="Courier New" w:hAnsi="Courier New"/>
                <w:sz w:val="15"/>
                <w:szCs w:val="15"/>
                <w:color w:val="auto"/>
                <w:w w:val="99"/>
              </w:rPr>
              <w:t>============================================================================================</w:t>
            </w:r>
          </w:p>
        </w:tc>
        <w:tc>
          <w:tcPr>
            <w:tcW w:w="680" w:type="dxa"/>
            <w:vAlign w:val="bottom"/>
          </w:tcPr>
          <w:p>
            <w:pPr>
              <w:spacing w:after="0"/>
              <w:rPr>
                <w:sz w:val="14"/>
                <w:szCs w:val="14"/>
                <w:color w:val="auto"/>
              </w:rPr>
            </w:pP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w:t>
            </w: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124</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(283)</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Charges</w:t>
            </w: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(263)</w:t>
            </w:r>
          </w:p>
        </w:tc>
      </w:tr>
      <w:tr>
        <w:trPr>
          <w:trHeight w:val="168"/>
        </w:trPr>
        <w:tc>
          <w:tcPr>
            <w:tcW w:w="2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Pretax Income</w:t>
            </w: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721</w:t>
            </w:r>
          </w:p>
        </w:tc>
      </w:tr>
      <w:tr>
        <w:trPr>
          <w:trHeight w:val="168"/>
        </w:trPr>
        <w:tc>
          <w:tcPr>
            <w:tcW w:w="2420" w:type="dxa"/>
            <w:vAlign w:val="bottom"/>
          </w:tcPr>
          <w:p>
            <w:pPr>
              <w:spacing w:after="0"/>
              <w:rPr>
                <w:sz w:val="14"/>
                <w:szCs w:val="14"/>
                <w:color w:val="auto"/>
              </w:rPr>
            </w:pPr>
          </w:p>
        </w:tc>
        <w:tc>
          <w:tcPr>
            <w:tcW w:w="860" w:type="dxa"/>
            <w:vAlign w:val="bottom"/>
            <w:gridSpan w:val="2"/>
          </w:tcPr>
          <w:p>
            <w:pPr>
              <w:ind w:left="220"/>
              <w:spacing w:after="0"/>
              <w:rPr>
                <w:sz w:val="20"/>
                <w:szCs w:val="20"/>
                <w:color w:val="auto"/>
              </w:rPr>
            </w:pPr>
            <w:r>
              <w:rPr>
                <w:rFonts w:ascii="Courier New" w:cs="Courier New" w:eastAsia="Courier New" w:hAnsi="Courier New"/>
                <w:sz w:val="1"/>
                <w:szCs w:val="1"/>
                <w:color w:val="auto"/>
              </w:rPr>
              <w:t>--------------------------------------------------------------------------------------------</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2420" w:type="dxa"/>
            <w:vAlign w:val="bottom"/>
          </w:tcPr>
          <w:p>
            <w:pPr>
              <w:spacing w:after="0"/>
              <w:rPr>
                <w:sz w:val="24"/>
                <w:szCs w:val="24"/>
                <w:color w:val="auto"/>
              </w:rPr>
            </w:pPr>
          </w:p>
        </w:tc>
        <w:tc>
          <w:tcPr>
            <w:tcW w:w="9120" w:type="dxa"/>
            <w:vAlign w:val="bottom"/>
            <w:gridSpan w:val="19"/>
          </w:tcPr>
          <w:p>
            <w:pPr>
              <w:ind w:left="22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2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Elims/</w:t>
            </w:r>
          </w:p>
        </w:tc>
        <w:tc>
          <w:tcPr>
            <w:tcW w:w="220" w:type="dxa"/>
            <w:vAlign w:val="bottom"/>
          </w:tcPr>
          <w:p>
            <w:pPr>
              <w:spacing w:after="0"/>
              <w:rPr>
                <w:sz w:val="14"/>
                <w:szCs w:val="14"/>
                <w:color w:val="auto"/>
              </w:rPr>
            </w:pPr>
          </w:p>
        </w:tc>
        <w:tc>
          <w:tcPr>
            <w:tcW w:w="62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Total</w:t>
            </w:r>
          </w:p>
        </w:tc>
        <w:tc>
          <w:tcPr>
            <w:tcW w:w="1300" w:type="dxa"/>
            <w:vAlign w:val="bottom"/>
            <w:gridSpan w:val="2"/>
          </w:tcPr>
          <w:p>
            <w:pPr>
              <w:jc w:val="center"/>
              <w:ind w:left="7"/>
              <w:spacing w:after="0" w:line="168" w:lineRule="exact"/>
              <w:rPr>
                <w:sz w:val="20"/>
                <w:szCs w:val="20"/>
                <w:color w:val="auto"/>
              </w:rPr>
            </w:pPr>
            <w:r>
              <w:rPr>
                <w:rFonts w:ascii="Courier New" w:cs="Courier New" w:eastAsia="Courier New" w:hAnsi="Courier New"/>
                <w:sz w:val="15"/>
                <w:szCs w:val="15"/>
                <w:color w:val="auto"/>
                <w:w w:val="98"/>
              </w:rPr>
              <w:t>Schlumberger</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Elims/</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Nine Months 2000</w:t>
            </w:r>
          </w:p>
        </w:tc>
        <w:tc>
          <w:tcPr>
            <w:tcW w:w="380" w:type="dxa"/>
            <w:vAlign w:val="bottom"/>
          </w:tcPr>
          <w:p>
            <w:pPr>
              <w:spacing w:after="0"/>
              <w:rPr>
                <w:sz w:val="14"/>
                <w:szCs w:val="14"/>
                <w:color w:val="auto"/>
              </w:rPr>
            </w:pPr>
          </w:p>
        </w:tc>
        <w:tc>
          <w:tcPr>
            <w:tcW w:w="4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6"/>
              </w:rPr>
              <w:t>NAM</w:t>
            </w:r>
          </w:p>
        </w:tc>
        <w:tc>
          <w:tcPr>
            <w:tcW w:w="280" w:type="dxa"/>
            <w:vAlign w:val="bottom"/>
          </w:tcPr>
          <w:p>
            <w:pPr>
              <w:spacing w:after="0"/>
              <w:rPr>
                <w:sz w:val="14"/>
                <w:szCs w:val="14"/>
                <w:color w:val="auto"/>
              </w:rPr>
            </w:pPr>
          </w:p>
        </w:tc>
        <w:tc>
          <w:tcPr>
            <w:tcW w:w="6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LAM</w:t>
            </w:r>
          </w:p>
        </w:tc>
        <w:tc>
          <w:tcPr>
            <w:tcW w:w="180" w:type="dxa"/>
            <w:vAlign w:val="bottom"/>
          </w:tcPr>
          <w:p>
            <w:pPr>
              <w:spacing w:after="0"/>
              <w:rPr>
                <w:sz w:val="14"/>
                <w:szCs w:val="14"/>
                <w:color w:val="auto"/>
              </w:rPr>
            </w:pP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ECA</w:t>
            </w:r>
          </w:p>
        </w:tc>
        <w:tc>
          <w:tcPr>
            <w:tcW w:w="26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MEA</w:t>
            </w:r>
          </w:p>
        </w:tc>
        <w:tc>
          <w:tcPr>
            <w:tcW w:w="8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Other</w:t>
            </w:r>
          </w:p>
        </w:tc>
        <w:tc>
          <w:tcPr>
            <w:tcW w:w="220" w:type="dxa"/>
            <w:vAlign w:val="bottom"/>
          </w:tcPr>
          <w:p>
            <w:pPr>
              <w:spacing w:after="0"/>
              <w:rPr>
                <w:sz w:val="14"/>
                <w:szCs w:val="14"/>
                <w:color w:val="auto"/>
              </w:rPr>
            </w:pPr>
          </w:p>
        </w:tc>
        <w:tc>
          <w:tcPr>
            <w:tcW w:w="62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6"/>
              </w:rPr>
              <w:t>OFS</w:t>
            </w:r>
          </w:p>
        </w:tc>
        <w:tc>
          <w:tcPr>
            <w:tcW w:w="420" w:type="dxa"/>
            <w:vAlign w:val="bottom"/>
          </w:tcPr>
          <w:p>
            <w:pPr>
              <w:spacing w:after="0"/>
              <w:rPr>
                <w:sz w:val="14"/>
                <w:szCs w:val="14"/>
                <w:color w:val="auto"/>
              </w:rPr>
            </w:pPr>
          </w:p>
        </w:tc>
        <w:tc>
          <w:tcPr>
            <w:tcW w:w="8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4"/>
              </w:rPr>
              <w:t>Sema</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Other(1)</w:t>
            </w:r>
          </w:p>
        </w:tc>
        <w:tc>
          <w:tcPr>
            <w:tcW w:w="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Consolidated</w:t>
            </w:r>
          </w:p>
        </w:tc>
      </w:tr>
      <w:tr>
        <w:trPr>
          <w:trHeight w:val="168"/>
        </w:trPr>
        <w:tc>
          <w:tcPr>
            <w:tcW w:w="2420" w:type="dxa"/>
            <w:vAlign w:val="bottom"/>
          </w:tcPr>
          <w:p>
            <w:pPr>
              <w:spacing w:after="0"/>
              <w:rPr>
                <w:sz w:val="14"/>
                <w:szCs w:val="14"/>
                <w:color w:val="auto"/>
              </w:rPr>
            </w:pPr>
          </w:p>
        </w:tc>
        <w:tc>
          <w:tcPr>
            <w:tcW w:w="9120" w:type="dxa"/>
            <w:vAlign w:val="bottom"/>
            <w:gridSpan w:val="19"/>
          </w:tcPr>
          <w:p>
            <w:pPr>
              <w:ind w:left="2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w:t>
            </w:r>
          </w:p>
        </w:tc>
        <w:tc>
          <w:tcPr>
            <w:tcW w:w="8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$1,691</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810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1,145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3"/>
              </w:rPr>
              <w:t>1,210</w:t>
            </w:r>
          </w:p>
        </w:tc>
        <w:tc>
          <w:tcPr>
            <w:tcW w:w="8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$ 238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5,094</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748</w:t>
            </w: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$1,128</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(47)</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6,923</w:t>
            </w:r>
          </w:p>
        </w:tc>
      </w:tr>
      <w:tr>
        <w:trPr>
          <w:trHeight w:val="168"/>
        </w:trPr>
        <w:tc>
          <w:tcPr>
            <w:tcW w:w="2420" w:type="dxa"/>
            <w:vAlign w:val="bottom"/>
          </w:tcPr>
          <w:p>
            <w:pPr>
              <w:spacing w:after="0"/>
              <w:rPr>
                <w:sz w:val="14"/>
                <w:szCs w:val="14"/>
                <w:color w:val="auto"/>
              </w:rPr>
            </w:pPr>
          </w:p>
        </w:tc>
        <w:tc>
          <w:tcPr>
            <w:tcW w:w="9120" w:type="dxa"/>
            <w:vAlign w:val="bottom"/>
            <w:gridSpan w:val="19"/>
          </w:tcPr>
          <w:p>
            <w:pPr>
              <w:ind w:left="2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Segment Income</w:t>
            </w:r>
          </w:p>
        </w:tc>
        <w:tc>
          <w:tcPr>
            <w:tcW w:w="3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147</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203</w:t>
            </w:r>
          </w:p>
        </w:tc>
        <w:tc>
          <w:tcPr>
            <w:tcW w:w="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513</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(94)</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473</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380" w:type="dxa"/>
            <w:vAlign w:val="bottom"/>
          </w:tcPr>
          <w:p>
            <w:pPr>
              <w:spacing w:after="0"/>
              <w:rPr>
                <w:sz w:val="24"/>
                <w:szCs w:val="24"/>
                <w:color w:val="auto"/>
              </w:rPr>
            </w:pP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24"/>
                <w:szCs w:val="24"/>
                <w:color w:val="auto"/>
              </w:rPr>
            </w:pPr>
          </w:p>
        </w:tc>
        <w:tc>
          <w:tcPr>
            <w:tcW w:w="6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24"/>
                <w:szCs w:val="2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w:t>
            </w:r>
          </w:p>
        </w:tc>
        <w:tc>
          <w:tcPr>
            <w:tcW w:w="360" w:type="dxa"/>
            <w:vAlign w:val="bottom"/>
          </w:tcPr>
          <w:p>
            <w:pPr>
              <w:spacing w:after="0"/>
              <w:rPr>
                <w:sz w:val="24"/>
                <w:szCs w:val="24"/>
                <w:color w:val="auto"/>
              </w:rPr>
            </w:pP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4"/>
                <w:szCs w:val="24"/>
                <w:color w:val="auto"/>
              </w:rPr>
            </w:pPr>
          </w:p>
        </w:tc>
        <w:tc>
          <w:tcPr>
            <w:tcW w:w="6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Income Tax Expense</w:t>
            </w:r>
          </w:p>
        </w:tc>
        <w:tc>
          <w:tcPr>
            <w:tcW w:w="380" w:type="dxa"/>
            <w:vAlign w:val="bottom"/>
          </w:tcPr>
          <w:p>
            <w:pPr>
              <w:spacing w:after="0"/>
              <w:rPr>
                <w:sz w:val="24"/>
                <w:szCs w:val="24"/>
                <w:color w:val="auto"/>
              </w:rPr>
            </w:pP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89</w:t>
            </w:r>
          </w:p>
        </w:tc>
        <w:tc>
          <w:tcPr>
            <w:tcW w:w="280" w:type="dxa"/>
            <w:vAlign w:val="bottom"/>
          </w:tcPr>
          <w:p>
            <w:pPr>
              <w:spacing w:after="0"/>
              <w:rPr>
                <w:sz w:val="24"/>
                <w:szCs w:val="24"/>
                <w:color w:val="auto"/>
              </w:rPr>
            </w:pPr>
          </w:p>
        </w:tc>
        <w:tc>
          <w:tcPr>
            <w:tcW w:w="6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w:t>
            </w:r>
          </w:p>
        </w:tc>
        <w:tc>
          <w:tcPr>
            <w:tcW w:w="180" w:type="dxa"/>
            <w:vAlign w:val="bottom"/>
          </w:tcPr>
          <w:p>
            <w:pPr>
              <w:spacing w:after="0"/>
              <w:rPr>
                <w:sz w:val="24"/>
                <w:szCs w:val="2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w:t>
            </w:r>
          </w:p>
        </w:tc>
        <w:tc>
          <w:tcPr>
            <w:tcW w:w="260" w:type="dxa"/>
            <w:vAlign w:val="bottom"/>
          </w:tcPr>
          <w:p>
            <w:pPr>
              <w:spacing w:after="0"/>
              <w:rPr>
                <w:sz w:val="24"/>
                <w:szCs w:val="24"/>
                <w:color w:val="auto"/>
              </w:rPr>
            </w:pP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29</w:t>
            </w:r>
          </w:p>
        </w:tc>
        <w:tc>
          <w:tcPr>
            <w:tcW w:w="360" w:type="dxa"/>
            <w:vAlign w:val="bottom"/>
          </w:tcPr>
          <w:p>
            <w:pPr>
              <w:spacing w:after="0"/>
              <w:rPr>
                <w:sz w:val="24"/>
                <w:szCs w:val="24"/>
                <w:color w:val="auto"/>
              </w:rPr>
            </w:pPr>
          </w:p>
        </w:tc>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w:t>
            </w:r>
          </w:p>
        </w:tc>
        <w:tc>
          <w:tcPr>
            <w:tcW w:w="220" w:type="dxa"/>
            <w:vAlign w:val="bottom"/>
          </w:tcPr>
          <w:p>
            <w:pPr>
              <w:spacing w:after="0"/>
              <w:rPr>
                <w:sz w:val="24"/>
                <w:szCs w:val="2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198</w:t>
            </w:r>
          </w:p>
        </w:tc>
        <w:tc>
          <w:tcPr>
            <w:tcW w:w="420" w:type="dxa"/>
            <w:vAlign w:val="bottom"/>
          </w:tcPr>
          <w:p>
            <w:pPr>
              <w:spacing w:after="0"/>
              <w:rPr>
                <w:sz w:val="24"/>
                <w:szCs w:val="2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w:t>
            </w:r>
          </w:p>
        </w:tc>
        <w:tc>
          <w:tcPr>
            <w:tcW w:w="360" w:type="dxa"/>
            <w:vAlign w:val="bottom"/>
          </w:tcPr>
          <w:p>
            <w:pPr>
              <w:spacing w:after="0"/>
              <w:rPr>
                <w:sz w:val="24"/>
                <w:szCs w:val="24"/>
                <w:color w:val="auto"/>
              </w:rPr>
            </w:pP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c>
          <w:tcPr>
            <w:tcW w:w="400" w:type="dxa"/>
            <w:vAlign w:val="bottom"/>
          </w:tcPr>
          <w:p>
            <w:pPr>
              <w:spacing w:after="0"/>
              <w:rPr>
                <w:sz w:val="24"/>
                <w:szCs w:val="24"/>
                <w:color w:val="auto"/>
              </w:rPr>
            </w:pPr>
          </w:p>
        </w:tc>
        <w:tc>
          <w:tcPr>
            <w:tcW w:w="6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146</w:t>
            </w:r>
          </w:p>
        </w:tc>
      </w:tr>
      <w:tr>
        <w:trPr>
          <w:trHeight w:val="168"/>
        </w:trPr>
        <w:tc>
          <w:tcPr>
            <w:tcW w:w="2420" w:type="dxa"/>
            <w:vAlign w:val="bottom"/>
          </w:tcPr>
          <w:p>
            <w:pPr>
              <w:spacing w:after="0"/>
              <w:rPr>
                <w:sz w:val="14"/>
                <w:szCs w:val="14"/>
                <w:color w:val="auto"/>
              </w:rPr>
            </w:pPr>
          </w:p>
        </w:tc>
        <w:tc>
          <w:tcPr>
            <w:tcW w:w="9120" w:type="dxa"/>
            <w:vAlign w:val="bottom"/>
            <w:gridSpan w:val="19"/>
          </w:tcPr>
          <w:p>
            <w:pPr>
              <w:ind w:left="2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Segment Income before tax</w:t>
            </w:r>
          </w:p>
        </w:tc>
        <w:tc>
          <w:tcPr>
            <w:tcW w:w="3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236</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232</w:t>
            </w:r>
          </w:p>
        </w:tc>
        <w:tc>
          <w:tcPr>
            <w:tcW w:w="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711</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$(141)</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625</w:t>
            </w:r>
          </w:p>
        </w:tc>
      </w:tr>
      <w:tr>
        <w:trPr>
          <w:trHeight w:val="168"/>
        </w:trPr>
        <w:tc>
          <w:tcPr>
            <w:tcW w:w="2420" w:type="dxa"/>
            <w:vAlign w:val="bottom"/>
          </w:tcPr>
          <w:p>
            <w:pPr>
              <w:spacing w:after="0"/>
              <w:rPr>
                <w:sz w:val="14"/>
                <w:szCs w:val="14"/>
                <w:color w:val="auto"/>
              </w:rPr>
            </w:pPr>
          </w:p>
        </w:tc>
        <w:tc>
          <w:tcPr>
            <w:tcW w:w="8440" w:type="dxa"/>
            <w:vAlign w:val="bottom"/>
            <w:gridSpan w:val="18"/>
          </w:tcPr>
          <w:p>
            <w:pPr>
              <w:ind w:left="220"/>
              <w:spacing w:after="0" w:line="168" w:lineRule="exact"/>
              <w:rPr>
                <w:sz w:val="20"/>
                <w:szCs w:val="20"/>
                <w:color w:val="auto"/>
              </w:rPr>
            </w:pPr>
            <w:r>
              <w:rPr>
                <w:rFonts w:ascii="Courier New" w:cs="Courier New" w:eastAsia="Courier New" w:hAnsi="Courier New"/>
                <w:sz w:val="15"/>
                <w:szCs w:val="15"/>
                <w:color w:val="auto"/>
                <w:w w:val="99"/>
              </w:rPr>
              <w:t>============================================================================================</w:t>
            </w:r>
          </w:p>
        </w:tc>
        <w:tc>
          <w:tcPr>
            <w:tcW w:w="680" w:type="dxa"/>
            <w:vAlign w:val="bottom"/>
          </w:tcPr>
          <w:p>
            <w:pPr>
              <w:spacing w:after="0"/>
              <w:rPr>
                <w:sz w:val="14"/>
                <w:szCs w:val="14"/>
                <w:color w:val="auto"/>
              </w:rPr>
            </w:pP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w:t>
            </w: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223</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w:t>
            </w:r>
          </w:p>
        </w:tc>
      </w:tr>
      <w:tr>
        <w:trPr>
          <w:trHeight w:val="168"/>
        </w:trPr>
        <w:tc>
          <w:tcPr>
            <w:tcW w:w="2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Pretax Income</w:t>
            </w: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649</w:t>
            </w:r>
          </w:p>
        </w:tc>
      </w:tr>
      <w:tr>
        <w:trPr>
          <w:trHeight w:val="168"/>
        </w:trPr>
        <w:tc>
          <w:tcPr>
            <w:tcW w:w="2420" w:type="dxa"/>
            <w:vAlign w:val="bottom"/>
          </w:tcPr>
          <w:p>
            <w:pPr>
              <w:spacing w:after="0"/>
              <w:rPr>
                <w:sz w:val="14"/>
                <w:szCs w:val="14"/>
                <w:color w:val="auto"/>
              </w:rPr>
            </w:pPr>
          </w:p>
        </w:tc>
        <w:tc>
          <w:tcPr>
            <w:tcW w:w="860" w:type="dxa"/>
            <w:vAlign w:val="bottom"/>
            <w:gridSpan w:val="2"/>
          </w:tcPr>
          <w:p>
            <w:pPr>
              <w:ind w:left="220"/>
              <w:spacing w:after="0"/>
              <w:rPr>
                <w:sz w:val="20"/>
                <w:szCs w:val="20"/>
                <w:color w:val="auto"/>
              </w:rPr>
            </w:pPr>
            <w:r>
              <w:rPr>
                <w:rFonts w:ascii="Courier New" w:cs="Courier New" w:eastAsia="Courier New" w:hAnsi="Courier New"/>
                <w:sz w:val="1"/>
                <w:szCs w:val="1"/>
                <w:color w:val="auto"/>
              </w:rPr>
              <w:t>--------------------------------------------------------------------------------------------</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3"/>
              </w:rPr>
              <w:t>==========</w:t>
            </w:r>
          </w:p>
        </w:tc>
      </w:tr>
    </w:tbl>
    <w:p>
      <w:pPr>
        <w:spacing w:after="0" w:line="341" w:lineRule="exact"/>
        <w:rPr>
          <w:sz w:val="20"/>
          <w:szCs w:val="20"/>
          <w:color w:val="auto"/>
        </w:rPr>
      </w:pPr>
    </w:p>
    <w:p>
      <w:pPr>
        <w:ind w:right="5240" w:firstLine="10"/>
        <w:spacing w:after="0" w:line="234" w:lineRule="auto"/>
        <w:tabs>
          <w:tab w:leader="none" w:pos="52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those Resource Management Services activities planned for divestiture and Semiconductor Solutions.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1540"/>
          </w:cols>
          <w:pgMar w:left="220" w:top="617" w:right="139"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Item 2: Management's Discussion and Analysis of Financial Condition and Results</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of Operations.</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REVIEW</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gridSpan w:val="4"/>
          </w:tcPr>
          <w:p>
            <w:pPr>
              <w:jc w:val="right"/>
              <w:ind w:right="107"/>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Oilfield</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Services</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4"/>
          </w:tcPr>
          <w:p>
            <w:pPr>
              <w:jc w:val="right"/>
              <w:ind w:right="367"/>
              <w:spacing w:after="0" w:line="168" w:lineRule="exact"/>
              <w:rPr>
                <w:sz w:val="20"/>
                <w:szCs w:val="20"/>
                <w:color w:val="auto"/>
              </w:rPr>
            </w:pPr>
            <w:r>
              <w:rPr>
                <w:rFonts w:ascii="Courier New" w:cs="Courier New" w:eastAsia="Courier New" w:hAnsi="Courier New"/>
                <w:sz w:val="15"/>
                <w:szCs w:val="15"/>
                <w:color w:val="auto"/>
              </w:rPr>
              <w:t>SchlumbergerSema</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Other/(1)/</w:t>
            </w:r>
          </w:p>
        </w:tc>
        <w:tc>
          <w:tcPr>
            <w:tcW w:w="480" w:type="dxa"/>
            <w:vAlign w:val="bottom"/>
          </w:tcPr>
          <w:p>
            <w:pPr>
              <w:spacing w:after="0"/>
              <w:rPr>
                <w:sz w:val="14"/>
                <w:szCs w:val="14"/>
                <w:color w:val="auto"/>
              </w:rPr>
            </w:pPr>
          </w:p>
        </w:tc>
      </w:tr>
      <w:tr>
        <w:trPr>
          <w:trHeight w:val="168"/>
        </w:trPr>
        <w:tc>
          <w:tcPr>
            <w:tcW w:w="158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Courier New" w:cs="Courier New" w:eastAsia="Courier New" w:hAnsi="Courier New"/>
                <w:sz w:val="5"/>
                <w:szCs w:val="5"/>
                <w:color w:val="auto"/>
                <w:w w:val="80"/>
              </w:rPr>
              <w:t>------------------------</w:t>
            </w: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210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Third Quarter</w:t>
            </w:r>
          </w:p>
        </w:tc>
        <w:tc>
          <w:tcPr>
            <w:tcW w:w="18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2001</w:t>
            </w:r>
          </w:p>
        </w:tc>
        <w:tc>
          <w:tcPr>
            <w:tcW w:w="360" w:type="dxa"/>
            <w:vAlign w:val="bottom"/>
          </w:tcPr>
          <w:p>
            <w:pPr>
              <w:spacing w:after="0"/>
              <w:rPr>
                <w:sz w:val="14"/>
                <w:szCs w:val="14"/>
                <w:color w:val="auto"/>
              </w:rPr>
            </w:pP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88"/>
              </w:rPr>
              <w:t>2000</w:t>
            </w: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 chg</w:t>
            </w:r>
          </w:p>
        </w:tc>
        <w:tc>
          <w:tcPr>
            <w:tcW w:w="260" w:type="dxa"/>
            <w:vAlign w:val="bottom"/>
          </w:tcPr>
          <w:p>
            <w:pPr>
              <w:spacing w:after="0"/>
              <w:rPr>
                <w:sz w:val="14"/>
                <w:szCs w:val="14"/>
                <w:color w:val="auto"/>
              </w:rPr>
            </w:pPr>
          </w:p>
        </w:tc>
        <w:tc>
          <w:tcPr>
            <w:tcW w:w="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2001</w:t>
            </w:r>
          </w:p>
        </w:tc>
        <w:tc>
          <w:tcPr>
            <w:tcW w:w="22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2000</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chg</w:t>
            </w:r>
          </w:p>
        </w:tc>
        <w:tc>
          <w:tcPr>
            <w:tcW w:w="180" w:type="dxa"/>
            <w:vAlign w:val="bottom"/>
          </w:tcPr>
          <w:p>
            <w:pPr>
              <w:spacing w:after="0"/>
              <w:rPr>
                <w:sz w:val="14"/>
                <w:szCs w:val="14"/>
                <w:color w:val="auto"/>
              </w:rPr>
            </w:pPr>
          </w:p>
        </w:tc>
        <w:tc>
          <w:tcPr>
            <w:tcW w:w="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2001</w:t>
            </w:r>
          </w:p>
        </w:tc>
        <w:tc>
          <w:tcPr>
            <w:tcW w:w="30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2000</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chg</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260" w:type="dxa"/>
            <w:vAlign w:val="bottom"/>
          </w:tcPr>
          <w:p>
            <w:pPr>
              <w:spacing w:after="0"/>
              <w:rPr>
                <w:sz w:val="14"/>
                <w:szCs w:val="14"/>
                <w:color w:val="auto"/>
              </w:rPr>
            </w:pPr>
          </w:p>
        </w:tc>
        <w:tc>
          <w:tcPr>
            <w:tcW w:w="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22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30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2,492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3"/>
              </w:rPr>
              <w:t>1,833</w:t>
            </w: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6"/>
              </w:rPr>
              <w:t>36%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870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270</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273</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358</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Pretax Operating</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502</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288</w:t>
            </w: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74%</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w:t>
            </w: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5"/>
                <w:szCs w:val="15"/>
                <w:color w:val="auto"/>
              </w:rPr>
              <w:t>Nine Months</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Revenue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7,282</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3"/>
              </w:rPr>
              <w:t>5,094</w:t>
            </w: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43%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2,091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748</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845</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1,128</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Pretax Operating</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1,391</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711</w:t>
            </w: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96%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(30)% $</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45</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w:t>
            </w:r>
          </w:p>
        </w:tc>
      </w:tr>
    </w:tbl>
    <w:p>
      <w:pPr>
        <w:spacing w:after="0" w:line="200" w:lineRule="exact"/>
        <w:rPr>
          <w:sz w:val="20"/>
          <w:szCs w:val="20"/>
          <w:color w:val="auto"/>
        </w:rPr>
      </w:pPr>
    </w:p>
    <w:p>
      <w:pPr>
        <w:spacing w:after="0" w:line="309" w:lineRule="exact"/>
        <w:rPr>
          <w:sz w:val="20"/>
          <w:szCs w:val="20"/>
          <w:color w:val="auto"/>
        </w:rPr>
      </w:pPr>
    </w:p>
    <w:p>
      <w:pPr>
        <w:ind w:left="360" w:right="4099" w:hanging="350"/>
        <w:spacing w:after="0" w:line="234" w:lineRule="auto"/>
        <w:tabs>
          <w:tab w:leader="none" w:pos="3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those Resource Management Services activities planned for divestiture and Semiconductor Solutions.</w:t>
      </w:r>
    </w:p>
    <w:p>
      <w:pPr>
        <w:spacing w:after="0" w:line="5" w:lineRule="exact"/>
        <w:rPr>
          <w:rFonts w:ascii="Courier New" w:cs="Courier New" w:eastAsia="Courier New" w:hAnsi="Courier New"/>
          <w:sz w:val="15"/>
          <w:szCs w:val="15"/>
          <w:color w:val="auto"/>
        </w:rPr>
      </w:pPr>
    </w:p>
    <w:p>
      <w:pPr>
        <w:ind w:left="360" w:right="3319" w:hanging="350"/>
        <w:spacing w:after="0" w:line="236" w:lineRule="auto"/>
        <w:tabs>
          <w:tab w:leader="none" w:pos="3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Pretax operating income represents income before taxes and minority interest, excluding interest expense, interest income, amortization of goodwill and identifiable intangibles ($111 million and $236 million in the third quarter 2001 and nine months 2001, respectively). All prior periods have been restated for comparative purposes.</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Third Quarter 2001 Compared to Third Quarter 2000</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third quarter operating revenue was $3.62 billion compared to $2.45 billion in the same period last year. Net Income for the same period was $195 million compared to $205 million last year. Diluted earnings per share, excluding acquisition-related costs and the divestiture related net gain, were $0.51 compared with $0.39 for the same period last year and $0.47 per share for the second quarter this year.</w:t>
      </w:r>
    </w:p>
    <w:p>
      <w:pPr>
        <w:spacing w:after="0" w:line="17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Oilfield Services revenue increased 36% including WesternGeco versus the third quarter of 2000. The worldwide M-I rig count grew 14% over the same period. Revenue growth of 1% compared to the second quarter of 2001 reflected the lower quarterly average rig count growth of 2%.</w:t>
      </w:r>
    </w:p>
    <w:p>
      <w:pPr>
        <w:spacing w:after="0" w:line="175"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SchlumbergerSema revenue of $870 million for the quarter decreased 3% sequentially mostly as a result of a 17% decrease in Cards revenue following lower demand in Europe. However pretax operating income improved to $19 million.</w:t>
      </w:r>
    </w:p>
    <w:p>
      <w:pPr>
        <w:spacing w:after="0" w:line="16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During the quarter, Schlumberger sold the Production Operators Corporation natural gas compression business and related assets. The previously announced divestiture of the Resource Management Services (RMS) businesses is expected to be completed in the fourth quarter. Net cash proceeds from these divestitures will be used to pay down debt.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OILFIELD SERVICES</w:t>
      </w:r>
    </w:p>
    <w:p>
      <w:pPr>
        <w:spacing w:after="0" w:line="173"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Oilfield Services operating revenue of $2.5 billion in the third quarter increased 36% year-on-year and 1% sequentially. The worldwide M-I rig count increased 14% year-on-year and 2% sequentially.</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year-on-year increase was led by the North America and Middle East &amp; Asia Areas together with increased non-rig related activity, which was partly attributable to the WesternGeco Joint Venture. Sequential revenue growth was slightly lower than the rig count growth due to a slowdown in activity in North America as a result of slower economic growth and declining gas prices, and uncertainty following recent events.</w:t>
      </w:r>
    </w:p>
    <w:p>
      <w:pPr>
        <w:spacing w:after="0" w:line="175"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Pretax operating income of $502 million increased 7% sequentially due to improved pricing levels.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17"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North America</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Revenue of $942 million increased 51% compared with the same quarter last year but was flat sequentially. The M-I rig count increased 20% year-on-year and 3% sequentially. Pretax operating income of $251 million was 134% higher than the third quarter last year and 11% higher than last quarter.</w:t>
      </w:r>
    </w:p>
    <w:p>
      <w:pPr>
        <w:spacing w:after="0" w:line="17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Year-on-year revenue growth was led by the US Land GeoMarket due to increased demand for Well Services and Wireline technologies. Year-on-year pretax operating income growth reflected pricing increases for new technology as well as the higher rig count. Despite flat revenue, there was an increase in sequential pretax operating income resulting from strong seasonal growth in the Canada GeoMarket and increased margins from seismic activity that partially offset the weather-induced reduction in activity in the Gulf Coast GeoMarket.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Latin America</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Revenue of $358 million increased 20% year-on-year and 1% sequentially. The M-I rig count increased 4% compared with the same quarter in 2000 but decreased 2% sequentially. Pretax operating income of $46 million increased 42% compared to last year and 4% sequentially.</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Year-on-year revenue growth was broad-based led by the Latin America South and Peru, Colombia and Ecuador (PCE) GeoMarkets. The modest sequential revenue increase was led by strong Reda sales and Drilling &amp; Measurements activities in the PCE GeoMarket offset by lower than expected activity across all other Latin American GeoMarkets.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Europe/CIS/West Africa</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Revenue of $551 million increased 30% year-on-year but was flat sequentially. The M-I rig count, excluding CIS, increased 12% year-on-year and 1% sequentially. Pretax operating income of $96 million increased 49% year-on-year and was flat sequentially.</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Strong growth was recorded in the Caspian GeoMarket from increased activities related to the Chirag Extended Reach Project in Baku and the start-up of the well construction services contract for the TengizChevroil Consortium in Kazakhstan. In addition, substantial growth in the UK GeoMarket resulted from an increase in the number of 4C proprietary seismic surveys acquired for North Sea operators.</w:t>
      </w:r>
    </w:p>
    <w:p>
      <w:pPr>
        <w:spacing w:after="0" w:line="17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Higher demand for Drilling &amp; Measurements services across the Area contributed to the year-on-year increase in pretax operating income.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Middle East &amp; Asia</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Revenue of $547 million increased 35% year-on-year and 8% sequentially outpacing the M-I rig count, which increased 4% compared with last year and only 1% sequentially. Pretax operating income of $130 million increased 65% compared to the third quarter last year and 20% sequentially.</w:t>
      </w:r>
    </w:p>
    <w:p>
      <w:pPr>
        <w:spacing w:after="0" w:line="17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year-on-year increase was broad-based across the Area. Sequential revenue increases were recorded by all service segments led by WesternGeco in the Saudi Arabia, Australia and Indonesia GeoMarkets, with the exception of Well Services due to reduced fracturing activity in Saudi Arabia. Year-on-year and sequential pretax operating income growth were due partly to improved pricing through the introduction of new technologies such as the CHFR* Cased Hole Formation Resistivity reservoir characterization technique that allows formation measurements to be made in wells that have already been cased. In addition, the PowerSTIM* well production optimization solution continued to expand in the Area, where it was deployed in the Indonesia GeoMarket for the first time.</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785"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SCHLUMBERGERSEMA</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merger of Sema into Schlumberger made significant progress during the quarter. Market resilience, particularly in the UK and in utilities, and continued rapid exploitation of cost synergies, have provided the basis for improved performance. The contracts awarded to SchlumbergerSema during the quarter strongly support the rationale for integration and deployment of IT services for customers with the six-year Conoco contract demonstrating Schlumberger's ability to address enterprise-level commitments in connectivity, security, systems integration and IT consulting.</w:t>
      </w:r>
    </w:p>
    <w:p>
      <w:pPr>
        <w:spacing w:after="0" w:line="177"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SchlumbergerSema reported operating revenue for the quarter of $870 million. Pretax operating income of $19 million increased as a result of improved profitability in the utility and global services markets and the cost saving synergy programs implemented last quarter.</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Revenue from the utility market segment was flat sequentially with strong growth in North America for Real Time Energy Management (RTEM) services and further deployment of the wireless fixed network supporting those services. The utilities-related systems integration business was weak in the quarter. Orders increased 69% due to strong demand for remotely-readable meter installations, which included the signing of a 15-year agreement to provide information technology services to Milwaukee-based Wisconsin Electric-Wisconsin Gas.</w:t>
      </w:r>
    </w:p>
    <w:p>
      <w:pPr>
        <w:spacing w:after="0" w:line="166"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Global Services revenue grew by 3% sequentially. Multi-year contracts were won in the medical services, recovery services and outsourcing businesses.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Cards revenue of $147 million was down 17% compared to the prior quarter and down 4% year-on-year. Revenue from mobile communications cards (SIM) was down 23% sequentially, reflecting reduced demand in Europe, and in Asia where uncertainty continues in the telecom market. Orders for SIM cards showed strong improvement in the later part of the quarter, up 47% sequentially, indicating that an inflection point may have been reached. The lower revenues in SIM cards were partially offset by improved shipments of IT and financial cards. In the quarter, the first deliveries were made to the Department of Defense Common Access Card program.</w:t>
      </w:r>
    </w:p>
    <w:p>
      <w:pPr>
        <w:spacing w:after="0" w:line="178"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Demand for parking, mass transit and point-of-sales banking products resulted in eTransaction terminals' revenue growth of 31% year-on-year and 9% sequentially. The city of New York purchased an additional 220 multi-space parking terminals for on-street parking. SchlumbergerSema parking terminals will replace more than 7,000 conventional single-space terminals as New York City moves forward with its innovative commercial parking program.</w:t>
      </w:r>
    </w:p>
    <w:p>
      <w:pPr>
        <w:spacing w:after="0" w:line="17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Revenue from the telecom sector increased 3% sequentially while orders were flat. This was largely due to increased sales in customer care and billing systems in Europe and Latin America, which is the direct result of an expanded customer base and subsequent realization of the synergies within SchlumbergerSema.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w:t>
      </w:r>
    </w:p>
    <w:p>
      <w:pPr>
        <w:spacing w:after="0" w:line="173"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The segment includes the portion of the Resource Management Services businesses, Semiconductor Solutions and Global Tel*Link which are expected to be disposed of in the near future. Revenue from the Resource Management Services businesses was 14% below last year; Semiconductor Solutions revenue was 56% below a year ago.</w:t>
      </w:r>
    </w:p>
    <w:p>
      <w:pPr>
        <w:spacing w:after="0" w:line="1"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The operating loss at Semiconductor Solutions was more than offset by the profit at Resource Management Services.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STATEMENT</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Interest and other income decreased $49 million from the same period last year as a $51 million decrease in interest income (2001 - $28 million; 2000 - $79 million) reflecting a decrease of $2.9 billion in average investment balances and a decrease in average returns on investments from 6.6% to 5.9%, was partially offset by a $2 million increase in equity income. Gross margin, excluding the $42 million divestiture related credit, of 24% was 1.6 percentage points above last year. Research and engineering expense as a percentage of revenue decreased 0.7% and marketing expense</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785" w:right="1440" w:bottom="1440" w:gutter="0" w:footer="0" w:header="0"/>
        </w:sectPr>
      </w:pPr>
    </w:p>
    <w:bookmarkStart w:id="13" w:name="page14"/>
    <w:bookmarkEnd w:id="13"/>
    <w:p>
      <w:pPr>
        <w:ind w:right="3239"/>
        <w:spacing w:after="0" w:line="236" w:lineRule="auto"/>
        <w:rPr>
          <w:sz w:val="20"/>
          <w:szCs w:val="20"/>
          <w:color w:val="auto"/>
        </w:rPr>
      </w:pPr>
      <w:r>
        <w:rPr>
          <w:rFonts w:ascii="Courier New" w:cs="Courier New" w:eastAsia="Courier New" w:hAnsi="Courier New"/>
          <w:sz w:val="15"/>
          <w:szCs w:val="15"/>
          <w:color w:val="auto"/>
        </w:rPr>
        <w:t>increased 0.3% from last year. General expense as a percentage of revenue increased from 4.3% to 5.2%. Interest expense increased by $30 million as average debt balances were up $3.8 billion due primarily to the Sema acquisition and the average borrowing rates decreased from 7.1% to 5.2%. The effective tax rate, excluding the $3 million credit, increased by 16 percentage points to 36% primarily due to higher pretax income in North America and the effect of higher non-tax deductible goodwill amortization.</w:t>
      </w:r>
    </w:p>
    <w:p>
      <w:pPr>
        <w:spacing w:after="0" w:line="169"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First Nine Months 2001 Compared to First Nine Months 2000</w:t>
      </w:r>
    </w:p>
    <w:p>
      <w:pPr>
        <w:ind w:left="98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Operating revenue for the first nine months was $10.17 billion, a 47% increase over the same period last year, and net income was $337 million ($0.59 per share</w:t>
      </w:r>
    </w:p>
    <w:p>
      <w:pPr>
        <w:spacing w:after="0" w:line="1" w:lineRule="exact"/>
        <w:rPr>
          <w:sz w:val="20"/>
          <w:szCs w:val="20"/>
          <w:color w:val="auto"/>
        </w:rPr>
      </w:pPr>
    </w:p>
    <w:p>
      <w:pPr>
        <w:ind w:right="3319" w:firstLine="10"/>
        <w:spacing w:after="0" w:line="235" w:lineRule="auto"/>
        <w:tabs>
          <w:tab w:leader="none" w:pos="17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diluted). Excluding charges/credits (See "Charges/Credits" in Notes to Consolidated Financial Statements), net income was $640 million and diluted earnings per share were $1.10, increases of 29% and 28%, respectively, over the same period last year.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OILFIELD SERVICES</w:t>
      </w:r>
    </w:p>
    <w:p>
      <w:pPr>
        <w:spacing w:after="0" w:line="173"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Operating revenue of $7.3 billion increased 43% due in large part to North America and Europe/CIS/West Africa. Pretax operating income increased by 96% over last year. The M-I rig count increased by 23%. Revenue outpaced rig count due to higher pricing, market share gains, and increase in WesternGeco revenue.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North America</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Revenue increased 66% to $2.81 billion compared to the first nine months of 2000, pretax operating income of $703 million increased 198%. The M-I rig count increased 30% over the same period last year. The increase in revenue reflected the higher non-rig related activities, price increase, new technologies and better utilization of existing resources. This was reduced somewhat by the slowing down in economic growth in the US.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Latin America</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Latin America revenue of $1.08 billion increased by 33% compared to last year. The pretax operating income increased by 139% and the M-I rig count increased by 21%. Compared to the same period last year, revenue growth was broad-based driven by marked increases in activity from higher rig counts. There were increases in market share and improvement in rig rates across all GeoMarkets led by VTT (up 26%), Peru, Colombia &amp; Ecuador (PCE up 51%) and Latin America South (up 45%). In the Area, Seismic increased 36%, Wireline (up 37%), Drilling &amp; Measurements (up 44%), WCP (up 43%) and Well Services (up 29%).</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Europe/CIS/West Africa</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Revenue of $1.56 billion increased 37% over the same period last year. Pretax operating income increased 93% and the M-I rig count (excluding CIS) increased by 18%. Year over year, revenue growth was driven both by increased activity as result of rig count growth and by tremendous growth in non-rig related activity, Seismic (up 137%) from the WesternGeco joint venture. Growth was led by West and South Africa (up 80%) which includes the EPF project in Gabon. Strong growth was also recorded in the UK (up 30%) &amp; Russia (up 57%) GeoMarkets.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Middle East &amp; Asia</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Revenue increased 26% to $1.52 billion. Compared to the same period last year, pretax operating income was up 42% and the M-I rig count increased by 6%. Compared to last year, revenue increase was broad-based across the Area with the majority of the GeoMarkets registering double-digit growths led by the Gulf (54% increase), Eastern Mediterranean (up 30%), Saudi/Kuwait/Bahrain (up 27%). The growth is due to increased activity (from higher rig counts) and from increase in non-rig related activity (e.g. Seismic which is up 79% in the Area). The successful implementation of new technologies also made some inroads in terms of market share increases. Drilling &amp; Measurements, WCP and SIS were up 47%, 26% and 36%, respectively.</w:t>
      </w:r>
    </w:p>
    <w:p>
      <w:pPr>
        <w:spacing w:after="0" w:line="200" w:lineRule="exact"/>
        <w:rPr>
          <w:sz w:val="20"/>
          <w:szCs w:val="20"/>
          <w:color w:val="auto"/>
        </w:rPr>
      </w:pPr>
    </w:p>
    <w:p>
      <w:pPr>
        <w:spacing w:after="0" w:line="30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792"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SCHLUMBERGERSEMA</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Revenue was $2.09 billion and pretax operating income was $7 million. Revenue for Utilities and Transactions Systems increased by 101% and 46%, respectively, over last year.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Revenue from the Resource Management Services businesses decreased 20% compared to last year. Semiconductor Solutions revenue declined 47%. The profit at Resource Management Services was partially offset by Semiconductor Solutions losses.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STATEMENT</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Interest and other income decreased $59 million from the same period last year as a $96 million decrease in interest income (2001 - $129 million; 2000 - $225 million) reflecting a decrease in average investment balances which were used to finance the acquisition of Sema plc shares, was partially offset by a $19 million gain from the sale of investments, also related to funding the Sema plc share purchases, and a $18 million increase in equity income. Average returns on investments decreased from 5.6% to 5.5%. Gross margin, excluding the net charges of $238 million, of 24% was one percentage point above last year. Research and engineering, excluding the Bull CP8 charge of $25 million, as a percentage of revenue decreased 0.8% over last year. Marketing and general expenses as a percentage of revenue increased by 0.5% and remained flat, respectively, over last year. Interest expense increased by $86 million as average borrowing rates decreased from 6.1% to 5.4%. The increase in expenses was due mainly to the acquisition of Sema plc. The effective tax rate, excluding the charges and credit, increased from 22% to 32% for the same period last year due primarily to higher profitability in North America and the effect of higher non-tax deductible goodwill amortization.</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STANDARDS</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Commencing January 1, 2001, Schlumberger adopted SFAS 133 (Accounting for Derivative Instruments and Hedging Activities). Schlumberger uses derivative instruments such as interest rate swaps, currency swaps, forward currency contracts and foreign currency options. Forward currency contracts provide a hedge against currency fluctuations on assets/liabilities denominated in other than a functional currency. Options are usually entered into as a hedge against currency variations on firm commitments generally involving the construction of long-lived assets.</w:t>
      </w:r>
    </w:p>
    <w:p>
      <w:pPr>
        <w:spacing w:after="0" w:line="177"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Schlumberger maintains a foreign-currency risk management strategy that uses derivative instruments to protect its interests from unanticipated fluctuations in earnings and cash flows caused by volatility in currency exchange rates. Movements in foreign currency exchange rates pose a risk to Schlumberger's operations as exchange rate changes may affect profitability and cash flow. Schlumberger uses foreign currency forward exchange contracts, swaps and options. Schlumberger also maintains an interest rate risk management strategy that uses derivatives to minimize significant, unanticipated earnings fluctuations caused by interest rate volatility. Schlumberger's specific goals are (1) to manage interest rate sensitivity by modifying the repricing or maturity characteristics of certain of its debt and (2) to lower (where possible) the cost of borrowed funds.</w:t>
      </w:r>
    </w:p>
    <w:p>
      <w:pPr>
        <w:spacing w:after="0" w:line="173"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By using derivative financial instruments to hedge exposure to changes in exchange rates and interest rates, Schlumberger exposes itself to credit risk and market risk. Schlumberger minimizes the credit risk by entering into transactions with high-quality counterparties, limiting the exposure to each counterparty and monitoring the financial condition of its counterparties. Market risk is managed through the setting and monitoring of parameters that limit the types and degree of market risk which are acceptable.</w:t>
      </w:r>
    </w:p>
    <w:p>
      <w:pPr>
        <w:spacing w:after="0" w:line="166"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At September 30, 2001, Schlumberger recognized a net $63 million charge in Stockholders' Equity relating to SFAS 133. This charge was primarily due to the change in the fair market value of</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785"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4"/>
          <w:szCs w:val="14"/>
          <w:color w:val="auto"/>
        </w:rPr>
        <w:t>Schlumberger's US interest rate swaps as a result of declining interest rates.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effect on Stockholders' Equity at December 31, 2000 was not significant.</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June 2001, SFAS 141 (Business Combinations) and SFAS 142 (Goodwill and Other Intangible Assets) were issued. SFAS 141 has been adopted by Schlumberger for acquisitions subsequent to June 30, 2001. SFAS 142 will be adopted by Schlumberger commencing January 1, 2002. As required by SFAS 142, Schlumberger will undertake a review for impairment in 2002.</w:t>
      </w:r>
    </w:p>
    <w:p>
      <w:pPr>
        <w:spacing w:after="0" w:line="174"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Amortization of goodwill and other intangibles included in Schlumberger's results are as follows:</w:t>
      </w:r>
    </w:p>
    <w:p>
      <w:pPr>
        <w:spacing w:after="0" w:line="167"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million - pretax)</w:t>
            </w:r>
          </w:p>
        </w:tc>
      </w:tr>
      <w:tr>
        <w:trPr>
          <w:trHeight w:val="336"/>
        </w:trPr>
        <w:tc>
          <w:tcPr>
            <w:tcW w:w="18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Third Quarter</w:t>
            </w:r>
          </w:p>
        </w:tc>
        <w:tc>
          <w:tcPr>
            <w:tcW w:w="196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Nine Months</w:t>
            </w:r>
          </w:p>
        </w:tc>
      </w:tr>
      <w:tr>
        <w:trPr>
          <w:trHeight w:val="168"/>
        </w:trPr>
        <w:tc>
          <w:tcPr>
            <w:tcW w:w="1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w:t>
            </w:r>
          </w:p>
        </w:tc>
        <w:tc>
          <w:tcPr>
            <w:tcW w:w="1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2000</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2001</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2000</w:t>
            </w:r>
          </w:p>
        </w:tc>
      </w:tr>
      <w:tr>
        <w:trPr>
          <w:trHeight w:val="168"/>
        </w:trPr>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w:t>
            </w:r>
          </w:p>
        </w:tc>
      </w:tr>
      <w:tr>
        <w:trPr>
          <w:trHeight w:val="168"/>
        </w:trPr>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$111</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$ 25</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$236</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71</w:t>
            </w:r>
          </w:p>
        </w:tc>
      </w:tr>
    </w:tbl>
    <w:p>
      <w:pPr>
        <w:spacing w:after="0" w:line="200" w:lineRule="exact"/>
        <w:rPr>
          <w:sz w:val="20"/>
          <w:szCs w:val="20"/>
          <w:color w:val="auto"/>
        </w:rPr>
      </w:pPr>
    </w:p>
    <w:p>
      <w:pPr>
        <w:spacing w:after="0" w:line="309"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total amount for the year 2001 is expected to be $350 million (pretax) and with the adoption of SFAS 142, the equivalent amount is estimated to be $60 million in 2002.</w:t>
      </w:r>
    </w:p>
    <w:p>
      <w:pPr>
        <w:spacing w:after="0" w:line="174"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In June 2001, SFAS 143 (Accounting for Asset Retirement Obligations) was issued. SFAS 143 will be adopted by Schlumberger commencing January 1, 2003. Schlumberger does not believe that the implementation of this standard will have any material effect on it's Financial Position and Results of Operations.</w:t>
      </w:r>
    </w:p>
    <w:p>
      <w:pPr>
        <w:spacing w:after="0" w:line="16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August 2001, SFAS 144 (Accounting for Impairment or Disposal of Long-Lived Assets) was issued. SFAS 144 will be adopted by Schlumberger commencing January 1, 2002. Schlumberger does not believe that the implementation of this standard will have any material effect on it's Financial Position and Results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March 2001, Schlumberger acquired Bull CP8, a market leader in microprocessor-based smart cards and associated systems applications for the banking, mobile communications and network security industries. The acquisition price was $313 million. Assets acquired included identifiable intangibles (primarily patents) of $136 million and goodwill of $140 million. Additionally, in-process research &amp; development which aggregated $25 million was charged to expense in the first quarter.</w:t>
      </w:r>
    </w:p>
    <w:p>
      <w:pPr>
        <w:spacing w:after="0" w:line="176"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In April 2001, Schlumberger acquired Sema plc for an aggregate consideration of $5.15 billion. See "Investment in Sema plc" in the "Notes to the Consolidated Financial Statements".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In April 2001, Schlumberger borrowed $3 billion to finance the acquisition of Sema plc ($2.5 billion in Europe). See "Investment in Sema plc" in the "Notes to the Consolidated Financial Statements".</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On October 3, 2001, Schlumberger issued $1.9 billion European bonds (Euro 1.4 billion and (pound)425 million). The average rate of these bonds is 5.9% with maturity from 2008 through 2032. The proceeds from the issue were used to repay short-term bank loans originally taken out to finance the acquisition of Sema plc.</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STATEMENTS</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Schlumberger cautions that, except for historical information, statements in this 10-Q report, the third quarter 2001 earnings release and associated conference call, and elsewhere may constitute forward-looking statements. These include statements as to expectations, beliefs and future financial performance, such as statements regarding business prospects in the key industries in which Schlumberger operates and growth opportunities for Schlumberger in those industries.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792" w:right="1440" w:bottom="1440" w:gutter="0" w:footer="0" w:header="0"/>
        </w:sectPr>
      </w:pPr>
    </w:p>
    <w:bookmarkStart w:id="16" w:name="page17"/>
    <w:bookmarkEnd w:id="16"/>
    <w:p>
      <w:pPr>
        <w:ind w:right="3239"/>
        <w:spacing w:after="0" w:line="237" w:lineRule="auto"/>
        <w:rPr>
          <w:sz w:val="20"/>
          <w:szCs w:val="20"/>
          <w:color w:val="auto"/>
        </w:rPr>
      </w:pPr>
      <w:r>
        <w:rPr>
          <w:rFonts w:ascii="Courier New" w:cs="Courier New" w:eastAsia="Courier New" w:hAnsi="Courier New"/>
          <w:sz w:val="15"/>
          <w:szCs w:val="15"/>
          <w:color w:val="auto"/>
        </w:rPr>
        <w:t>These statements involve a number of risks, uncertainties, assumptions and other factors that could cause actual results to differ materially from those in the forward-looking statements. Such factors include: continuing customer commitment to certain key long-term contracts; changes in E&amp;P spending by major oil and gas companies, including renewed growth in gas drilling; economic, competitive and technological factors affecting markets, services, and prices in Schlumberger Sema businesses, including the extent and timing of a recovery in the telecommunications industry segment and utilities investment in utility management solutions; Schlumberger's ability to integrate newly acquired businesses and to realize identified synergies and cost savings from those acquisitions; timing and proceeds from anticipated divestitures; general economic and business conditions in key regions of the world; and changes in business strategy.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Quantitative and Qualitative Disclosure about Market Risk.</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Schlumberger does not believe it has a material exposure to financial market risk. Schlumberger manages the exposure to interest rate changes by using a mix of debt maturities and variable- and fixed-rate debt together with interest rate swaps, where appropriate, to fix or lower borrowing costs. With regard to foreign currency fluctuations, Schlumberger enters into various contracts, which change in value as foreign exchange rates change, to protect the value of external and intercompany transactions in foreign currencies. Schlumberger does not enter into foreign currency or interest rate transactions for speculative purposes.</w:t>
      </w:r>
    </w:p>
    <w:p>
      <w:pPr>
        <w:spacing w:after="0" w:line="172" w:lineRule="exact"/>
        <w:rPr>
          <w:sz w:val="20"/>
          <w:szCs w:val="20"/>
          <w:color w:val="auto"/>
        </w:rPr>
      </w:pPr>
    </w:p>
    <w:p>
      <w:pPr>
        <w:ind w:left="620" w:hanging="610"/>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 of Schlumberger</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PART II. OTHER INFORMATION</w:t>
      </w:r>
    </w:p>
    <w:p>
      <w:pPr>
        <w:ind w:left="23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Exhibits: As permitted by Item 601(b)(4)(iii)(A) of Regulation S-K, the Registrant has not filed with this Quarterly Report on Form 10-Q certain instruments defining the rights of holders of long-term debt of the Registrant and it subsidiaries because the total amount of securities authorized under any of such instruments does not exceed 10% of the total assets of the Registrant and its subsidiaries on a consolidated basis. The Registrant agrees to furnish a copy of any such agreements to the Securities and Exchange Commission upon request.</w:t>
      </w:r>
    </w:p>
    <w:p>
      <w:pPr>
        <w:spacing w:after="0" w:line="171" w:lineRule="exact"/>
        <w:rPr>
          <w:sz w:val="20"/>
          <w:szCs w:val="20"/>
          <w:color w:val="auto"/>
        </w:rPr>
      </w:pPr>
    </w:p>
    <w:p>
      <w:pPr>
        <w:spacing w:after="0"/>
        <w:tabs>
          <w:tab w:leader="none" w:pos="2000" w:val="left"/>
        </w:tabs>
        <w:rPr>
          <w:sz w:val="20"/>
          <w:szCs w:val="20"/>
          <w:color w:val="auto"/>
        </w:rPr>
      </w:pPr>
      <w:r>
        <w:rPr>
          <w:rFonts w:ascii="Courier New" w:cs="Courier New" w:eastAsia="Courier New" w:hAnsi="Courier New"/>
          <w:sz w:val="15"/>
          <w:szCs w:val="15"/>
          <w:color w:val="auto"/>
        </w:rPr>
        <w:t>Reports on Form 8-K:</w:t>
        <w:tab/>
        <w:t>None</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792" w:right="1440" w:bottom="1440" w:gutter="0" w:footer="0" w:header="0"/>
        </w:sectPr>
      </w:pPr>
    </w:p>
    <w:bookmarkStart w:id="17" w:name="page18"/>
    <w:bookmarkEnd w:id="17"/>
    <w:p>
      <w:pPr>
        <w:ind w:left="3160"/>
        <w:spacing w:after="0"/>
        <w:rPr>
          <w:sz w:val="20"/>
          <w:szCs w:val="20"/>
          <w:color w:val="auto"/>
        </w:rPr>
      </w:pPr>
      <w:r>
        <w:rPr>
          <w:rFonts w:ascii="Courier New" w:cs="Courier New" w:eastAsia="Courier New" w:hAnsi="Courier New"/>
          <w:sz w:val="15"/>
          <w:szCs w:val="15"/>
          <w:color w:val="auto"/>
        </w:rPr>
        <w:t>SIGNATURE</w:t>
      </w:r>
    </w:p>
    <w:p>
      <w:pPr>
        <w:ind w:left="316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620" w:right="3319"/>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 and in his capacity as chief accounting officer.</w:t>
      </w:r>
    </w:p>
    <w:p>
      <w:pPr>
        <w:spacing w:after="0" w:line="169" w:lineRule="exact"/>
        <w:rPr>
          <w:sz w:val="20"/>
          <w:szCs w:val="20"/>
          <w:color w:val="auto"/>
        </w:rPr>
      </w:pPr>
    </w:p>
    <w:p>
      <w:pPr>
        <w:jc w:val="center"/>
        <w:ind w:right="779"/>
        <w:spacing w:after="0"/>
        <w:rPr>
          <w:sz w:val="20"/>
          <w:szCs w:val="20"/>
          <w:color w:val="auto"/>
        </w:rPr>
      </w:pPr>
      <w:r>
        <w:rPr>
          <w:rFonts w:ascii="Courier New" w:cs="Courier New" w:eastAsia="Courier New" w:hAnsi="Courier New"/>
          <w:sz w:val="15"/>
          <w:szCs w:val="15"/>
          <w:color w:val="auto"/>
        </w:rPr>
        <w:t>Schlumberger Limited</w:t>
      </w:r>
    </w:p>
    <w:p>
      <w:pPr>
        <w:jc w:val="center"/>
        <w:ind w:right="779"/>
        <w:spacing w:after="0" w:line="237" w:lineRule="auto"/>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239"/>
          </w:cols>
          <w:pgMar w:left="220" w:top="953" w:right="1440" w:bottom="1440" w:gutter="0" w:footer="0" w:header="0"/>
        </w:sectPr>
      </w:pPr>
    </w:p>
    <w:p>
      <w:pPr>
        <w:spacing w:after="0" w:line="173" w:lineRule="exact"/>
        <w:rPr>
          <w:sz w:val="20"/>
          <w:szCs w:val="20"/>
          <w:color w:val="auto"/>
        </w:rPr>
      </w:pPr>
    </w:p>
    <w:p>
      <w:pPr>
        <w:jc w:val="right"/>
        <w:ind w:right="1380"/>
        <w:spacing w:after="0"/>
        <w:rPr>
          <w:sz w:val="20"/>
          <w:szCs w:val="20"/>
          <w:color w:val="auto"/>
        </w:rPr>
      </w:pPr>
      <w:r>
        <w:rPr>
          <w:rFonts w:ascii="Courier New" w:cs="Courier New" w:eastAsia="Courier New" w:hAnsi="Courier New"/>
          <w:sz w:val="14"/>
          <w:szCs w:val="14"/>
          <w:color w:val="auto"/>
        </w:rPr>
        <w:t>Date: November 1, 2001</w:t>
      </w:r>
    </w:p>
    <w:p>
      <w:pPr>
        <w:spacing w:after="0" w:line="3" w:lineRule="exact"/>
        <w:rPr>
          <w:sz w:val="20"/>
          <w:szCs w:val="20"/>
          <w:color w:val="auto"/>
        </w:rPr>
      </w:pPr>
    </w:p>
    <w:p>
      <w:pPr>
        <w:jc w:val="right"/>
        <w:ind w:right="13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.../s/Jean-Marc Perraud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sectPr>
          <w:pgSz w:w="11900" w:h="16838" w:orient="portrait"/>
          <w:cols w:equalWidth="0" w:num="2">
            <w:col w:w="3320" w:space="720"/>
            <w:col w:w="6199"/>
          </w:cols>
          <w:pgMar w:left="220" w:top="953" w:right="1440" w:bottom="1440" w:gutter="0" w:footer="0" w:header="0"/>
          <w:type w:val="continuous"/>
        </w:sectPr>
      </w:pPr>
    </w:p>
    <w:p>
      <w:pPr>
        <w:ind w:left="4040"/>
        <w:spacing w:after="0"/>
        <w:rPr>
          <w:sz w:val="20"/>
          <w:szCs w:val="20"/>
          <w:color w:val="auto"/>
        </w:rPr>
      </w:pPr>
      <w:r>
        <w:rPr>
          <w:rFonts w:ascii="Courier New" w:cs="Courier New" w:eastAsia="Courier New" w:hAnsi="Courier New"/>
          <w:sz w:val="15"/>
          <w:szCs w:val="15"/>
          <w:color w:val="auto"/>
        </w:rPr>
        <w:t>Jean-Marc Perraud</w:t>
      </w:r>
    </w:p>
    <w:p>
      <w:pPr>
        <w:ind w:left="4200"/>
        <w:spacing w:after="0" w:line="237" w:lineRule="auto"/>
        <w:rPr>
          <w:sz w:val="20"/>
          <w:szCs w:val="20"/>
          <w:color w:val="auto"/>
        </w:rPr>
      </w:pPr>
      <w:r>
        <w:rPr>
          <w:rFonts w:ascii="Courier New" w:cs="Courier New" w:eastAsia="Courier New" w:hAnsi="Courier New"/>
          <w:sz w:val="15"/>
          <w:szCs w:val="15"/>
          <w:color w:val="auto"/>
        </w:rPr>
        <w:t>Controller and</w:t>
      </w:r>
    </w:p>
    <w:p>
      <w:pPr>
        <w:spacing w:after="0" w:line="5" w:lineRule="exact"/>
        <w:rPr>
          <w:sz w:val="20"/>
          <w:szCs w:val="20"/>
          <w:color w:val="auto"/>
        </w:rPr>
      </w:pPr>
    </w:p>
    <w:p>
      <w:pPr>
        <w:ind w:left="4200"/>
        <w:spacing w:after="0"/>
        <w:rPr>
          <w:sz w:val="20"/>
          <w:szCs w:val="20"/>
          <w:color w:val="auto"/>
        </w:rPr>
      </w:pPr>
      <w:r>
        <w:rPr>
          <w:rFonts w:ascii="Courier New" w:cs="Courier New" w:eastAsia="Courier New" w:hAnsi="Courier New"/>
          <w:sz w:val="14"/>
          <w:szCs w:val="14"/>
          <w:color w:val="auto"/>
        </w:rPr>
        <w:t>Chief Accounting Officer</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sectPr>
      <w:pgSz w:w="11900" w:h="16838" w:orient="portrait"/>
      <w:cols w:equalWidth="0" w:num="1">
        <w:col w:w="10239"/>
      </w:cols>
      <w:pgMar w:left="220" w:top="95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2019-12-13T06:37:53Z</dcterms:created>
  <dcterms:modified xsi:type="dcterms:W3CDTF">2019-12-13T06:37:53Z</dcterms:modified>
</cp:coreProperties>
</file>