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Schlumberger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(Schlumberger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24 April 2024</w:t>
      </w:r>
    </w:p>
    <w:p>
      <w:pPr>
        <w:spacing w:after="0" w:line="212" w:lineRule="exact"/>
        <w:rPr>
          <w:sz w:val="24"/>
          <w:szCs w:val="24"/>
          <w:color w:val="auto"/>
        </w:rPr>
      </w:pPr>
    </w:p>
    <w:p>
      <w:pPr>
        <w:ind w:right="26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Schlumberger Limited (Schlumberger N.V.) has made disclosure pursuant to such provisions in its Quarterly Report on Form 10-Q for the fiscal quarter ended March 31, 2024, which was filed with the U.S. Securities and Exchange Commission on April 24, 2024. Such disclosure appears on page 21 of the Quarterly Report on Form 10-Q and is incorporated by reference herein.</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00"/>
      </w:cols>
      <w:pgMar w:left="44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2024-04-24T10:48:18Z</dcterms:created>
  <dcterms:modified xsi:type="dcterms:W3CDTF">2024-04-24T10:48:18Z</dcterms:modified>
</cp:coreProperties>
</file>